
<file path=[Content_Types].xml><?xml version="1.0" encoding="utf-8"?>
<Types xmlns="http://schemas.openxmlformats.org/package/2006/content-types">
  <Override PartName="/_rels/.rels" ContentType="application/vnd.openxmlformats-package.relationships+xml"/>
  <Override PartName="/word/_rels/header3.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header2.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charts/chart8.xml" ContentType="application/vnd.openxmlformats-officedocument.drawingml.chart+xml"/>
  <Override PartName="/word/charts/chart7.xml" ContentType="application/vnd.openxmlformats-officedocument.drawingml.chart+xml"/>
  <Override PartName="/word/charts/chart6.xml" ContentType="application/vnd.openxmlformats-officedocument.drawingml.chart+xml"/>
  <Override PartName="/word/charts/chart5.xml" ContentType="application/vnd.openxmlformats-officedocument.drawingml.chart+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3.xml" ContentType="application/vnd.openxmlformats-officedocument.wordprocessingml.header+xml"/>
  <Override PartName="/word/media/image1.png" ContentType="image/png"/>
  <Override PartName="/word/footer2.xml" ContentType="application/vnd.openxmlformats-officedocument.wordprocessingml.footer+xml"/>
  <Override PartName="/word/footer3.xml" ContentType="application/vnd.openxmlformats-officedocument.wordprocessingml.footer+xml"/>
  <Override PartName="/customXml/item4.xml" ContentType="application/xml"/>
  <Override PartName="/customXml/itemProps4.xml" ContentType="application/vnd.openxmlformats-officedocument.customXmlProperties+xml"/>
  <Override PartName="/customXml/item3.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Props3.xml" ContentType="application/vnd.openxmlformats-officedocument.customXmlProperties+xml"/>
  <Override PartName="/customXml/item2.xml" ContentType="application/xml"/>
  <Override PartName="/customXml/item1.xml" ContentType="application/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360" w:before="0" w:after="0"/>
        <w:ind w:left="0" w:right="0" w:hanging="0"/>
        <w:jc w:val="center"/>
        <w:rPr>
          <w:rFonts w:ascii="Times new roman" w:hAnsi="Times new roman"/>
          <w:b w:val="false"/>
          <w:b w:val="false"/>
          <w:bCs w:val="false"/>
          <w:sz w:val="44"/>
          <w:szCs w:val="44"/>
        </w:rPr>
      </w:pPr>
      <w:bookmarkStart w:id="0" w:name="_GoBack"/>
      <w:bookmarkEnd w:id="0"/>
      <w:r>
        <w:rPr>
          <w:rFonts w:eastAsia="Times New Roman" w:cs="Times New Roman" w:ascii="Times new roman" w:hAnsi="Times new roman"/>
          <w:b w:val="false"/>
          <w:bCs w:val="false"/>
          <w:sz w:val="44"/>
          <w:szCs w:val="44"/>
        </w:rPr>
        <w:t xml:space="preserve">Resultados de la implementación de un </w:t>
      </w:r>
      <w:r>
        <w:rPr>
          <w:rFonts w:eastAsia="Times New Roman" w:cs="Times New Roman" w:ascii="Times new roman" w:hAnsi="Times new roman"/>
          <w:b w:val="false"/>
          <w:bCs w:val="false"/>
          <w:sz w:val="44"/>
          <w:szCs w:val="44"/>
        </w:rPr>
        <w:t>p</w:t>
      </w:r>
      <w:r>
        <w:rPr>
          <w:rFonts w:eastAsia="Times New Roman" w:cs="Times New Roman" w:ascii="Times new roman" w:hAnsi="Times new roman"/>
          <w:b w:val="false"/>
          <w:bCs w:val="false"/>
          <w:sz w:val="44"/>
          <w:szCs w:val="44"/>
        </w:rPr>
        <w:t xml:space="preserve">rograma de </w:t>
      </w:r>
      <w:r>
        <w:rPr>
          <w:rFonts w:eastAsia="Times New Roman" w:cs="Times New Roman" w:ascii="Times new roman" w:hAnsi="Times new roman"/>
          <w:b w:val="false"/>
          <w:bCs w:val="false"/>
          <w:sz w:val="44"/>
          <w:szCs w:val="44"/>
        </w:rPr>
        <w:t>n</w:t>
      </w:r>
      <w:r>
        <w:rPr>
          <w:rFonts w:eastAsia="Times New Roman" w:cs="Times New Roman" w:ascii="Times new roman" w:hAnsi="Times new roman"/>
          <w:b w:val="false"/>
          <w:bCs w:val="false"/>
          <w:sz w:val="44"/>
          <w:szCs w:val="44"/>
        </w:rPr>
        <w:t xml:space="preserve">ivelación </w:t>
      </w:r>
      <w:r>
        <w:rPr>
          <w:rFonts w:eastAsia="Times New Roman" w:cs="Times New Roman" w:ascii="Times new roman" w:hAnsi="Times new roman"/>
          <w:b w:val="false"/>
          <w:bCs w:val="false"/>
          <w:sz w:val="44"/>
          <w:szCs w:val="44"/>
        </w:rPr>
        <w:t>m</w:t>
      </w:r>
      <w:r>
        <w:rPr>
          <w:rFonts w:eastAsia="Times New Roman" w:cs="Times New Roman" w:ascii="Times new roman" w:hAnsi="Times new roman"/>
          <w:b w:val="false"/>
          <w:bCs w:val="false"/>
          <w:sz w:val="44"/>
          <w:szCs w:val="44"/>
        </w:rPr>
        <w:t xml:space="preserve">atemática con los alumnos de nuevo ingreso de la División Industrial de la Universidad Tecnológica Metropolitana, en el cuatrimestre </w:t>
      </w:r>
      <w:r>
        <w:rPr>
          <w:rFonts w:eastAsia="Times New Roman" w:cs="Times New Roman" w:ascii="Times new roman" w:hAnsi="Times new roman"/>
          <w:b w:val="false"/>
          <w:bCs w:val="false"/>
          <w:sz w:val="44"/>
          <w:szCs w:val="44"/>
        </w:rPr>
        <w:t>s</w:t>
      </w:r>
      <w:r>
        <w:rPr>
          <w:rFonts w:eastAsia="Times New Roman" w:cs="Times New Roman" w:ascii="Times new roman" w:hAnsi="Times new roman"/>
          <w:b w:val="false"/>
          <w:bCs w:val="false"/>
          <w:sz w:val="44"/>
          <w:szCs w:val="44"/>
        </w:rPr>
        <w:t>eptiembre-</w:t>
      </w:r>
      <w:r>
        <w:rPr>
          <w:rFonts w:eastAsia="Times New Roman" w:cs="Times New Roman" w:ascii="Times new roman" w:hAnsi="Times new roman"/>
          <w:b w:val="false"/>
          <w:bCs w:val="false"/>
          <w:sz w:val="44"/>
          <w:szCs w:val="44"/>
        </w:rPr>
        <w:t>d</w:t>
      </w:r>
      <w:r>
        <w:rPr>
          <w:rFonts w:eastAsia="Times New Roman" w:cs="Times New Roman" w:ascii="Times new roman" w:hAnsi="Times new roman"/>
          <w:b w:val="false"/>
          <w:bCs w:val="false"/>
          <w:sz w:val="44"/>
          <w:szCs w:val="44"/>
        </w:rPr>
        <w:t>iciembre de 2019</w:t>
      </w:r>
    </w:p>
    <w:p>
      <w:pPr>
        <w:pStyle w:val="Normal"/>
        <w:bidi w:val="0"/>
        <w:spacing w:lineRule="auto" w:line="360" w:before="0" w:after="0"/>
        <w:ind w:left="0" w:right="0" w:hanging="0"/>
        <w:jc w:val="center"/>
        <w:rPr>
          <w:rFonts w:eastAsia="Times New Roman" w:cs="Times New Roman"/>
          <w:lang w:val="en-US"/>
        </w:rPr>
      </w:pPr>
      <w:r>
        <w:rPr>
          <w:rFonts w:ascii="Times new roman" w:hAnsi="Times new roman"/>
          <w:b w:val="false"/>
          <w:bCs w:val="false"/>
          <w:sz w:val="20"/>
          <w:szCs w:val="20"/>
        </w:rPr>
      </w:r>
    </w:p>
    <w:p>
      <w:pPr>
        <w:pStyle w:val="Normal"/>
        <w:bidi w:val="0"/>
        <w:spacing w:lineRule="auto" w:line="360" w:before="0" w:after="0"/>
        <w:ind w:left="0" w:right="0" w:hanging="0"/>
        <w:jc w:val="center"/>
        <w:rPr>
          <w:rFonts w:ascii="Times new roman" w:hAnsi="Times new roman"/>
          <w:b w:val="false"/>
          <w:b w:val="false"/>
          <w:bCs w:val="false"/>
          <w:sz w:val="36"/>
          <w:szCs w:val="36"/>
        </w:rPr>
      </w:pPr>
      <w:r>
        <w:rPr>
          <w:rFonts w:eastAsia="Times New Roman" w:cs="Times New Roman" w:ascii="Times new roman" w:hAnsi="Times new roman"/>
          <w:b w:val="false"/>
          <w:bCs w:val="false"/>
          <w:sz w:val="36"/>
          <w:szCs w:val="36"/>
          <w:lang w:val="en-US"/>
        </w:rPr>
        <w:t xml:space="preserve">Results of the implementation of a </w:t>
      </w:r>
      <w:r>
        <w:rPr>
          <w:rFonts w:eastAsia="Times New Roman" w:cs="Times New Roman" w:ascii="Times new roman" w:hAnsi="Times new roman"/>
          <w:b w:val="false"/>
          <w:bCs w:val="false"/>
          <w:sz w:val="36"/>
          <w:szCs w:val="36"/>
          <w:lang w:val="en-US"/>
        </w:rPr>
        <w:t>m</w:t>
      </w:r>
      <w:r>
        <w:rPr>
          <w:rFonts w:eastAsia="Times New Roman" w:cs="Times New Roman" w:ascii="Times new roman" w:hAnsi="Times new roman"/>
          <w:b w:val="false"/>
          <w:bCs w:val="false"/>
          <w:sz w:val="36"/>
          <w:szCs w:val="36"/>
          <w:lang w:val="en-US"/>
        </w:rPr>
        <w:t xml:space="preserve">athematics </w:t>
      </w:r>
      <w:r>
        <w:rPr>
          <w:rFonts w:eastAsia="Times New Roman" w:cs="Times New Roman" w:ascii="Times new roman" w:hAnsi="Times new roman"/>
          <w:b w:val="false"/>
          <w:bCs w:val="false"/>
          <w:sz w:val="36"/>
          <w:szCs w:val="36"/>
          <w:lang w:val="en-US"/>
        </w:rPr>
        <w:t>l</w:t>
      </w:r>
      <w:r>
        <w:rPr>
          <w:rFonts w:eastAsia="Times New Roman" w:cs="Times New Roman" w:ascii="Times new roman" w:hAnsi="Times new roman"/>
          <w:b w:val="false"/>
          <w:bCs w:val="false"/>
          <w:sz w:val="36"/>
          <w:szCs w:val="36"/>
          <w:lang w:val="en-US"/>
        </w:rPr>
        <w:t xml:space="preserve">eveling </w:t>
      </w:r>
      <w:r>
        <w:rPr>
          <w:rFonts w:eastAsia="Times New Roman" w:cs="Times New Roman" w:ascii="Times new roman" w:hAnsi="Times new roman"/>
          <w:b w:val="false"/>
          <w:bCs w:val="false"/>
          <w:sz w:val="36"/>
          <w:szCs w:val="36"/>
          <w:lang w:val="en-US"/>
        </w:rPr>
        <w:t>p</w:t>
      </w:r>
      <w:r>
        <w:rPr>
          <w:rFonts w:eastAsia="Times New Roman" w:cs="Times New Roman" w:ascii="Times new roman" w:hAnsi="Times new roman"/>
          <w:b w:val="false"/>
          <w:bCs w:val="false"/>
          <w:sz w:val="36"/>
          <w:szCs w:val="36"/>
          <w:lang w:val="en-US"/>
        </w:rPr>
        <w:t xml:space="preserve">rogram with freshman students of the Industrial Division of the </w:t>
      </w:r>
      <w:r>
        <w:rPr>
          <w:rFonts w:eastAsia="Times New Roman" w:cs="Times New Roman" w:ascii="Times new roman" w:hAnsi="Times new roman"/>
          <w:b w:val="false"/>
          <w:bCs w:val="false"/>
          <w:sz w:val="36"/>
          <w:szCs w:val="36"/>
          <w:lang w:val="en-US"/>
        </w:rPr>
        <w:t>Universidad Tecnológica Metropolitana</w:t>
      </w:r>
      <w:r>
        <w:rPr>
          <w:rFonts w:eastAsia="Times New Roman" w:cs="Times New Roman" w:ascii="Times new roman" w:hAnsi="Times new roman"/>
          <w:b w:val="false"/>
          <w:bCs w:val="false"/>
          <w:sz w:val="36"/>
          <w:szCs w:val="36"/>
          <w:lang w:val="en-US"/>
        </w:rPr>
        <w:t>, in the semester September-December 2019</w:t>
      </w:r>
    </w:p>
    <w:p>
      <w:pPr>
        <w:pStyle w:val="Normal"/>
        <w:bidi w:val="0"/>
        <w:spacing w:lineRule="auto" w:line="360" w:before="0" w:after="0"/>
        <w:ind w:left="0" w:right="0" w:hanging="0"/>
        <w:jc w:val="center"/>
        <w:rPr>
          <w:rFonts w:eastAsia="Times New Roman" w:cs="Times New Roman"/>
          <w:lang w:val="en-US"/>
        </w:rPr>
      </w:pPr>
      <w:r>
        <w:rPr>
          <w:rFonts w:ascii="Times new roman" w:hAnsi="Times new roman"/>
          <w:b w:val="false"/>
          <w:bCs w:val="false"/>
          <w:sz w:val="20"/>
          <w:szCs w:val="20"/>
        </w:rPr>
      </w:r>
    </w:p>
    <w:p>
      <w:pPr>
        <w:pStyle w:val="Normal"/>
        <w:bidi w:val="0"/>
        <w:spacing w:lineRule="auto" w:line="360" w:before="0" w:after="0"/>
        <w:ind w:left="0" w:right="0" w:hanging="0"/>
        <w:jc w:val="center"/>
        <w:rPr>
          <w:rFonts w:ascii="Times new roman" w:hAnsi="Times new roman"/>
          <w:b w:val="false"/>
          <w:b w:val="false"/>
          <w:bCs w:val="false"/>
          <w:sz w:val="24"/>
          <w:szCs w:val="24"/>
        </w:rPr>
      </w:pPr>
      <w:r>
        <w:rPr>
          <w:rFonts w:eastAsia="Times New Roman" w:cs="Times New Roman" w:ascii="Times new roman" w:hAnsi="Times new roman"/>
          <w:b w:val="false"/>
          <w:bCs w:val="false"/>
          <w:sz w:val="24"/>
          <w:szCs w:val="24"/>
          <w:lang w:val="en-US"/>
        </w:rPr>
        <w:t>Manuel Jesús Domínguez Sánchez</w:t>
      </w:r>
      <w:r>
        <w:rPr>
          <w:rFonts w:eastAsia="Times New Roman" w:cs="Times New Roman" w:ascii="Times new roman" w:hAnsi="Times new roman"/>
          <w:b w:val="false"/>
          <w:bCs w:val="false"/>
          <w:sz w:val="24"/>
          <w:szCs w:val="24"/>
          <w:vertAlign w:val="superscript"/>
          <w:lang w:val="en-US"/>
        </w:rPr>
        <w:t>1*</w:t>
      </w:r>
      <w:r>
        <w:rPr>
          <w:rFonts w:eastAsia="Times New Roman" w:cs="Times New Roman" w:ascii="Times new roman" w:hAnsi="Times new roman"/>
          <w:b w:val="false"/>
          <w:bCs w:val="false"/>
          <w:sz w:val="24"/>
          <w:szCs w:val="24"/>
          <w:lang w:val="en-US"/>
        </w:rPr>
        <w:t xml:space="preserve"> y Ángel Jeremías Couoh Poot</w:t>
      </w:r>
      <w:r>
        <w:rPr>
          <w:rFonts w:eastAsia="Times New Roman" w:cs="Times New Roman" w:ascii="Times new roman" w:hAnsi="Times new roman"/>
          <w:b w:val="false"/>
          <w:bCs w:val="false"/>
          <w:sz w:val="24"/>
          <w:szCs w:val="24"/>
          <w:vertAlign w:val="superscript"/>
          <w:lang w:val="en-US"/>
        </w:rPr>
        <w:t>1</w:t>
      </w:r>
    </w:p>
    <w:p>
      <w:pPr>
        <w:pStyle w:val="Normal"/>
        <w:bidi w:val="0"/>
        <w:spacing w:lineRule="auto" w:line="360" w:before="0" w:after="0"/>
        <w:ind w:left="0" w:right="0" w:hanging="0"/>
        <w:jc w:val="center"/>
        <w:rPr>
          <w:rFonts w:eastAsia="Times New Roman" w:cs="Times New Roman"/>
          <w:lang w:val="en-US"/>
        </w:rPr>
      </w:pPr>
      <w:r>
        <w:rPr>
          <w:rFonts w:ascii="Times new roman" w:hAnsi="Times new roman"/>
          <w:b w:val="false"/>
          <w:bCs w:val="false"/>
          <w:sz w:val="24"/>
          <w:szCs w:val="24"/>
        </w:rPr>
      </w:r>
    </w:p>
    <w:p>
      <w:pPr>
        <w:pStyle w:val="Normal"/>
        <w:bidi w:val="0"/>
        <w:spacing w:lineRule="auto" w:line="360" w:before="0" w:after="0"/>
        <w:ind w:left="0" w:right="0" w:hanging="0"/>
        <w:jc w:val="center"/>
        <w:rPr>
          <w:rFonts w:ascii="Times new roman" w:hAnsi="Times new roman"/>
          <w:b w:val="false"/>
          <w:b w:val="false"/>
          <w:bCs w:val="false"/>
          <w:i/>
          <w:i/>
          <w:iCs/>
          <w:sz w:val="24"/>
          <w:szCs w:val="24"/>
        </w:rPr>
      </w:pPr>
      <w:r>
        <w:rPr>
          <w:rFonts w:eastAsia="Times New Roman" w:cs="Times New Roman" w:ascii="Times new roman" w:hAnsi="Times new roman"/>
          <w:b w:val="false"/>
          <w:bCs w:val="false"/>
          <w:i/>
          <w:iCs/>
          <w:sz w:val="24"/>
          <w:szCs w:val="24"/>
          <w:vertAlign w:val="superscript"/>
        </w:rPr>
        <w:t>1</w:t>
      </w:r>
      <w:r>
        <w:rPr>
          <w:rFonts w:eastAsia="Times New Roman" w:cs="Times New Roman" w:ascii="Times new roman" w:hAnsi="Times new roman"/>
          <w:b w:val="false"/>
          <w:bCs w:val="false"/>
          <w:i/>
          <w:iCs/>
          <w:sz w:val="24"/>
          <w:szCs w:val="24"/>
        </w:rPr>
        <w:t xml:space="preserve">Universidad Tecnológica Metropolitana, División Industrial, </w:t>
      </w:r>
      <w:r>
        <w:rPr>
          <w:rFonts w:eastAsia="Times New Roman" w:cs="Times New Roman" w:ascii="Times new roman" w:hAnsi="Times new roman"/>
          <w:b w:val="false"/>
          <w:bCs w:val="false"/>
          <w:i/>
          <w:iCs/>
          <w:caps w:val="false"/>
          <w:smallCaps w:val="false"/>
          <w:spacing w:val="0"/>
          <w:sz w:val="24"/>
          <w:szCs w:val="24"/>
        </w:rPr>
        <w:t xml:space="preserve">Calle 115 (Circuito Colonias Sur) No. 404 por Calle </w:t>
      </w:r>
      <w:r>
        <w:rPr>
          <w:rFonts w:ascii="Times new roman" w:hAnsi="Times new roman"/>
          <w:b w:val="false"/>
          <w:bCs w:val="false"/>
          <w:i/>
          <w:iCs/>
          <w:caps w:val="false"/>
          <w:smallCaps w:val="false"/>
          <w:spacing w:val="0"/>
          <w:sz w:val="24"/>
          <w:szCs w:val="24"/>
        </w:rPr>
        <w:t xml:space="preserve">50, Santa Rosa, </w:t>
      </w:r>
      <w:r>
        <w:rPr>
          <w:rFonts w:ascii="Times new roman" w:hAnsi="Times new roman"/>
          <w:b w:val="false"/>
          <w:bCs w:val="false"/>
          <w:i/>
          <w:iCs/>
          <w:caps w:val="false"/>
          <w:smallCaps w:val="false"/>
          <w:spacing w:val="0"/>
          <w:sz w:val="24"/>
          <w:szCs w:val="24"/>
        </w:rPr>
        <w:t xml:space="preserve">C.P. </w:t>
      </w:r>
      <w:r>
        <w:rPr>
          <w:rFonts w:ascii="Times new roman" w:hAnsi="Times new roman"/>
          <w:b w:val="false"/>
          <w:bCs w:val="false"/>
          <w:i/>
          <w:iCs/>
          <w:caps w:val="false"/>
          <w:smallCaps w:val="false"/>
          <w:spacing w:val="0"/>
          <w:sz w:val="24"/>
          <w:szCs w:val="24"/>
        </w:rPr>
        <w:t>97279 Mérida, Yucatán, México.</w:t>
      </w:r>
    </w:p>
    <w:p>
      <w:pPr>
        <w:pStyle w:val="Normal"/>
        <w:bidi w:val="0"/>
        <w:spacing w:lineRule="auto" w:line="360" w:before="0" w:after="0"/>
        <w:ind w:left="0" w:right="0" w:hanging="0"/>
        <w:jc w:val="center"/>
        <w:rPr>
          <w:rFonts w:eastAsia="Times New Roman" w:cs="Times New Roman"/>
        </w:rPr>
      </w:pPr>
      <w:r>
        <w:rPr>
          <w:rFonts w:ascii="Times new roman" w:hAnsi="Times new roman"/>
          <w:b w:val="false"/>
          <w:bCs w:val="false"/>
          <w:sz w:val="20"/>
          <w:szCs w:val="20"/>
        </w:rPr>
      </w:r>
    </w:p>
    <w:p>
      <w:pPr>
        <w:pStyle w:val="Normal"/>
        <w:bidi w:val="0"/>
        <w:spacing w:lineRule="auto" w:line="360" w:before="0" w:after="0"/>
        <w:ind w:left="0" w:right="0" w:hanging="0"/>
        <w:jc w:val="center"/>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sz w:val="20"/>
          <w:szCs w:val="20"/>
        </w:rPr>
        <w:t>*Corresponding author:</w:t>
      </w:r>
    </w:p>
    <w:p>
      <w:pPr>
        <w:pStyle w:val="Normal"/>
        <w:bidi w:val="0"/>
        <w:spacing w:lineRule="auto" w:line="360" w:before="0" w:after="0"/>
        <w:ind w:left="0" w:right="0" w:hanging="0"/>
        <w:jc w:val="center"/>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sz w:val="20"/>
          <w:szCs w:val="20"/>
        </w:rPr>
        <w:t>manuel.dominguez@utmetropolitana.edu.mx</w:t>
      </w:r>
    </w:p>
    <w:p>
      <w:pPr>
        <w:pStyle w:val="Normal"/>
        <w:bidi w:val="0"/>
        <w:spacing w:lineRule="auto" w:line="360" w:before="0" w:after="0"/>
        <w:ind w:left="0" w:right="0" w:hanging="0"/>
        <w:jc w:val="both"/>
        <w:rPr>
          <w:rFonts w:eastAsia="Times New Roman" w:cs="Times New Roman"/>
          <w:b/>
          <w:b/>
          <w:bCs/>
        </w:rPr>
      </w:pPr>
      <w:r>
        <w:rPr>
          <w:rFonts w:ascii="Times new roman" w:hAnsi="Times new roman"/>
          <w:sz w:val="20"/>
          <w:szCs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17" w:right="1417" w:header="1417" w:top="1983" w:footer="1417" w:bottom="2021" w:gutter="0"/>
          <w:pgNumType w:fmt="decimal"/>
          <w:formProt w:val="false"/>
          <w:titlePg/>
          <w:textDirection w:val="lrTb"/>
          <w:docGrid w:type="default" w:linePitch="360" w:charSpace="4294965247"/>
        </w:sectPr>
      </w:pPr>
    </w:p>
    <w:p>
      <w:pPr>
        <w:pStyle w:val="Normal"/>
        <w:bidi w:val="0"/>
        <w:spacing w:lineRule="auto" w:line="360" w:before="0" w:after="0"/>
        <w:ind w:left="0" w:right="0" w:hanging="0"/>
        <w:jc w:val="both"/>
        <w:rPr>
          <w:rFonts w:ascii="Times new roman" w:hAnsi="Times new roman"/>
          <w:b/>
          <w:b/>
          <w:bCs/>
          <w:sz w:val="20"/>
          <w:szCs w:val="20"/>
        </w:rPr>
      </w:pPr>
      <w:r>
        <w:rPr>
          <w:rFonts w:eastAsia="Times New Roman" w:cs="Times New Roman" w:ascii="Times new roman" w:hAnsi="Times new roman"/>
          <w:b/>
          <w:bCs/>
          <w:sz w:val="20"/>
          <w:szCs w:val="20"/>
        </w:rPr>
        <w:t>Resumen. Una de las causas más comunes que se tienen en la deserción escolar en los alumnos de la División Industrial de la Universidad Tecnológica Metropolitana es la reprobación de asignaturas relacionadas con matemáticas, razón por la cual se decidió crear e implementar un Programa de Nivelación Matemática con los alumnos de nuevo ingreso en el cuatrimestre Septiembre-Diciembre de 2019 como parte de las estrategias para afrontar dicha problemática. En el presente documento se describe el diseño del programa, la producción de los instrumentos que fueron utilizados, la implementación de las actividades y la evaluación de los resultados obtenidos de manera general y para los diversos programas de estudios que se incluyeron.</w:t>
      </w:r>
    </w:p>
    <w:p>
      <w:pPr>
        <w:pStyle w:val="Normal"/>
        <w:bidi w:val="0"/>
        <w:spacing w:lineRule="auto" w:line="360" w:before="0" w:after="0"/>
        <w:ind w:left="0" w:right="0" w:hanging="0"/>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p>
      <w:pPr>
        <w:pStyle w:val="Normal"/>
        <w:bidi w:val="0"/>
        <w:spacing w:lineRule="auto" w:line="360" w:before="0" w:after="0"/>
        <w:ind w:left="0" w:right="0" w:hanging="0"/>
        <w:jc w:val="both"/>
        <w:rPr>
          <w:rFonts w:ascii="Times new roman" w:hAnsi="Times new roman"/>
          <w:b/>
          <w:b/>
          <w:bCs/>
          <w:sz w:val="20"/>
          <w:szCs w:val="20"/>
        </w:rPr>
      </w:pPr>
      <w:r>
        <w:rPr>
          <w:rFonts w:eastAsia="Times New Roman" w:cs="Times New Roman" w:ascii="Times new roman" w:hAnsi="Times new roman"/>
          <w:b/>
          <w:bCs/>
          <w:sz w:val="20"/>
          <w:szCs w:val="20"/>
        </w:rPr>
        <w:t>Palabras claves: deserción escolar, nivelación en matemática, diseño de un programa de nivelación matemática, conocimientos matemáticos básicos</w:t>
      </w:r>
      <w:r>
        <w:rPr>
          <w:rFonts w:eastAsia="Times New Roman" w:cs="Times New Roman" w:ascii="Times New Roman" w:hAnsi="Times New Roman"/>
          <w:b/>
          <w:bCs/>
          <w:sz w:val="20"/>
          <w:szCs w:val="20"/>
        </w:rPr>
        <w:t>.</w:t>
      </w:r>
    </w:p>
    <w:p>
      <w:pPr>
        <w:pStyle w:val="Normal"/>
        <w:bidi w:val="0"/>
        <w:spacing w:lineRule="auto" w:line="360" w:before="0" w:after="0"/>
        <w:ind w:left="0" w:right="0" w:hanging="0"/>
        <w:jc w:val="both"/>
        <w:rPr>
          <w:rFonts w:ascii="Times new roman" w:hAnsi="Times new roman" w:eastAsia="Times New Roman" w:cs="Times New Roman"/>
          <w:b/>
          <w:b/>
          <w:bCs/>
          <w:sz w:val="20"/>
          <w:szCs w:val="20"/>
          <w:lang w:val="en-US"/>
        </w:rPr>
      </w:pPr>
      <w:r>
        <w:rPr>
          <w:rFonts w:eastAsia="Times New Roman" w:cs="Times New Roman" w:ascii="Times new roman" w:hAnsi="Times new roman"/>
          <w:b/>
          <w:bCs/>
          <w:sz w:val="20"/>
          <w:szCs w:val="20"/>
          <w:lang w:val="en-US"/>
        </w:rPr>
      </w:r>
    </w:p>
    <w:p>
      <w:pPr>
        <w:pStyle w:val="Normal"/>
        <w:bidi w:val="0"/>
        <w:spacing w:lineRule="auto" w:line="360" w:before="0" w:after="0"/>
        <w:ind w:left="0" w:right="0" w:hanging="0"/>
        <w:jc w:val="both"/>
        <w:rPr>
          <w:rFonts w:ascii="Times new roman" w:hAnsi="Times new roman"/>
          <w:b/>
          <w:b/>
          <w:bCs/>
          <w:sz w:val="20"/>
          <w:szCs w:val="20"/>
        </w:rPr>
      </w:pPr>
      <w:r>
        <w:rPr>
          <w:rFonts w:eastAsia="Times New Roman" w:cs="Times New Roman" w:ascii="Times new roman" w:hAnsi="Times new roman"/>
          <w:b/>
          <w:bCs/>
          <w:sz w:val="20"/>
          <w:szCs w:val="20"/>
          <w:lang w:val="en-US"/>
        </w:rPr>
        <w:t>Abstract</w:t>
      </w:r>
      <w:r>
        <w:rPr>
          <w:rFonts w:eastAsia="Times New Roman" w:cs="Times New Roman" w:ascii="Times New Roman" w:hAnsi="Times New Roman"/>
          <w:b/>
          <w:bCs/>
          <w:sz w:val="20"/>
          <w:szCs w:val="20"/>
          <w:lang w:val="en-US"/>
        </w:rPr>
        <w:t xml:space="preserve">. </w:t>
      </w:r>
      <w:r>
        <w:rPr>
          <w:rFonts w:eastAsia="Times New Roman" w:cs="Times New Roman" w:ascii="Times new roman" w:hAnsi="Times new roman"/>
          <w:b/>
          <w:bCs/>
          <w:sz w:val="20"/>
          <w:szCs w:val="20"/>
          <w:lang w:val="en-US"/>
        </w:rPr>
        <w:t>One of the most common causes of school dropout in students of the Industrial Division of the Metropolitan Technological University is the failure of subjects related to mathematics, which is why it was decided to create and implement a Mathematics Leveling Program with the freshman students in the semester September-December 2019 as part of the strategies to face this problem. This document describes the design of the program, the production of the instruments that were used, the implementation of the activities and the evaluation of the results obtained in general and for the various study programs that were included.</w:t>
      </w:r>
    </w:p>
    <w:p>
      <w:pPr>
        <w:pStyle w:val="Normal"/>
        <w:bidi w:val="0"/>
        <w:spacing w:lineRule="auto" w:line="360" w:before="0" w:after="0"/>
        <w:ind w:left="0" w:right="0" w:hanging="0"/>
        <w:jc w:val="both"/>
        <w:rPr>
          <w:rFonts w:eastAsia="Times New Roman" w:cs="Times New Roman"/>
          <w:lang w:val="en-US"/>
        </w:rPr>
      </w:pPr>
      <w:r>
        <w:rPr>
          <w:rFonts w:ascii="Times new roman" w:hAnsi="Times new roman"/>
          <w:b/>
          <w:bCs/>
          <w:sz w:val="20"/>
          <w:szCs w:val="20"/>
        </w:rPr>
      </w:r>
    </w:p>
    <w:p>
      <w:pPr>
        <w:pStyle w:val="Normal"/>
        <w:bidi w:val="0"/>
        <w:spacing w:lineRule="auto" w:line="360" w:before="0" w:after="0"/>
        <w:ind w:left="0" w:right="0" w:hanging="0"/>
        <w:jc w:val="both"/>
        <w:rPr>
          <w:rFonts w:ascii="Times new roman" w:hAnsi="Times new roman"/>
          <w:b/>
          <w:b/>
          <w:bCs/>
          <w:sz w:val="20"/>
          <w:szCs w:val="20"/>
        </w:rPr>
      </w:pPr>
      <w:r>
        <w:rPr>
          <w:rFonts w:eastAsia="Times New Roman" w:cs="Times New Roman" w:ascii="Times new roman" w:hAnsi="Times new roman"/>
          <w:b/>
          <w:bCs/>
          <w:sz w:val="20"/>
          <w:szCs w:val="20"/>
          <w:lang w:val="en-US"/>
        </w:rPr>
        <w:t>Keywords: school dropout, math leveling, design of a math leveling program, basic math skills.</w:t>
      </w:r>
    </w:p>
    <w:p>
      <w:pPr>
        <w:pStyle w:val="Ttulo1"/>
        <w:bidi w:val="0"/>
        <w:spacing w:lineRule="auto" w:line="360" w:before="0" w:after="0"/>
        <w:ind w:left="0" w:right="0" w:hanging="0"/>
        <w:jc w:val="both"/>
        <w:rPr>
          <w:rFonts w:eastAsia="Times New Roman" w:cs="Times New Roman"/>
          <w:b/>
          <w:b/>
          <w:bCs/>
          <w:color w:val="00000A"/>
        </w:rPr>
      </w:pPr>
      <w:r>
        <w:rPr>
          <w:rFonts w:ascii="Times new roman" w:hAnsi="Times new roman"/>
          <w:sz w:val="20"/>
          <w:szCs w:val="20"/>
        </w:rPr>
      </w:r>
    </w:p>
    <w:p>
      <w:pPr>
        <w:pStyle w:val="Ttulo1"/>
        <w:bidi w:val="0"/>
        <w:spacing w:lineRule="auto" w:line="360" w:before="0" w:after="0"/>
        <w:ind w:left="0" w:right="0" w:hanging="0"/>
        <w:jc w:val="both"/>
        <w:rPr>
          <w:rFonts w:ascii="Times New Roman" w:hAnsi="Times New Roman" w:eastAsia="Times New Roman" w:cs="Times New Roman"/>
          <w:b/>
          <w:b/>
          <w:bCs/>
          <w:color w:val="00000A"/>
          <w:sz w:val="20"/>
          <w:szCs w:val="20"/>
        </w:rPr>
      </w:pPr>
      <w:r>
        <w:rPr>
          <w:rFonts w:eastAsia="Times New Roman" w:cs="Times New Roman" w:ascii="Times new roman" w:hAnsi="Times new roman"/>
          <w:b/>
          <w:bCs/>
          <w:color w:val="00000A"/>
          <w:sz w:val="20"/>
          <w:szCs w:val="20"/>
        </w:rPr>
        <w:t xml:space="preserve">I. </w:t>
      </w:r>
      <w:r>
        <w:rPr>
          <w:rFonts w:eastAsia="Times New Roman" w:cs="Times New Roman" w:ascii="Times new roman" w:hAnsi="Times new roman"/>
          <w:b/>
          <w:bCs/>
          <w:color w:val="00000A"/>
          <w:sz w:val="20"/>
          <w:szCs w:val="20"/>
        </w:rPr>
        <w:t xml:space="preserve">INTRODUCCIÓN </w:t>
      </w:r>
    </w:p>
    <w:p>
      <w:pPr>
        <w:pStyle w:val="Ttulo1"/>
        <w:bidi w:val="0"/>
        <w:spacing w:lineRule="auto" w:line="360" w:before="0" w:after="0"/>
        <w:ind w:left="0" w:right="0" w:hanging="0"/>
        <w:jc w:val="both"/>
        <w:rPr>
          <w:rFonts w:ascii="Times new roman" w:hAnsi="Times new roman"/>
          <w:sz w:val="20"/>
          <w:szCs w:val="20"/>
        </w:rPr>
      </w:pPr>
      <w:r>
        <w:rPr>
          <w:rFonts w:eastAsia="Times New Roman" w:cs="Times New Roman" w:ascii="Times new roman" w:hAnsi="Times new roman"/>
          <w:color w:val="00000A"/>
          <w:sz w:val="20"/>
          <w:szCs w:val="20"/>
        </w:rPr>
        <w:t xml:space="preserve"> </w:t>
      </w:r>
      <w:r>
        <w:rPr>
          <w:rFonts w:eastAsia="Times New Roman" w:cs="Times New Roman" w:ascii="Times new roman" w:hAnsi="Times new roman"/>
          <w:color w:val="00000A"/>
          <w:sz w:val="20"/>
          <w:szCs w:val="20"/>
        </w:rPr>
        <w:t>La reprobación y la deserción escolar es uno de los problemas intrínsecos en el sistema educativo que afecta a todos los sectores involucrados en la educación y, por su magnitud, constituye un problema importante del sistema educativo internacional, nacional y estatal. Las altas tasas de reprobación y deserción de los alumnos que se producen en todos los niveles educativos afectan negativamente los procesos económicos, sociales y culturales de cada región en su desarrollo.</w:t>
      </w:r>
    </w:p>
    <w:p>
      <w:pPr>
        <w:pStyle w:val="Normal"/>
        <w:bidi w:val="0"/>
        <w:spacing w:lineRule="auto" w:line="360" w:before="0" w:after="0"/>
        <w:ind w:left="0" w:right="0" w:hanging="0"/>
        <w:jc w:val="both"/>
        <w:rPr>
          <w:rFonts w:ascii="Times New Roman" w:hAnsi="Times New Roman" w:eastAsia="Times New Roman" w:cs="Times New Roman"/>
          <w:color w:val="00000A"/>
          <w:sz w:val="20"/>
          <w:szCs w:val="20"/>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La Organización de las Naciones Unidas para la Educación, la Ciencia y la Tecnología (UNESCO, 2013) señala que los desafíos de la educación superior en Latinoamérica son múltiples y de muy distinta naturaleza. En primer lugar, se precisa revertir la tendencia inequitativa de expansión, lo cual supone un mayor protagonismo del estado en términos financieros y de políticas compensatorias; en segundo término, los países deben fortalecer sus instituciones universitarias especialmente las grandes universidades públicas para generar una capacidad propia de producción científica y tecnológica, aspecto en el que se encuentra crónicamente retrasada; finalmente, las universidades deben hacer mucho más para conectarse con las necesidades de desarrollo de sus sociedades, siendo el propio sistema escolar un campo privilegiado para aquello, investigando sobre los problemas educacionales de las mayorías, apoyando al mejoramiento y la reforma escolar, formando mejor a los futuros docentes e integrándose verticalmente con el sistema educacional. </w:t>
      </w:r>
    </w:p>
    <w:p>
      <w:pPr>
        <w:pStyle w:val="Normal"/>
        <w:bidi w:val="0"/>
        <w:spacing w:lineRule="auto" w:line="360" w:before="0" w:after="0"/>
        <w:ind w:left="0" w:right="0" w:hanging="0"/>
        <w:jc w:val="both"/>
        <w:rPr>
          <w:rFonts w:ascii="Times New Roman" w:hAnsi="Times New Roman" w:eastAsia="Times New Roman" w:cs="Times New Roman"/>
          <w:sz w:val="20"/>
          <w:szCs w:val="20"/>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En la actualidad según la Organización para la Cooperación y el Desarrollo Económico (OCDE ,2019) México tiene la proporción más baja entre los países de adultos (25-64 años) con un título de educación superior (17%), una cifra muy inferior al promedio de dicha organización (37%), y por debajo de otros países de la región, tales como Chile (23%), Colombia (23%), Costa Rica (23%) o Argentina (21%). Sin embargo, se han conseguido avances notables por lo que se refiere al aumento del logro educativo en los niveles de educación superior en México, y durante los últimos 16 años la proporción de adultos jóvenes que han finalizado la educación superior pasó del 17% al 23%. Si se mantienen los patrones actuales, se prevé que el 26% de los jóvenes mexicanos obtengan un título de educación superior en algún momento de su vida. Actualmente más de medio millón de egresados de educación superior entran cada año en el mercado laboral. </w:t>
      </w:r>
    </w:p>
    <w:p>
      <w:pPr>
        <w:pStyle w:val="Normal"/>
        <w:bidi w:val="0"/>
        <w:spacing w:lineRule="auto" w:line="360" w:before="0" w:after="0"/>
        <w:ind w:left="0" w:right="0" w:hanging="0"/>
        <w:jc w:val="both"/>
        <w:rPr>
          <w:rFonts w:ascii="Times New Roman" w:hAnsi="Times New Roman" w:eastAsia="Times New Roman" w:cs="Times New Roman"/>
          <w:sz w:val="20"/>
          <w:szCs w:val="20"/>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Asu vez el Instituto Nacional de Estadística y Geografía (INEGI, 2019) presenta la estadística de que el 64.2 % de los estudiantes del medio superior en México concluyen ese nivel, mientras que específicamente en el estado de Yucatán el 66.8 % concluye el nivel educativo media superior que incluye Profesional técnico y Bachillerato. También a nivel nacional en el nivel educativo superior el 8.3 % de los estudiantes abandona la escuela de un total de 3,943,544 estudiantes inscritos y en específico en el estado de Yucatán el 8.8% abandona sus estudios de un total de 75,805.</w:t>
      </w:r>
    </w:p>
    <w:p>
      <w:pPr>
        <w:pStyle w:val="Normal"/>
        <w:bidi w:val="0"/>
        <w:spacing w:lineRule="auto" w:line="360" w:before="0" w:after="0"/>
        <w:ind w:left="0" w:right="0" w:hanging="0"/>
        <w:jc w:val="both"/>
        <w:rPr>
          <w:rFonts w:ascii="Times New Roman" w:hAnsi="Times New Roman" w:eastAsia="Times New Roman" w:cs="Times New Roman"/>
          <w:sz w:val="20"/>
          <w:szCs w:val="20"/>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Como se comentó anteriormente, uno de los principales problemas que enfrenta la educación superior en la actualidad es la reprobación y el rendimiento escolar. De acuerdo con el Diccionario de la Real Academia Española, reprobar es “No aprobar, dar por malo” (REA, 2019). En el ámbito académico significa que el alumno no ha logrado obtener una calificación mínima necesaria en un período.</w:t>
      </w:r>
    </w:p>
    <w:p>
      <w:pPr>
        <w:pStyle w:val="Normal"/>
        <w:bidi w:val="0"/>
        <w:spacing w:lineRule="auto" w:line="360" w:before="0" w:after="0"/>
        <w:ind w:left="0" w:right="0" w:hanging="0"/>
        <w:jc w:val="both"/>
        <w:rPr>
          <w:rFonts w:ascii="Times New Roman" w:hAnsi="Times New Roman" w:eastAsia="Times New Roman" w:cs="Times New Roman"/>
          <w:sz w:val="20"/>
          <w:szCs w:val="20"/>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La División Industrial de la Universidad Tecnológica Metropolitana no es la excepción en el alto índice de reprobación y deserción que ve afectada su matrícula en la actualidad; los alumnos que cursan las carreras de T.S.U. e Ingenierías están presentando muchas deficiencias de conocimiento, en específico en el área de matemáticas, según las estadísticas proporcionadas por el departamento académico de dicha institución. Considerando revertir este fenómeno en la División, antes de cada inicio de ciclo escolar, se imparten cursos de nivelación en matemáticas para los alumnos de nuevo ingreso y durante el cuatrimestre se ofrecen programas de asesorías de matemáticas en distintos momentos impartidos por docentes de la misma División.</w:t>
      </w:r>
    </w:p>
    <w:p>
      <w:pPr>
        <w:pStyle w:val="Normal"/>
        <w:bidi w:val="0"/>
        <w:spacing w:lineRule="auto" w:line="360" w:before="0" w:after="0"/>
        <w:ind w:left="0" w:right="0" w:hanging="0"/>
        <w:jc w:val="both"/>
        <w:rPr>
          <w:rFonts w:ascii="Times New Roman" w:hAnsi="Times New Roman" w:eastAsia="Times New Roman" w:cs="Times New Roman"/>
          <w:sz w:val="20"/>
          <w:szCs w:val="20"/>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cs="Times New Roman"/>
          <w:sz w:val="20"/>
          <w:szCs w:val="20"/>
        </w:rPr>
      </w:pPr>
      <w:r>
        <w:rPr>
          <w:rFonts w:eastAsia="Times New Roman" w:cs="Times New Roman" w:ascii="Times new roman" w:hAnsi="Times new roman"/>
          <w:sz w:val="20"/>
          <w:szCs w:val="20"/>
        </w:rPr>
        <w:t>Por su parte, así lo confirman Caballero y Espínola (2016), mencionan que las materias de matemáticas obtienen el indicador más bajo en aprovechamiento, por lo que es indispensable apoyar a los estudiantes para que desarrollen habilidades matemáticas y a los profesores para que desarrollen competencias docentes. Lo anterior ya que, a pesar de los múltiples esfuerzos de los docentes por desarrollar en los estudiantes las habilidades matemáticas, de acuerdo con los resultados obtenidos en ENLACE 2014, el 65.3% de ellos se encuentran en los niveles insuficiente y elemental.</w:t>
      </w:r>
    </w:p>
    <w:p>
      <w:pPr>
        <w:pStyle w:val="Normal"/>
        <w:bidi w:val="0"/>
        <w:spacing w:lineRule="auto" w:line="36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Según Cabellos (2016) en su investigación que tiene por objetivo reforzar los conocimientos adquiridos por los estudiantes durante su formación básica a través de un curso de nivelación, concluye que los cursos han permitido identificar el nivel de competencias con las cuales ingresan los estudiantes a la Universidad Francisco de Paula Santander Ocaña y con ello se han orientado diferentes estrategias de acompañamiento académico que realiza la institución desde los Departamentos de Ciencias Básicas, Humanidades y Bienestar Universitario, con el fin de disminuir la deserción académica. También ha permitido que se oriente las asesorías académicas y análisis de estilos de aprendizaje para que en conjunto con el estudiante se encuentre una forma adecuada de trabajo que mejore su rendimiento académico y a su vez garantizar el mínimo de conocimientos que debe tener el estudiante al ingresar a su formación profesional, ofreciendo estrategias metodológicas y educativas que permitan el fortalecimiento del rendimiento académico de los estudiantes a través de los conceptos fundamentales de las ciencias básicas.</w:t>
      </w:r>
    </w:p>
    <w:p>
      <w:pPr>
        <w:pStyle w:val="Normal"/>
        <w:bidi w:val="0"/>
        <w:spacing w:lineRule="auto" w:line="360" w:before="0" w:after="0"/>
        <w:ind w:left="0" w:right="0" w:hanging="0"/>
        <w:jc w:val="both"/>
        <w:rPr>
          <w:rFonts w:ascii="Times New Roman" w:hAnsi="Times New Roman" w:eastAsia="Times New Roman" w:cs="Times New Roman"/>
          <w:sz w:val="20"/>
          <w:szCs w:val="20"/>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Asimismo, Arguedas (2011) en su trabajo sobre el diseño curricular de un curso de matemática para estudiantes de primer ingreso, llega a la conclusión de que se evidencia con la implementación del curso de Introducción a las Matemáticas Universitarias, que el estudiante de primer ingreso desarrolla capacidades que contribuyen a minimizar la brecha cognitiva y emocional, mediante un trato personalizado y afectivo que le brinda el docente, reflejado en la forma de impartir la lección y en el tiempo que le dedica a la elaboración de materiales didácticos a través de diferentes recursos, incluyendo los de tipo tecnológico. Además, propone un cambio de paradigma, donde se pasa de una educación matemática universitaria escasa de didáctica, a la implementación de programas de cursos diseñados a partir de un análisis didáctico, y de esta forma colaborar con el estudiante de primer ingreso en su desempeño como estudiante universitario. Por otra parte, menciona que las instituciones universitarias deben de realizar cursos de nivelación en matemática, pero es importante que el programa contemple los contenidos que no se han visto en el colegio y que son básicos para el área del cálculo. Con respecto a los docentes que imparten los primeros cursos de matemática, menciona que deben ocuparse no sólo de los contenidos, sino de las estrategias de enseñanza con las que podría motivar al estudiante que recién inicia sus estudios universitarios, a comprometerse con su aprendizaje, de forma creativa e intensiva. </w:t>
      </w:r>
    </w:p>
    <w:p>
      <w:pPr>
        <w:pStyle w:val="Normal"/>
        <w:bidi w:val="0"/>
        <w:spacing w:lineRule="auto" w:line="360" w:before="0" w:after="0"/>
        <w:ind w:left="0" w:right="0" w:hanging="0"/>
        <w:jc w:val="both"/>
        <w:rPr>
          <w:rFonts w:ascii="Times New Roman" w:hAnsi="Times New Roman" w:eastAsia="Times New Roman" w:cs="Times New Roman"/>
          <w:sz w:val="20"/>
          <w:szCs w:val="20"/>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Por su parte, Méndez, Vázquez y López (2016) analizan la influencia del curso propedéutico en el aprovechamiento de las asignaturas Química, Cálculo 1 y Álgebra del primer semestre de la FIUADY. Entre sus principales conclusiones mencionan que la implementación obligatoria del curso propedéutico tuvo el efecto deseado, ya que permite igualar el nivel de conocimientos de los alumnos del primer semestre en las asignaturas: química, cálculo 1 y álgebra, entre los que llevaron curso propedéutico y los que ingresaron directamente.</w:t>
      </w:r>
    </w:p>
    <w:p>
      <w:pPr>
        <w:pStyle w:val="Normal"/>
        <w:bidi w:val="0"/>
        <w:spacing w:lineRule="auto" w:line="360" w:before="0" w:after="0"/>
        <w:ind w:left="0" w:right="0" w:hanging="0"/>
        <w:jc w:val="both"/>
        <w:rPr>
          <w:rFonts w:ascii="Times New Roman" w:hAnsi="Times New Roman" w:eastAsia="Times New Roman" w:cs="Times New Roman"/>
          <w:sz w:val="20"/>
          <w:szCs w:val="20"/>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Del mismo modo Soto, Díaz y Chiang (2017) en su trabajo cuyo propósito del programa es apoyar la retención y mejorar el rendimiento académico de estudiantes universitarios de primer año de origen socioeconómico vulnerable. Entre los resultados que presentan es que La Universidad de Concepción definió una serie de acciones destinadas a apoyar a los estudiantes beneficiarios del programa. Entre estas acciones se destacan: a) la realización de charlas y talleres que buscan desarrollar competencias básicas; b) la incorporación de tutores para apoyar la inducción a la vida universitaria y monitorear el rendimiento académico de los estudiantes; c) el apoyo de una red de profesionales, como asistente social, psicólogo y psicopedagogo. </w:t>
      </w:r>
    </w:p>
    <w:p>
      <w:pPr>
        <w:pStyle w:val="Normal"/>
        <w:bidi w:val="0"/>
        <w:spacing w:lineRule="auto" w:line="360" w:before="0" w:after="0"/>
        <w:ind w:left="0" w:right="0" w:hanging="0"/>
        <w:jc w:val="both"/>
        <w:rPr>
          <w:rFonts w:ascii="Times New Roman" w:hAnsi="Times New Roman" w:eastAsia="Times New Roman" w:cs="Times New Roman"/>
          <w:sz w:val="20"/>
          <w:szCs w:val="20"/>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Algo semejante ocurre con Dapelo y Marcone (2013) que comparten algunas evidencias empíricas respecto a la evaluación de la efectividad de la estrategia de intervención implementada en el primer semestre del año 2012 en dos módulos de la estrategia de intervención (Comunicación Académica Eficaz y Razonamiento Lógico Matemático). Entre sus principales aportaciones mencionan que el impartir estrategias de intervención ha sido efectiva en disminuir la brecha en los niveles competenciales en habilidades de lenguaje y matemática detectados en el grupo de estudiantes participantes, al inicio de la vida universitaria. Finalmente, la importancia de una propuesta como ésta, reside en la incidencia que el cumplimiento de los objetivos significa para favorecer el rendimiento académico de los estudiantes en sus distintas actividades curriculares. </w:t>
      </w:r>
    </w:p>
    <w:p>
      <w:pPr>
        <w:pStyle w:val="Normal"/>
        <w:bidi w:val="0"/>
        <w:spacing w:lineRule="auto" w:line="360" w:before="0" w:after="0"/>
        <w:ind w:left="0" w:right="0" w:hanging="0"/>
        <w:jc w:val="both"/>
        <w:rPr>
          <w:rFonts w:ascii="Times New Roman" w:hAnsi="Times New Roman" w:eastAsia="Times New Roman" w:cs="Times New Roman"/>
          <w:sz w:val="20"/>
          <w:szCs w:val="20"/>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De Luna (2019) concluye que de los puntos importantes a considerar en un curso de nivelación para estudiantes de primer semestre de cualquier ingeniería es la premura en su iniciación, ya que del desarrollo de este depende los resultados que ellos obtendrán a lo largo de su arranque de la carrera, por eso es necesario considerar que curso de nivelación inicie durante la inducción para minimizar el impacto que las deficiencias pudieran ocasionar durante su primera secuencia de aprendizaje. También menciona que es recomendable para el éxito en la nivelación que este curso se lleve de forma paralela a las materias de primer semestre y que le sea asignado un porcentaje de la calificación al desarrollo de las actividades del curso para garantizar el éxito del estudio. </w:t>
      </w:r>
    </w:p>
    <w:p>
      <w:pPr>
        <w:pStyle w:val="Normal"/>
        <w:bidi w:val="0"/>
        <w:spacing w:lineRule="auto" w:line="360" w:before="0" w:after="0"/>
        <w:ind w:left="0" w:right="0" w:hanging="0"/>
        <w:jc w:val="both"/>
        <w:rPr>
          <w:rFonts w:ascii="Times New Roman" w:hAnsi="Times New Roman" w:eastAsia="Times New Roman" w:cs="Times New Roman"/>
          <w:sz w:val="20"/>
          <w:szCs w:val="20"/>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Para Espinosa (s.f.) “Nivelación académica es un programa académico que tiene como finalidad nivelar a los alumnos que no lograron acreditar sus materias de manera ordinaria, para que puedan continuar sus estudios sin deber ninguna asignatura y concluir sus estudios satisfactoriamente”</w:t>
      </w:r>
      <w:r>
        <w:rPr>
          <w:rFonts w:eastAsia="Times New Roman" w:cs="Times New Roman" w:ascii="Times New Roman" w:hAnsi="Times New Roman"/>
          <w:sz w:val="20"/>
          <w:szCs w:val="20"/>
        </w:rPr>
        <w:t>.</w:t>
      </w:r>
    </w:p>
    <w:p>
      <w:pPr>
        <w:pStyle w:val="Normal"/>
        <w:bidi w:val="0"/>
        <w:spacing w:lineRule="auto" w:line="360" w:before="0" w:after="0"/>
        <w:ind w:left="0" w:right="0" w:hanging="0"/>
        <w:jc w:val="both"/>
        <w:rPr>
          <w:rFonts w:ascii="Times New Roman" w:hAnsi="Times New Roman" w:eastAsia="Times New Roman" w:cs="Times New Roman"/>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En ese mismo sentido Ramírez (2012), propone un modelo de asesoría académica, destinado a mejorar los conocimientos en Matemática elemental de los estudiantes que ingresan a la Facultad de Ingeniería de la UCV. La propuesta se fundamenta en las experiencias reportadas por varios investigadores respecto al impacto positivo de los cursos remediales en Matemática, las nuevas teorías psicopedagógicas que promueven entornos de aprendizaje centrados en el trabajo del estudiante y la incorporación de medios informáticos como herramienta de soporte</w:t>
      </w:r>
      <w:r>
        <w:rPr>
          <w:rFonts w:eastAsia="Calibri" w:cs="Times New Roman" w:ascii="Times new roman" w:hAnsi="Times new roman"/>
          <w:sz w:val="20"/>
          <w:szCs w:val="20"/>
        </w:rPr>
        <w:t>. Entre sus conclusiones confirma la hipótesis general de la investigación según la cual los estudiantes cursantes de la asignatura Cálculo I, sometidos a un modelo de asesoría consistente en la realización de un curso remedial, y apoyado en las TIC, obtienen calificaciones significativamente mejores que aquellos no participantes de la misma. Asimismo, la principal conclusión es que la metodología rompe la estructura unidireccional de la clase, centra la dinámica del aula en el trabajo de los grupos, cambia la forma de las relaciones tradicionales entre profesor – alumno y permite que cada estudiante avanzara a su propio ritmo, durante cada sesión de trabajo, respetando con ello las diferencias individuales. También menciona que se podrían nivelar los conocimientos básicos que debe poseer el estudiante que ingresa a la carrera, para que pueda afrontar con posibilidades de éxito, las asignaturas de los primeros semestres. Por último, recomienda ofrecer cursos remediales como el presentado aquí, extracurriculares, que puedan ser seguidos por todos aquellos estudiantes que sientan la necesidad de repasar estos temas de Matemática elemental, pero antes de eso lo primero que debería hacerse es ofrecer a los docentes programas formativos en el uso técnico de estas herramientas, para que luego estos puedan hacer uso de estas, contextualizándolas a los propios escenarios educativos.</w:t>
      </w:r>
    </w:p>
    <w:p>
      <w:pPr>
        <w:pStyle w:val="Normal"/>
        <w:bidi w:val="0"/>
        <w:spacing w:lineRule="auto" w:line="360" w:before="0" w:after="0"/>
        <w:ind w:left="0" w:right="0" w:hanging="0"/>
        <w:jc w:val="both"/>
        <w:rPr>
          <w:rFonts w:ascii="Times New Roman" w:hAnsi="Times New Roman" w:eastAsia="Calibri" w:cs="Times New Roman"/>
          <w:sz w:val="20"/>
          <w:szCs w:val="20"/>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Asimismo, los estudios encontrados también confirman que los programas de nivelación académica en las instituciones de educación suelen ser estrategias académicas que coadyuban a mejor los resultados académicos de los estudiantes. </w:t>
      </w:r>
    </w:p>
    <w:p>
      <w:pPr>
        <w:pStyle w:val="Normal"/>
        <w:bidi w:val="0"/>
        <w:spacing w:lineRule="auto" w:line="360" w:before="0" w:after="0"/>
        <w:ind w:left="0" w:right="0" w:hanging="0"/>
        <w:jc w:val="both"/>
        <w:rPr>
          <w:rFonts w:ascii="Times New Roman" w:hAnsi="Times New Roman" w:eastAsia="Times New Roman" w:cs="Times New Roman"/>
          <w:sz w:val="20"/>
          <w:szCs w:val="20"/>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Por las razones anteriormente expuestas se desarrolló el programa de nivelación matemática de la División Industrial de la Universidad Tecnológica Metropolitana.</w:t>
      </w:r>
    </w:p>
    <w:p>
      <w:pPr>
        <w:pStyle w:val="Normal"/>
        <w:bidi w:val="0"/>
        <w:spacing w:lineRule="auto" w:line="360" w:before="0" w:after="0"/>
        <w:ind w:left="0" w:right="0" w:hanging="0"/>
        <w:jc w:val="both"/>
        <w:rPr>
          <w:rFonts w:ascii="Times New Roman" w:hAnsi="Times New Roman" w:eastAsia="Times New Roman" w:cs="Times New Roman"/>
          <w:sz w:val="20"/>
          <w:szCs w:val="20"/>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Estos trabajos revelan que los problemas asociados a la reprobación y el rendimiento académico de estudiantes son comunes en muchas instituciones de educación superior, no importando el país de origen, ni la institución y mucho menos la carrera, pero que tiene que ver la inclusión de la comunidad educativa para obtener buenos resultados. Es decir, existen estrategias, herramientas y sobre todo programas que las mismas instituciones pueden implementar para reducir las tasas de reprobación, rendimiento escolar o abandono. </w:t>
      </w:r>
    </w:p>
    <w:p>
      <w:pPr>
        <w:pStyle w:val="Normal"/>
        <w:bidi w:val="0"/>
        <w:spacing w:lineRule="auto" w:line="360" w:before="0" w:after="0"/>
        <w:ind w:left="0" w:right="0" w:hanging="0"/>
        <w:jc w:val="both"/>
        <w:rPr>
          <w:rFonts w:ascii="Times New Roman" w:hAnsi="Times New Roman" w:eastAsia="Times New Roman" w:cs="Times New Roman"/>
          <w:sz w:val="20"/>
          <w:szCs w:val="20"/>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cs="Times New Roman"/>
          <w:sz w:val="20"/>
          <w:szCs w:val="20"/>
        </w:rPr>
      </w:pPr>
      <w:r>
        <w:rPr>
          <w:rFonts w:eastAsia="Times New Roman" w:cs="Times New Roman" w:ascii="Times new roman" w:hAnsi="Times new roman"/>
          <w:sz w:val="20"/>
          <w:szCs w:val="20"/>
        </w:rPr>
        <w:t>Finalmente, no hay que perder de vista las clases que actualmente se están impartiendo de manera virtual provocados por la pandemia que permite empezar a analizar otras formas de enseñanza y sobre todo para los programas de nivelación académica.</w:t>
      </w:r>
    </w:p>
    <w:p>
      <w:pPr>
        <w:pStyle w:val="Normal"/>
        <w:bidi w:val="0"/>
        <w:spacing w:lineRule="auto" w:line="36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360" w:before="0" w:after="0"/>
        <w:ind w:left="0" w:right="0" w:hanging="0"/>
        <w:jc w:val="both"/>
        <w:rPr>
          <w:rFonts w:ascii="Times new roman" w:hAnsi="Times new roman"/>
          <w:sz w:val="20"/>
          <w:szCs w:val="20"/>
        </w:rPr>
      </w:pPr>
      <w:r>
        <w:rPr>
          <w:rFonts w:cs="Times New Roman" w:ascii="Times new roman" w:hAnsi="Times new roman"/>
          <w:b/>
          <w:sz w:val="20"/>
          <w:szCs w:val="20"/>
        </w:rPr>
        <w:t xml:space="preserve">II. </w:t>
      </w:r>
      <w:r>
        <w:rPr>
          <w:rFonts w:cs="Times New Roman" w:ascii="Times new roman" w:hAnsi="Times new roman"/>
          <w:b/>
          <w:sz w:val="20"/>
          <w:szCs w:val="20"/>
        </w:rPr>
        <w:t>METODOLOGÍA</w:t>
      </w:r>
    </w:p>
    <w:p>
      <w:pPr>
        <w:pStyle w:val="Normal"/>
        <w:bidi w:val="0"/>
        <w:spacing w:lineRule="auto" w:line="360" w:before="0" w:after="0"/>
        <w:ind w:left="0" w:right="0" w:hanging="0"/>
        <w:jc w:val="both"/>
        <w:rPr>
          <w:rFonts w:ascii="Times new roman" w:hAnsi="Times new roman"/>
          <w:sz w:val="20"/>
          <w:szCs w:val="20"/>
        </w:rPr>
      </w:pPr>
      <w:r>
        <w:rPr>
          <w:rFonts w:cs="Times New Roman" w:ascii="Times new roman" w:hAnsi="Times new roman"/>
          <w:sz w:val="20"/>
          <w:szCs w:val="20"/>
        </w:rPr>
        <w:t>La investigación objeto de este trabajo estuvo orientada a evaluar el efecto en los conocimientos en matemáticas básicas de los alumnos de nuevo ingreso, con el apoyo de un Programa de Nivelación Matemática (PNM), en forma presencial, basado en asesorías y con acompañamiento de los profesores para la resolución de ejercicios.</w:t>
      </w:r>
    </w:p>
    <w:p>
      <w:pPr>
        <w:pStyle w:val="Normal"/>
        <w:bidi w:val="0"/>
        <w:spacing w:lineRule="auto" w:line="360" w:before="0" w:after="0"/>
        <w:ind w:left="0" w:right="0" w:hanging="0"/>
        <w:jc w:val="both"/>
        <w:rPr>
          <w:rFonts w:ascii="Times New Roman" w:hAnsi="Times New Roman" w:cs="Times New Roman"/>
          <w:sz w:val="20"/>
          <w:szCs w:val="20"/>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cs="Times New Roman"/>
          <w:i/>
          <w:i/>
          <w:sz w:val="20"/>
          <w:szCs w:val="20"/>
        </w:rPr>
      </w:pPr>
      <w:r>
        <w:rPr>
          <w:rFonts w:cs="Times New Roman" w:ascii="Times new roman" w:hAnsi="Times new roman"/>
          <w:i/>
          <w:sz w:val="20"/>
          <w:szCs w:val="20"/>
        </w:rPr>
        <w:t xml:space="preserve">A. </w:t>
      </w:r>
      <w:r>
        <w:rPr>
          <w:rFonts w:cs="Times New Roman" w:ascii="Times new roman" w:hAnsi="Times new roman"/>
          <w:i/>
          <w:sz w:val="20"/>
          <w:szCs w:val="20"/>
        </w:rPr>
        <w:t>Etapas del diseño, producción, implementación y evaluación del Programa de Nivelación Matemática.</w:t>
      </w:r>
    </w:p>
    <w:p>
      <w:pPr>
        <w:pStyle w:val="Normal"/>
        <w:bidi w:val="0"/>
        <w:spacing w:lineRule="auto" w:line="36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Etapa de diseño</w:t>
      </w:r>
    </w:p>
    <w:p>
      <w:pPr>
        <w:pStyle w:val="Normal"/>
        <w:bidi w:val="0"/>
        <w:spacing w:lineRule="auto" w:line="360" w:before="0" w:after="0"/>
        <w:ind w:left="0" w:right="0" w:hanging="0"/>
        <w:jc w:val="both"/>
        <w:rPr>
          <w:rFonts w:ascii="Times new roman" w:hAnsi="Times new roman"/>
          <w:sz w:val="20"/>
          <w:szCs w:val="20"/>
        </w:rPr>
      </w:pPr>
      <w:r>
        <w:rPr>
          <w:rFonts w:cs="Times New Roman" w:ascii="Times new roman" w:hAnsi="Times new roman"/>
          <w:sz w:val="20"/>
          <w:szCs w:val="20"/>
        </w:rPr>
        <w:t>El diseño del programa se realizó en consenso con los integrantes de la academia de ciencias básicas. Se propuso que el programa constara de 2 etapas, cuyos objetivos se mencionan a continuación:</w:t>
      </w:r>
    </w:p>
    <w:p>
      <w:pPr>
        <w:pStyle w:val="Normal"/>
        <w:bidi w:val="0"/>
        <w:spacing w:lineRule="auto" w:line="360" w:before="0" w:after="0"/>
        <w:ind w:left="0" w:right="0" w:hanging="0"/>
        <w:jc w:val="both"/>
        <w:rPr>
          <w:rFonts w:ascii="Times New Roman" w:hAnsi="Times New Roman" w:cs="Times New Roman"/>
          <w:sz w:val="20"/>
          <w:szCs w:val="20"/>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Etapa 1. “Detección”, cuyo objetivo fue identificar a los alumnos que requerían asesorías en temas de conocimientos matemáticos básicos. Para esta etapa se utilizaron dos instrumentos: una prueba diagnóstica escrita, que representó el 80% de la calificación de esta etapa y una “Guía de Nivelación matemática”, la cual consistió en un cuadernillo con explicaciones de las temáticas del programa, ejemplos resueltos paso a paso y una sección de ejercicios para que el alumno resuelva en un período de una semana. Este instrumento significó el 20% de la calificación de la etapa. Los alumnos con las calificaciones más bajas serían seleccionados para pasar a la etapa 2.</w:t>
      </w:r>
    </w:p>
    <w:p>
      <w:pPr>
        <w:pStyle w:val="Normal"/>
        <w:bidi w:val="0"/>
        <w:spacing w:lineRule="auto" w:line="360" w:before="0" w:after="0"/>
        <w:ind w:left="0" w:right="0" w:hanging="0"/>
        <w:jc w:val="both"/>
        <w:rPr>
          <w:rFonts w:cs="Times New Roman"/>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Etapa 2. “Nivelación”, cuyo objetivo fue mejorar las habilidades matemáticas básicas de los alumnos mediante la impartición de asesorías y complementando con la realización de ejercicios. Los instrumentos utilizados para esta etapa fueron dos: un cuadernillo de ejercicios denominado “Resultado de Aprendizaje” que significó el 20% de la calificación final y un examen final, el cual representó el restante 80% restante.</w:t>
      </w:r>
    </w:p>
    <w:p>
      <w:pPr>
        <w:pStyle w:val="Normal"/>
        <w:bidi w:val="0"/>
        <w:spacing w:lineRule="auto" w:line="360" w:before="0" w:after="0"/>
        <w:ind w:left="0" w:right="0" w:hanging="0"/>
        <w:jc w:val="both"/>
        <w:rPr>
          <w:rFonts w:cs="Times New Roman"/>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Etapa de producción</w:t>
      </w:r>
    </w:p>
    <w:p>
      <w:pPr>
        <w:pStyle w:val="Normal"/>
        <w:bidi w:val="0"/>
        <w:spacing w:lineRule="auto" w:line="360" w:before="0" w:after="0"/>
        <w:ind w:left="0" w:right="0" w:hanging="0"/>
        <w:jc w:val="both"/>
        <w:rPr>
          <w:rFonts w:ascii="Times new roman" w:hAnsi="Times new roman"/>
          <w:sz w:val="20"/>
          <w:szCs w:val="20"/>
        </w:rPr>
      </w:pPr>
      <w:r>
        <w:rPr>
          <w:rFonts w:cs="Times New Roman" w:ascii="Times new roman" w:hAnsi="Times new roman"/>
          <w:sz w:val="20"/>
          <w:szCs w:val="20"/>
        </w:rPr>
        <w:t>En esta etapa, lo primero que se realizó fue la selección de las temáticas que se incluirían en el Programa de Nivelación Matemática, lo cual se hizo a través de entrevistas a los profesores que imparten asignaturas de ciencias básicas; a continuación, se mencionan los temas seleccionados:</w:t>
      </w:r>
    </w:p>
    <w:p>
      <w:pPr>
        <w:pStyle w:val="Normal"/>
        <w:bidi w:val="0"/>
        <w:spacing w:lineRule="auto" w:line="360" w:before="0" w:after="0"/>
        <w:ind w:left="0" w:right="0" w:hanging="0"/>
        <w:jc w:val="both"/>
        <w:rPr>
          <w:rFonts w:ascii="Times new roman" w:hAnsi="Times new roman"/>
          <w:sz w:val="20"/>
          <w:szCs w:val="20"/>
        </w:rPr>
      </w:pPr>
      <w:r>
        <w:rPr>
          <w:rFonts w:cs="Times New Roman" w:ascii="Times new roman" w:hAnsi="Times new roman"/>
          <w:sz w:val="20"/>
          <w:szCs w:val="20"/>
        </w:rPr>
        <w:t xml:space="preserve">(a) </w:t>
      </w:r>
      <w:r>
        <w:rPr>
          <w:rFonts w:cs="Times New Roman" w:ascii="Times new roman" w:hAnsi="Times new roman"/>
          <w:sz w:val="20"/>
          <w:szCs w:val="20"/>
        </w:rPr>
        <w:t>Leyes de los signos y operaciones con números reales enteros.</w:t>
      </w:r>
    </w:p>
    <w:p>
      <w:pPr>
        <w:pStyle w:val="Normal"/>
        <w:bidi w:val="0"/>
        <w:spacing w:lineRule="auto" w:line="360" w:before="0" w:after="0"/>
        <w:ind w:left="0" w:right="0" w:hanging="0"/>
        <w:jc w:val="both"/>
        <w:rPr>
          <w:rFonts w:ascii="Times new roman" w:hAnsi="Times new roman"/>
          <w:sz w:val="20"/>
          <w:szCs w:val="20"/>
        </w:rPr>
      </w:pPr>
      <w:r>
        <w:rPr>
          <w:rFonts w:cs="Times New Roman" w:ascii="Times new roman" w:hAnsi="Times new roman"/>
          <w:sz w:val="20"/>
          <w:szCs w:val="20"/>
        </w:rPr>
        <w:t xml:space="preserve">(b) </w:t>
      </w:r>
      <w:r>
        <w:rPr>
          <w:rFonts w:cs="Times New Roman" w:ascii="Times new roman" w:hAnsi="Times new roman"/>
          <w:sz w:val="20"/>
          <w:szCs w:val="20"/>
        </w:rPr>
        <w:t>Operaciones con números reales racionales.</w:t>
      </w:r>
    </w:p>
    <w:p>
      <w:pPr>
        <w:pStyle w:val="Normal"/>
        <w:bidi w:val="0"/>
        <w:spacing w:lineRule="auto" w:line="360" w:before="0" w:after="0"/>
        <w:ind w:left="0" w:right="0" w:hanging="0"/>
        <w:jc w:val="both"/>
        <w:rPr>
          <w:rFonts w:ascii="Times new roman" w:hAnsi="Times new roman"/>
          <w:sz w:val="20"/>
          <w:szCs w:val="20"/>
        </w:rPr>
      </w:pPr>
      <w:r>
        <w:rPr>
          <w:rFonts w:cs="Times New Roman" w:ascii="Times new roman" w:hAnsi="Times new roman"/>
          <w:sz w:val="20"/>
          <w:szCs w:val="20"/>
        </w:rPr>
        <w:t xml:space="preserve">(c) </w:t>
      </w:r>
      <w:r>
        <w:rPr>
          <w:rFonts w:cs="Times New Roman" w:ascii="Times new roman" w:hAnsi="Times new roman"/>
          <w:sz w:val="20"/>
          <w:szCs w:val="20"/>
        </w:rPr>
        <w:t>Signos de agrupación, operaciones combinadas y orden de las operaciones.</w:t>
      </w:r>
    </w:p>
    <w:p>
      <w:pPr>
        <w:pStyle w:val="ListParagraph"/>
        <w:numPr>
          <w:ilvl w:val="0"/>
          <w:numId w:val="0"/>
        </w:numPr>
        <w:bidi w:val="0"/>
        <w:spacing w:lineRule="auto" w:line="360" w:before="0" w:after="0"/>
        <w:ind w:left="720" w:right="0" w:hanging="0"/>
        <w:jc w:val="both"/>
        <w:rPr>
          <w:rFonts w:ascii="Times New Roman" w:hAnsi="Times New Roman" w:cs="Times New Roman"/>
          <w:sz w:val="20"/>
          <w:szCs w:val="20"/>
        </w:rPr>
      </w:pPr>
      <w:r>
        <w:rPr>
          <w:rFonts w:cs="Times New Roman" w:ascii="Times new roman" w:hAnsi="Times new roman"/>
          <w:sz w:val="20"/>
          <w:szCs w:val="20"/>
        </w:rPr>
        <w:t xml:space="preserve">(d) </w:t>
      </w:r>
      <w:r>
        <w:rPr>
          <w:rFonts w:cs="Times New Roman" w:ascii="Times new roman" w:hAnsi="Times new roman"/>
          <w:sz w:val="20"/>
          <w:szCs w:val="20"/>
        </w:rPr>
        <w:t>Leyes de los exponentes.</w:t>
      </w:r>
    </w:p>
    <w:p>
      <w:pPr>
        <w:pStyle w:val="ListParagraph"/>
        <w:numPr>
          <w:ilvl w:val="0"/>
          <w:numId w:val="0"/>
        </w:numPr>
        <w:bidi w:val="0"/>
        <w:spacing w:lineRule="auto" w:line="360" w:before="0" w:after="0"/>
        <w:ind w:left="720" w:right="0" w:hanging="0"/>
        <w:jc w:val="both"/>
        <w:rPr>
          <w:rFonts w:ascii="Times New Roman" w:hAnsi="Times New Roman" w:cs="Times New Roman"/>
          <w:sz w:val="20"/>
          <w:szCs w:val="20"/>
        </w:rPr>
      </w:pPr>
      <w:r>
        <w:rPr>
          <w:rFonts w:cs="Times New Roman" w:ascii="Times new roman" w:hAnsi="Times new roman"/>
          <w:sz w:val="20"/>
          <w:szCs w:val="20"/>
        </w:rPr>
        <w:t xml:space="preserve">(e) </w:t>
      </w:r>
      <w:r>
        <w:rPr>
          <w:rFonts w:cs="Times New Roman" w:ascii="Times new roman" w:hAnsi="Times new roman"/>
          <w:sz w:val="20"/>
          <w:szCs w:val="20"/>
        </w:rPr>
        <w:t>Operaciones con polinomios (sumas y restas).</w:t>
      </w:r>
    </w:p>
    <w:p>
      <w:pPr>
        <w:pStyle w:val="ListParagraph"/>
        <w:numPr>
          <w:ilvl w:val="0"/>
          <w:numId w:val="0"/>
        </w:numPr>
        <w:bidi w:val="0"/>
        <w:spacing w:lineRule="auto" w:line="360" w:before="0" w:after="0"/>
        <w:ind w:left="720" w:right="0" w:hanging="0"/>
        <w:jc w:val="both"/>
        <w:rPr>
          <w:rFonts w:ascii="Times New Roman" w:hAnsi="Times New Roman" w:cs="Times New Roman"/>
          <w:sz w:val="20"/>
          <w:szCs w:val="20"/>
        </w:rPr>
      </w:pPr>
      <w:r>
        <w:rPr>
          <w:rFonts w:cs="Times New Roman" w:ascii="Times new roman" w:hAnsi="Times new roman"/>
          <w:sz w:val="20"/>
          <w:szCs w:val="20"/>
        </w:rPr>
        <w:t xml:space="preserve">(f) </w:t>
      </w:r>
      <w:r>
        <w:rPr>
          <w:rFonts w:cs="Times New Roman" w:ascii="Times new roman" w:hAnsi="Times new roman"/>
          <w:sz w:val="20"/>
          <w:szCs w:val="20"/>
        </w:rPr>
        <w:t>Operaciones con polinomios (productos).</w:t>
      </w:r>
    </w:p>
    <w:p>
      <w:pPr>
        <w:pStyle w:val="ListParagraph"/>
        <w:numPr>
          <w:ilvl w:val="0"/>
          <w:numId w:val="0"/>
        </w:numPr>
        <w:bidi w:val="0"/>
        <w:spacing w:lineRule="auto" w:line="360" w:before="0" w:after="0"/>
        <w:ind w:left="720" w:right="0" w:hanging="0"/>
        <w:jc w:val="both"/>
        <w:rPr>
          <w:rFonts w:ascii="Times New Roman" w:hAnsi="Times New Roman" w:cs="Times New Roman"/>
          <w:sz w:val="20"/>
          <w:szCs w:val="20"/>
        </w:rPr>
      </w:pPr>
      <w:r>
        <w:rPr>
          <w:rFonts w:cs="Times New Roman" w:ascii="Times new roman" w:hAnsi="Times new roman"/>
          <w:sz w:val="20"/>
          <w:szCs w:val="20"/>
        </w:rPr>
        <w:t xml:space="preserve">(g) </w:t>
      </w:r>
      <w:r>
        <w:rPr>
          <w:rFonts w:cs="Times New Roman" w:ascii="Times new roman" w:hAnsi="Times new roman"/>
          <w:sz w:val="20"/>
          <w:szCs w:val="20"/>
        </w:rPr>
        <w:t>Productos notables.</w:t>
      </w:r>
    </w:p>
    <w:p>
      <w:pPr>
        <w:pStyle w:val="ListParagraph"/>
        <w:numPr>
          <w:ilvl w:val="0"/>
          <w:numId w:val="0"/>
        </w:numPr>
        <w:bidi w:val="0"/>
        <w:spacing w:lineRule="auto" w:line="360" w:before="0" w:after="0"/>
        <w:ind w:left="720" w:right="0" w:hanging="0"/>
        <w:jc w:val="both"/>
        <w:rPr>
          <w:rFonts w:ascii="Times New Roman" w:hAnsi="Times New Roman" w:cs="Times New Roman"/>
          <w:sz w:val="20"/>
          <w:szCs w:val="20"/>
        </w:rPr>
      </w:pPr>
      <w:r>
        <w:rPr>
          <w:rFonts w:cs="Times New Roman" w:ascii="Times new roman" w:hAnsi="Times new roman"/>
          <w:sz w:val="20"/>
          <w:szCs w:val="20"/>
        </w:rPr>
        <w:t xml:space="preserve">(h) </w:t>
      </w:r>
      <w:r>
        <w:rPr>
          <w:rFonts w:cs="Times New Roman" w:ascii="Times new roman" w:hAnsi="Times new roman"/>
          <w:sz w:val="20"/>
          <w:szCs w:val="20"/>
        </w:rPr>
        <w:t>Factorización.</w:t>
      </w:r>
    </w:p>
    <w:p>
      <w:pPr>
        <w:pStyle w:val="Normal"/>
        <w:bidi w:val="0"/>
        <w:spacing w:lineRule="auto" w:line="360" w:before="0" w:after="0"/>
        <w:ind w:left="0" w:right="0" w:hanging="0"/>
        <w:jc w:val="both"/>
        <w:rPr>
          <w:rFonts w:cs="Times New Roman"/>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Posteriormente se crearon los instrumentos que se utilizaron en el programa, quedando de la siguiente manera:</w:t>
      </w:r>
    </w:p>
    <w:p>
      <w:pPr>
        <w:pStyle w:val="Normal"/>
        <w:bidi w:val="0"/>
        <w:spacing w:lineRule="auto" w:line="36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Etapa 1 “Detección”:</w:t>
      </w:r>
    </w:p>
    <w:p>
      <w:pPr>
        <w:pStyle w:val="ListParagraph"/>
        <w:numPr>
          <w:ilvl w:val="0"/>
          <w:numId w:val="2"/>
        </w:numPr>
        <w:bidi w:val="0"/>
        <w:spacing w:lineRule="auto" w:line="36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Prueba diagnóstica. Conformada por 40 reactivos, 5 de cada uno de los 8 temas seleccionados, de una dificultad básica y que se pudiera resolver en promedio en 60 minutos.</w:t>
      </w:r>
    </w:p>
    <w:p>
      <w:pPr>
        <w:pStyle w:val="ListParagraph"/>
        <w:numPr>
          <w:ilvl w:val="0"/>
          <w:numId w:val="2"/>
        </w:numPr>
        <w:bidi w:val="0"/>
        <w:spacing w:lineRule="auto" w:line="360" w:before="0" w:after="0"/>
        <w:ind w:left="0" w:right="0" w:hanging="0"/>
        <w:jc w:val="both"/>
        <w:rPr>
          <w:rFonts w:ascii="Times new roman" w:hAnsi="Times new roman"/>
          <w:sz w:val="20"/>
          <w:szCs w:val="20"/>
        </w:rPr>
      </w:pPr>
      <w:r>
        <w:rPr>
          <w:rFonts w:cs="Times New Roman" w:ascii="Times new roman" w:hAnsi="Times new roman"/>
          <w:sz w:val="20"/>
          <w:szCs w:val="20"/>
        </w:rPr>
        <w:t>Guía de Nivelación Matemática. Es un documento de 32 hojas, cuya estructura es: explicación teórica del tema, resolución paso a paso de algunos ejercicios y una sección de ejercicios para que resuelva el alumno (entre 15 y 20 dependiendo del tema). La guía contiene los 8 temas seleccionados para el programa.</w:t>
      </w:r>
    </w:p>
    <w:p>
      <w:pPr>
        <w:pStyle w:val="ListParagraph"/>
        <w:numPr>
          <w:ilvl w:val="0"/>
          <w:numId w:val="0"/>
        </w:numPr>
        <w:bidi w:val="0"/>
        <w:spacing w:lineRule="auto" w:line="360" w:before="0" w:after="0"/>
        <w:ind w:left="720" w:right="0" w:hanging="0"/>
        <w:jc w:val="both"/>
        <w:rPr>
          <w:rFonts w:ascii="Times New Roman" w:hAnsi="Times New Roman" w:cs="Times New Roman"/>
          <w:sz w:val="20"/>
          <w:szCs w:val="20"/>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Etapa 2 “Nivelación”:</w:t>
      </w:r>
    </w:p>
    <w:p>
      <w:pPr>
        <w:pStyle w:val="ListParagraph"/>
        <w:numPr>
          <w:ilvl w:val="0"/>
          <w:numId w:val="3"/>
        </w:numPr>
        <w:bidi w:val="0"/>
        <w:spacing w:lineRule="auto" w:line="36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Resultado de aprendizaje. Es un documento de 8 hojas, el cual incluye únicamente ejercicios para que el alumno resuelva, cada tema tiene entre 15 y 40 ejercicios. El documento contiene los 8 temas seleccionados para el programa.</w:t>
      </w:r>
    </w:p>
    <w:p>
      <w:pPr>
        <w:pStyle w:val="ListParagraph"/>
        <w:numPr>
          <w:ilvl w:val="0"/>
          <w:numId w:val="3"/>
        </w:numPr>
        <w:bidi w:val="0"/>
        <w:spacing w:lineRule="auto" w:line="36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Examen final. Son los mismos ejercicios de la prueba diagnóstica (40), colocados en un diferente orden.</w:t>
      </w:r>
    </w:p>
    <w:p>
      <w:pPr>
        <w:pStyle w:val="Normal"/>
        <w:bidi w:val="0"/>
        <w:spacing w:lineRule="auto" w:line="360" w:before="0" w:after="0"/>
        <w:ind w:left="0" w:right="0" w:hanging="0"/>
        <w:jc w:val="both"/>
        <w:rPr>
          <w:rFonts w:cs="Times New Roman"/>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Etapa de implementación</w:t>
      </w:r>
    </w:p>
    <w:p>
      <w:pPr>
        <w:pStyle w:val="Normal"/>
        <w:bidi w:val="0"/>
        <w:spacing w:lineRule="auto" w:line="360" w:before="0" w:after="0"/>
        <w:ind w:left="0" w:right="0" w:hanging="0"/>
        <w:jc w:val="both"/>
        <w:rPr>
          <w:rFonts w:ascii="Times new roman" w:hAnsi="Times new roman"/>
          <w:sz w:val="20"/>
          <w:szCs w:val="20"/>
        </w:rPr>
      </w:pPr>
      <w:r>
        <w:rPr>
          <w:rFonts w:cs="Times New Roman" w:ascii="Times new roman" w:hAnsi="Times new roman"/>
          <w:sz w:val="20"/>
          <w:szCs w:val="20"/>
        </w:rPr>
        <w:t>La población de alumnos de nuevo ingreso a las carreras de la División Industrial fue de 327 (cuatrimestre Sep.-Dic de 2019), considerando todas las carreras: Mecatrónica (MT), Mantenimiento Industrial (MI), Procesos Industriales (PI) y Energías Renovables (ER). La prueba diagnóstica fue aplicada el primer día de clases, lunes 2 de septiembre a las 8 am, para la cual se les dio 60 minutos; el mismo día les fue proporcionada de manera digital la “Guía de Nivelación Matemática”, la cual tenían que entregar de manera física y totalmente resuelta a su profesor de álgebra lineal (MT, MI y PI) o de Probabilidad y Estadística (ER) al finalizar la semana. El profesor calificó ambos instrumentos y mandó las calificaciones de su(s) grupo(s) a la academia de ciencias básicas el lunes 9 de septiembre.</w:t>
      </w:r>
    </w:p>
    <w:p>
      <w:pPr>
        <w:pStyle w:val="Normal"/>
        <w:bidi w:val="0"/>
        <w:spacing w:lineRule="auto" w:line="360" w:before="0" w:after="0"/>
        <w:ind w:left="0" w:right="0" w:hanging="0"/>
        <w:jc w:val="both"/>
        <w:rPr>
          <w:rFonts w:ascii="Times New Roman" w:hAnsi="Times New Roman" w:cs="Times New Roman"/>
          <w:sz w:val="20"/>
          <w:szCs w:val="20"/>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El siguiente paso consistió en identificar y avisar a</w:t>
      </w:r>
      <w:r>
        <w:rPr>
          <w:rFonts w:ascii="Times new roman" w:hAnsi="Times new roman"/>
          <w:sz w:val="20"/>
          <w:szCs w:val="20"/>
        </w:rPr>
        <w:t xml:space="preserve"> l</w:t>
      </w:r>
      <w:r>
        <w:rPr>
          <w:rFonts w:cs="Times New Roman" w:ascii="Times new roman" w:hAnsi="Times new roman"/>
          <w:sz w:val="20"/>
          <w:szCs w:val="20"/>
        </w:rPr>
        <w:t>os alumnos que pasarían a la segunda etapa del programa, el criterio de selección fue que hayan obtenido en su prueba diagnóstica una calificación menor a 7, teniendo en total a 272 alumnos y que representan aproximadamente el 83% de los de nuevo ingreso. Los alumnos seleccionados para la etapa 2 fueron divididos en 12 grupos, mismo número de profesores que por iniciativa propia, se sumaron para participar en la impartición de asesorías.</w:t>
      </w:r>
    </w:p>
    <w:p>
      <w:pPr>
        <w:pStyle w:val="Normal"/>
        <w:bidi w:val="0"/>
        <w:spacing w:lineRule="auto" w:line="360" w:before="0" w:after="0"/>
        <w:ind w:left="0" w:right="0" w:hanging="0"/>
        <w:jc w:val="both"/>
        <w:rPr>
          <w:rFonts w:cs="Times New Roman"/>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Las asesorías se impartieron desde el miércoles 11 hasta el viernes 20 de septiembre, en un horario de 14:30 a 16:00 horas en 12 aulas del edificio M de la Universidad, tomando en consideración que las clases en el turno matutino terminan a las 14:20 horas, y considerando que el turno vespertino comienza a las 16:30 horas, por lo que, en cualquier otro horario las aulas se encuentran ocupadas. Se consideró que la explicación de las temáticas se realizara en un máximo de 30 minutos, y el tiempo restante se utilice para acompañar a los alumnos en la resolución de los ejercicios del Resultado de Aprendizaje.</w:t>
      </w:r>
    </w:p>
    <w:p>
      <w:pPr>
        <w:pStyle w:val="Normal"/>
        <w:bidi w:val="0"/>
        <w:spacing w:lineRule="auto" w:line="360" w:before="0" w:after="0"/>
        <w:ind w:left="0" w:right="0" w:hanging="0"/>
        <w:jc w:val="both"/>
        <w:rPr>
          <w:rFonts w:cs="Times New Roman"/>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 xml:space="preserve">Como parte final del programa los profesores que impartieron las asesorías fueron los encargados de aplicar el examen final el lunes 23 de septiembre, recibieron los “Resultados de aprendizaje”, obtuvieron las calificaciones de sus respectivos grupos y enviaron los resultados a la academia, así como las listas de asistencia a las asesorías el viernes 27 de septiembre. </w:t>
      </w:r>
    </w:p>
    <w:p>
      <w:pPr>
        <w:pStyle w:val="Normal"/>
        <w:bidi w:val="0"/>
        <w:spacing w:lineRule="auto" w:line="360" w:before="0" w:after="0"/>
        <w:ind w:left="0" w:right="0" w:hanging="0"/>
        <w:jc w:val="both"/>
        <w:rPr>
          <w:rFonts w:cs="Times New Roman"/>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Etapa de evaluación</w:t>
      </w:r>
    </w:p>
    <w:p>
      <w:pPr>
        <w:pStyle w:val="Normal"/>
        <w:bidi w:val="0"/>
        <w:spacing w:lineRule="auto" w:line="360" w:before="0" w:after="0"/>
        <w:ind w:left="0" w:right="0" w:hanging="0"/>
        <w:jc w:val="both"/>
        <w:rPr>
          <w:rFonts w:ascii="Times new roman" w:hAnsi="Times new roman"/>
          <w:sz w:val="20"/>
          <w:szCs w:val="20"/>
        </w:rPr>
      </w:pPr>
      <w:r>
        <w:rPr>
          <w:rFonts w:cs="Times New Roman" w:ascii="Times new roman" w:hAnsi="Times new roman"/>
          <w:sz w:val="20"/>
          <w:szCs w:val="20"/>
        </w:rPr>
        <w:t>La etapa final del PNM consistió en evaluar los resultados que obtuvieron los estudiantes, para lo cual se definieron 3 categorías de aprovechamiento, las cuales se describen a continuación.</w:t>
      </w:r>
    </w:p>
    <w:p>
      <w:pPr>
        <w:pStyle w:val="Normal"/>
        <w:bidi w:val="0"/>
        <w:spacing w:lineRule="auto" w:line="360" w:before="0" w:after="0"/>
        <w:ind w:left="0" w:right="0" w:hanging="0"/>
        <w:jc w:val="both"/>
        <w:rPr>
          <w:rFonts w:ascii="Times New Roman" w:hAnsi="Times New Roman" w:cs="Times New Roman"/>
          <w:sz w:val="20"/>
          <w:szCs w:val="20"/>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sz w:val="20"/>
          <w:szCs w:val="20"/>
        </w:rPr>
      </w:pPr>
      <w:r>
        <w:rPr>
          <w:rFonts w:cs="Times New Roman" w:ascii="Times new roman" w:hAnsi="Times new roman"/>
          <w:sz w:val="20"/>
          <w:szCs w:val="20"/>
        </w:rPr>
        <w:t>Resultado sobresaliente: Si el alumno asistió al menos al 80% de las asesorías, entregó resueltos todos los ejercicios del Resultado de Aprendizaje y obtuvo una calificación del examen final mínima de 6 puntos.</w:t>
      </w:r>
    </w:p>
    <w:p>
      <w:pPr>
        <w:pStyle w:val="Normal"/>
        <w:bidi w:val="0"/>
        <w:spacing w:lineRule="auto" w:line="360" w:before="0" w:after="0"/>
        <w:ind w:left="0" w:right="0" w:hanging="0"/>
        <w:jc w:val="both"/>
        <w:rPr>
          <w:rFonts w:ascii="Times New Roman" w:hAnsi="Times New Roman" w:cs="Times New Roman"/>
          <w:sz w:val="20"/>
          <w:szCs w:val="20"/>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sz w:val="20"/>
          <w:szCs w:val="20"/>
        </w:rPr>
      </w:pPr>
      <w:r>
        <w:rPr>
          <w:rFonts w:cs="Times New Roman" w:ascii="Times new roman" w:hAnsi="Times new roman"/>
          <w:sz w:val="20"/>
          <w:szCs w:val="20"/>
        </w:rPr>
        <w:t>Resultado aceptable: Si el alumno asistió al menos al 80% de las asesorías, entregó resueltos todos los ejercicios del Resultado de Aprendizaje y no obtuvo una calificación del examen final mínima de 6 puntos.</w:t>
      </w:r>
    </w:p>
    <w:p>
      <w:pPr>
        <w:pStyle w:val="Normal"/>
        <w:bidi w:val="0"/>
        <w:spacing w:lineRule="auto" w:line="360" w:before="0" w:after="0"/>
        <w:ind w:left="0" w:right="0" w:hanging="0"/>
        <w:jc w:val="both"/>
        <w:rPr>
          <w:rFonts w:ascii="Times New Roman" w:hAnsi="Times New Roman" w:cs="Times New Roman"/>
          <w:sz w:val="20"/>
          <w:szCs w:val="20"/>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sz w:val="20"/>
          <w:szCs w:val="20"/>
        </w:rPr>
      </w:pPr>
      <w:r>
        <w:rPr>
          <w:rFonts w:cs="Times New Roman" w:ascii="Times new roman" w:hAnsi="Times new roman"/>
          <w:sz w:val="20"/>
          <w:szCs w:val="20"/>
        </w:rPr>
        <w:t>Resultado no aceptable: Si el alumno no asistió al menos al 80% de las asesorías o no entregó el 100% de su cuadernillo de nivelación resuelto, independientemente de que haya obtenido o no una calificación mínima de 6 puntos en su examen final.</w:t>
      </w:r>
    </w:p>
    <w:p>
      <w:pPr>
        <w:pStyle w:val="Normal"/>
        <w:bidi w:val="0"/>
        <w:spacing w:lineRule="auto" w:line="360" w:before="0" w:after="0"/>
        <w:ind w:left="0" w:right="0" w:hanging="0"/>
        <w:jc w:val="both"/>
        <w:rPr>
          <w:rFonts w:ascii="Times New Roman" w:hAnsi="Times New Roman" w:cs="Times New Roman"/>
          <w:sz w:val="20"/>
          <w:szCs w:val="20"/>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El lunes 30 de septiembre se les notificó a los alumnos los resultados que obtuvieron en el PNM.</w:t>
      </w:r>
    </w:p>
    <w:p>
      <w:pPr>
        <w:pStyle w:val="Normal"/>
        <w:bidi w:val="0"/>
        <w:spacing w:lineRule="auto" w:line="360" w:before="0" w:after="0"/>
        <w:ind w:left="0" w:right="0" w:hanging="0"/>
        <w:jc w:val="both"/>
        <w:rPr>
          <w:rFonts w:cs="Times New Roman"/>
          <w:b/>
          <w:b/>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sz w:val="20"/>
          <w:szCs w:val="20"/>
        </w:rPr>
      </w:pPr>
      <w:r>
        <w:rPr>
          <w:rFonts w:cs="Times New Roman" w:ascii="Times new roman" w:hAnsi="Times new roman"/>
          <w:b/>
          <w:sz w:val="20"/>
          <w:szCs w:val="20"/>
        </w:rPr>
        <w:t xml:space="preserve">III. </w:t>
      </w:r>
      <w:r>
        <w:rPr>
          <w:rFonts w:cs="Times New Roman" w:ascii="Times new roman" w:hAnsi="Times new roman"/>
          <w:b/>
          <w:sz w:val="20"/>
          <w:szCs w:val="20"/>
        </w:rPr>
        <w:t>RESULTADOS</w:t>
      </w:r>
    </w:p>
    <w:p>
      <w:pPr>
        <w:pStyle w:val="Normal"/>
        <w:bidi w:val="0"/>
        <w:spacing w:lineRule="auto" w:line="360" w:before="0" w:after="0"/>
        <w:ind w:left="0" w:right="0" w:hanging="0"/>
        <w:jc w:val="both"/>
        <w:rPr>
          <w:rFonts w:ascii="Times new roman" w:hAnsi="Times new roman"/>
          <w:sz w:val="20"/>
          <w:szCs w:val="20"/>
        </w:rPr>
      </w:pPr>
      <w:r>
        <w:rPr>
          <w:rFonts w:cs="Times New Roman" w:ascii="Times new roman" w:hAnsi="Times new roman"/>
          <w:sz w:val="20"/>
          <w:szCs w:val="20"/>
        </w:rPr>
        <w:t xml:space="preserve">Derivado del alto porcentaje de bajas académicas en las carreras de la División Industrial de la Universidad Tecnológica Metropolitana, relacionadas con asignaturas matemáticas, en los cuatrimestres septiembre-diciembre de 2018, enero-abril de 2019 y mayo-agosto de 2019 (ver </w:t>
      </w:r>
      <w:r>
        <w:rPr>
          <w:rFonts w:cs="Times New Roman" w:ascii="Times new roman" w:hAnsi="Times new roman"/>
          <w:sz w:val="20"/>
          <w:szCs w:val="20"/>
        </w:rPr>
        <w:t>F</w:t>
      </w:r>
      <w:r>
        <w:rPr>
          <w:rFonts w:cs="Times New Roman" w:ascii="Times new roman" w:hAnsi="Times new roman"/>
          <w:sz w:val="20"/>
          <w:szCs w:val="20"/>
        </w:rPr>
        <w:t>igura 1) se decidió implementar estrategias que reduzcan el riesgo de deserción o abandono escolar. Una de estas estrategias fue la implementación de un Programa de Nivelación Matemática para los alumnos de nuevo ingreso (cuatrimestre septiembre-diciembre de 2019).</w:t>
      </w:r>
    </w:p>
    <w:p>
      <w:pPr>
        <w:pStyle w:val="Normal"/>
        <w:bidi w:val="0"/>
        <w:spacing w:lineRule="auto" w:line="360" w:before="0" w:after="0"/>
        <w:ind w:left="0" w:right="0" w:hanging="0"/>
        <w:jc w:val="both"/>
        <w:rPr>
          <w:rFonts w:cs="Times New Roman"/>
          <w:i/>
          <w:i/>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cs="Times New Roman"/>
          <w:sz w:val="20"/>
          <w:szCs w:val="20"/>
        </w:rPr>
      </w:pPr>
      <w:r>
        <w:rPr>
          <w:rFonts w:ascii="Times new roman" w:hAnsi="Times new roman"/>
          <w:sz w:val="20"/>
          <w:szCs w:val="20"/>
        </w:rPr>
        <w:drawing>
          <wp:inline distT="0" distB="0" distL="0" distR="0">
            <wp:extent cx="2875280" cy="1725295"/>
            <wp:effectExtent l="0" t="0" r="0" b="0"/>
            <wp:docPr id="2" name="Objeto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Normal"/>
        <w:bidi w:val="0"/>
        <w:spacing w:lineRule="auto" w:line="360" w:before="0" w:after="0"/>
        <w:ind w:left="0" w:right="0" w:hanging="0"/>
        <w:jc w:val="center"/>
        <w:rPr>
          <w:rFonts w:ascii="Times new roman" w:hAnsi="Times new roman"/>
          <w:i/>
          <w:i/>
          <w:iCs/>
          <w:sz w:val="20"/>
          <w:szCs w:val="20"/>
        </w:rPr>
      </w:pPr>
      <w:r>
        <w:rPr>
          <w:rFonts w:cs="Times New Roman" w:ascii="Times new roman" w:hAnsi="Times new roman"/>
          <w:i/>
          <w:iCs/>
          <w:sz w:val="20"/>
          <w:szCs w:val="20"/>
        </w:rPr>
        <w:t>Figura 1. Porcentaje de bajas académicas relacionadas con asignaturas matemáticas. Fuente: División Industrial de la Universidad Tecnológica Metropolitana, 2019.</w:t>
      </w:r>
    </w:p>
    <w:p>
      <w:pPr>
        <w:pStyle w:val="Normal"/>
        <w:bidi w:val="0"/>
        <w:spacing w:lineRule="auto" w:line="360" w:before="0" w:after="0"/>
        <w:ind w:left="0" w:right="0" w:hanging="0"/>
        <w:jc w:val="both"/>
        <w:rPr>
          <w:rFonts w:cs="Times New Roman"/>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sz w:val="20"/>
          <w:szCs w:val="20"/>
        </w:rPr>
      </w:pPr>
      <w:r>
        <w:rPr>
          <w:rFonts w:cs="Times New Roman" w:ascii="Times new roman" w:hAnsi="Times new roman"/>
          <w:sz w:val="20"/>
          <w:szCs w:val="20"/>
        </w:rPr>
        <w:t>Debido a que el PNM se dividió en 2 etapas, a continuación, se presentan los resultados obtenidos en cada una de ellas:</w:t>
      </w:r>
    </w:p>
    <w:p>
      <w:pPr>
        <w:pStyle w:val="Normal"/>
        <w:bidi w:val="0"/>
        <w:spacing w:lineRule="auto" w:line="360" w:before="0" w:after="0"/>
        <w:ind w:left="0" w:right="0" w:hanging="0"/>
        <w:jc w:val="both"/>
        <w:rPr>
          <w:rFonts w:ascii="Times New Roman" w:hAnsi="Times New Roman" w:cs="Times New Roman"/>
          <w:sz w:val="20"/>
          <w:szCs w:val="20"/>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Etapa 1. “Detección”</w:t>
      </w:r>
    </w:p>
    <w:p>
      <w:pPr>
        <w:pStyle w:val="Normal"/>
        <w:bidi w:val="0"/>
        <w:spacing w:lineRule="auto" w:line="360" w:before="0" w:after="0"/>
        <w:ind w:left="0" w:right="0" w:hanging="0"/>
        <w:jc w:val="both"/>
        <w:rPr>
          <w:rFonts w:ascii="Times new roman" w:hAnsi="Times new roman"/>
          <w:sz w:val="20"/>
          <w:szCs w:val="20"/>
        </w:rPr>
      </w:pPr>
      <w:r>
        <w:rPr>
          <w:rFonts w:cs="Times New Roman" w:ascii="Times new roman" w:hAnsi="Times new roman"/>
          <w:sz w:val="20"/>
          <w:szCs w:val="20"/>
        </w:rPr>
        <w:t xml:space="preserve">El promedio general de los 327 alumnos que presentaron la prueba diagnóstica fue de 3.53 puntos, sin embargo, también se calculó el promedio de los alumnos que fueron seleccionados para la segunda etapa del programa (2.75 puntos); para la selección de los alumnos en la segunda etapa se consideró el criterio que hayan obtenido en su prueba diagnóstica una calificación menor a 7, siendo en total 272 alumnos (147 MT, 80 de MI, 35 de ER y 10 de PI). En la </w:t>
      </w:r>
      <w:r>
        <w:rPr>
          <w:rFonts w:cs="Times New Roman" w:ascii="Times new roman" w:hAnsi="Times new roman"/>
          <w:sz w:val="20"/>
          <w:szCs w:val="20"/>
        </w:rPr>
        <w:t>F</w:t>
      </w:r>
      <w:r>
        <w:rPr>
          <w:rFonts w:cs="Times New Roman" w:ascii="Times new roman" w:hAnsi="Times new roman"/>
          <w:sz w:val="20"/>
          <w:szCs w:val="20"/>
        </w:rPr>
        <w:t>igura 2, se pueden ver estos datos, así como el número de alumnos que ingresaron por carrera (que presentaron la prueba diagnóstica) y el porcentaje que representan, es decir, el porcentaje de alumnos de cada carrera que se detectó que requerían mejorar sus habilidades matemáticas. En el caso de MI, fue el 94.1% de los alumnos, seguido de ER con el 87.5%, MT con el 78.6% y PI con el 71.4%.</w:t>
      </w:r>
    </w:p>
    <w:p>
      <w:pPr>
        <w:pStyle w:val="Normal"/>
        <w:bidi w:val="0"/>
        <w:spacing w:lineRule="auto" w:line="360" w:before="0" w:after="0"/>
        <w:ind w:left="0" w:right="0" w:hanging="0"/>
        <w:jc w:val="both"/>
        <w:rPr>
          <w:rFonts w:cs="Times New Roman"/>
          <w:i/>
          <w:i/>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cs="Times New Roman"/>
          <w:sz w:val="20"/>
          <w:szCs w:val="20"/>
        </w:rPr>
      </w:pPr>
      <w:r>
        <w:rPr>
          <w:rFonts w:ascii="Times new roman" w:hAnsi="Times new roman"/>
          <w:sz w:val="20"/>
          <w:szCs w:val="20"/>
        </w:rPr>
        <w:drawing>
          <wp:inline distT="0" distB="0" distL="0" distR="0">
            <wp:extent cx="2637155" cy="2346960"/>
            <wp:effectExtent l="0" t="0" r="0" b="0"/>
            <wp:docPr id="3" name="Objeto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Normal"/>
        <w:bidi w:val="0"/>
        <w:spacing w:lineRule="auto" w:line="360" w:before="0" w:after="0"/>
        <w:ind w:left="0" w:right="0" w:hanging="0"/>
        <w:jc w:val="center"/>
        <w:rPr>
          <w:rFonts w:ascii="Times new roman" w:hAnsi="Times new roman"/>
          <w:i/>
          <w:i/>
          <w:iCs/>
          <w:sz w:val="20"/>
          <w:szCs w:val="20"/>
        </w:rPr>
      </w:pPr>
      <w:r>
        <w:rPr>
          <w:rFonts w:cs="Times New Roman" w:ascii="Times new roman" w:hAnsi="Times new roman"/>
          <w:i/>
          <w:iCs/>
          <w:sz w:val="20"/>
          <w:szCs w:val="20"/>
        </w:rPr>
        <w:t>Figura 2. Número de alumnos seleccionados para la etapa 2 del PNM. Fuente: elaboración propia, 2021.</w:t>
      </w:r>
    </w:p>
    <w:p>
      <w:pPr>
        <w:pStyle w:val="Normal"/>
        <w:bidi w:val="0"/>
        <w:spacing w:lineRule="auto" w:line="360" w:before="0" w:after="0"/>
        <w:ind w:left="0" w:right="0" w:hanging="0"/>
        <w:jc w:val="both"/>
        <w:rPr>
          <w:rFonts w:cs="Times New Roman"/>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t>Etapa 2. “Nivelación”</w:t>
      </w:r>
    </w:p>
    <w:p>
      <w:pPr>
        <w:pStyle w:val="Normal"/>
        <w:bidi w:val="0"/>
        <w:spacing w:lineRule="auto" w:line="360" w:before="0" w:after="0"/>
        <w:ind w:left="0" w:right="0" w:hanging="0"/>
        <w:jc w:val="both"/>
        <w:rPr>
          <w:rFonts w:ascii="Times new roman" w:hAnsi="Times new roman"/>
          <w:sz w:val="20"/>
          <w:szCs w:val="20"/>
        </w:rPr>
      </w:pPr>
      <w:r>
        <w:rPr>
          <w:rFonts w:cs="Times New Roman" w:ascii="Times new roman" w:hAnsi="Times new roman"/>
          <w:sz w:val="20"/>
          <w:szCs w:val="20"/>
        </w:rPr>
        <w:t xml:space="preserve">En esta etapa, el primer resultado importante obtenido fue el promedio en el examen final, el cual fue de 5.01. Posteriormente se identificó el número de alumnos que cayeron en las categorías de aprovechamiento definidas. Como se puede observar en la </w:t>
      </w:r>
      <w:r>
        <w:rPr>
          <w:rFonts w:cs="Times New Roman" w:ascii="Times new roman" w:hAnsi="Times new roman"/>
          <w:sz w:val="20"/>
          <w:szCs w:val="20"/>
        </w:rPr>
        <w:t>F</w:t>
      </w:r>
      <w:r>
        <w:rPr>
          <w:rFonts w:cs="Times New Roman" w:ascii="Times new roman" w:hAnsi="Times new roman"/>
          <w:sz w:val="20"/>
          <w:szCs w:val="20"/>
        </w:rPr>
        <w:t>igura 3, 123 (el 45.4%) obtuvieron un aprovechamiento “sobresaliente”, 114 alumnos (el 42.1%) cayeron en la categoría “aceptable” y 34 de ellos (el 12.5%) en la categoría “no aceptable”.</w:t>
      </w:r>
    </w:p>
    <w:p>
      <w:pPr>
        <w:pStyle w:val="Normal"/>
        <w:bidi w:val="0"/>
        <w:spacing w:lineRule="auto" w:line="360" w:before="0" w:after="0"/>
        <w:ind w:left="0" w:right="0" w:hanging="0"/>
        <w:jc w:val="both"/>
        <w:rPr>
          <w:rFonts w:cs="Times New Roman"/>
          <w:i/>
          <w:i/>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sz w:val="20"/>
          <w:szCs w:val="20"/>
        </w:rPr>
      </w:pPr>
      <w:r>
        <w:rPr>
          <w:rFonts w:ascii="Times new roman" w:hAnsi="Times new roman"/>
          <w:sz w:val="20"/>
          <w:szCs w:val="20"/>
        </w:rPr>
        <w:drawing>
          <wp:inline distT="0" distB="0" distL="0" distR="0">
            <wp:extent cx="2830195" cy="1701165"/>
            <wp:effectExtent l="0" t="0" r="0" b="0"/>
            <wp:docPr id="4" name="Objeto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Normal"/>
        <w:bidi w:val="0"/>
        <w:spacing w:lineRule="auto" w:line="360" w:before="0" w:after="0"/>
        <w:ind w:left="0" w:right="0" w:hanging="0"/>
        <w:jc w:val="center"/>
        <w:rPr>
          <w:rFonts w:ascii="Times new roman" w:hAnsi="Times new roman"/>
          <w:i/>
          <w:i/>
          <w:iCs/>
          <w:sz w:val="20"/>
          <w:szCs w:val="20"/>
        </w:rPr>
      </w:pPr>
      <w:r>
        <w:rPr>
          <w:rFonts w:cs="Times New Roman" w:ascii="Times new roman" w:hAnsi="Times new roman"/>
          <w:i/>
          <w:iCs/>
          <w:sz w:val="20"/>
          <w:szCs w:val="20"/>
        </w:rPr>
        <w:t xml:space="preserve">Figura 3. Clasificación de los alumnos en las categorías de aprovechamiento. Fuente: </w:t>
      </w:r>
      <w:r>
        <w:rPr>
          <w:rFonts w:cs="Times New Roman" w:ascii="Times new roman" w:hAnsi="Times new roman"/>
          <w:i/>
          <w:iCs/>
          <w:sz w:val="20"/>
          <w:szCs w:val="20"/>
        </w:rPr>
        <w:t>E</w:t>
      </w:r>
      <w:r>
        <w:rPr>
          <w:rFonts w:cs="Times New Roman" w:ascii="Times new roman" w:hAnsi="Times new roman"/>
          <w:i/>
          <w:iCs/>
          <w:sz w:val="20"/>
          <w:szCs w:val="20"/>
        </w:rPr>
        <w:t>laboración propia, 2021.</w:t>
      </w:r>
    </w:p>
    <w:p>
      <w:pPr>
        <w:pStyle w:val="Normal"/>
        <w:bidi w:val="0"/>
        <w:spacing w:lineRule="auto" w:line="360" w:before="0" w:after="0"/>
        <w:ind w:left="0" w:right="0" w:hanging="0"/>
        <w:jc w:val="both"/>
        <w:rPr>
          <w:rFonts w:cs="Times New Roman"/>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sz w:val="20"/>
          <w:szCs w:val="20"/>
        </w:rPr>
      </w:pPr>
      <w:r>
        <w:rPr>
          <w:rFonts w:cs="Times New Roman" w:ascii="Times new roman" w:hAnsi="Times new roman"/>
          <w:sz w:val="20"/>
          <w:szCs w:val="20"/>
        </w:rPr>
        <w:t xml:space="preserve">Lo siguiente que se hizo fue un desglose del número de alumnos por cada carrera que cayeron en cada una de las categorías. Por ejemplo, de los 123 alumnos que estuvieron en la categoría “sobresaliente” 4 fueron de PI, 16 de ER, 28 de MI y 75 de MT; de los 114 alumnos que cayeron en la categoría “aceptable”, 4 fueron de PI, 13 de ER, 42 de MI y 55 de MT; finalmente, de los 34 que cayeron en la categoría “no aceptable”, 2 fueron de PI, 6 de ER, 10 de MI y 16 de MT. Esta información puede corroborarse en la </w:t>
      </w:r>
      <w:r>
        <w:rPr>
          <w:rFonts w:cs="Times New Roman" w:ascii="Times new roman" w:hAnsi="Times new roman"/>
          <w:sz w:val="20"/>
          <w:szCs w:val="20"/>
        </w:rPr>
        <w:t>F</w:t>
      </w:r>
      <w:r>
        <w:rPr>
          <w:rFonts w:cs="Times New Roman" w:ascii="Times new roman" w:hAnsi="Times new roman"/>
          <w:sz w:val="20"/>
          <w:szCs w:val="20"/>
        </w:rPr>
        <w:t xml:space="preserve">igura 4. </w:t>
      </w:r>
    </w:p>
    <w:p>
      <w:pPr>
        <w:pStyle w:val="Normal"/>
        <w:bidi w:val="0"/>
        <w:spacing w:lineRule="auto" w:line="360" w:before="0" w:after="0"/>
        <w:ind w:left="0" w:right="0" w:hanging="0"/>
        <w:jc w:val="both"/>
        <w:rPr>
          <w:rFonts w:cs="Times New Roman"/>
          <w:i/>
          <w:i/>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cs="Times New Roman"/>
          <w:sz w:val="20"/>
          <w:szCs w:val="20"/>
        </w:rPr>
      </w:pPr>
      <w:r>
        <w:rPr>
          <w:rFonts w:ascii="Times new roman" w:hAnsi="Times new roman"/>
          <w:sz w:val="20"/>
          <w:szCs w:val="20"/>
        </w:rPr>
        <w:drawing>
          <wp:inline distT="0" distB="0" distL="0" distR="0">
            <wp:extent cx="2998470" cy="1799590"/>
            <wp:effectExtent l="0" t="0" r="0" b="0"/>
            <wp:docPr id="5" name="Objeto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Normal"/>
        <w:bidi w:val="0"/>
        <w:spacing w:lineRule="auto" w:line="360" w:before="0" w:after="0"/>
        <w:ind w:left="0" w:right="0" w:hanging="0"/>
        <w:jc w:val="center"/>
        <w:rPr>
          <w:rFonts w:ascii="Times new roman" w:hAnsi="Times new roman"/>
          <w:i/>
          <w:i/>
          <w:iCs/>
          <w:sz w:val="20"/>
          <w:szCs w:val="20"/>
        </w:rPr>
      </w:pPr>
      <w:r>
        <w:rPr>
          <w:rFonts w:cs="Times New Roman" w:ascii="Times new roman" w:hAnsi="Times new roman"/>
          <w:i/>
          <w:iCs/>
          <w:sz w:val="20"/>
          <w:szCs w:val="20"/>
        </w:rPr>
        <w:t xml:space="preserve">Figura 4. Número de alumnos por categoría de aprovechamiento de cada carrera. Fuente: </w:t>
      </w:r>
      <w:r>
        <w:rPr>
          <w:rFonts w:cs="Times New Roman" w:ascii="Times new roman" w:hAnsi="Times new roman"/>
          <w:i/>
          <w:iCs/>
          <w:sz w:val="20"/>
          <w:szCs w:val="20"/>
        </w:rPr>
        <w:t>E</w:t>
      </w:r>
      <w:r>
        <w:rPr>
          <w:rFonts w:cs="Times New Roman" w:ascii="Times new roman" w:hAnsi="Times new roman"/>
          <w:i/>
          <w:iCs/>
          <w:sz w:val="20"/>
          <w:szCs w:val="20"/>
        </w:rPr>
        <w:t>laboración propia, 2021.</w:t>
      </w:r>
    </w:p>
    <w:p>
      <w:pPr>
        <w:pStyle w:val="Normal"/>
        <w:bidi w:val="0"/>
        <w:spacing w:lineRule="auto" w:line="36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360" w:before="0" w:after="0"/>
        <w:ind w:left="0" w:right="0" w:hanging="0"/>
        <w:jc w:val="both"/>
        <w:rPr>
          <w:rFonts w:ascii="Times new roman" w:hAnsi="Times new roman"/>
          <w:sz w:val="20"/>
          <w:szCs w:val="20"/>
        </w:rPr>
      </w:pPr>
      <w:r>
        <w:rPr>
          <w:rFonts w:cs="Times New Roman" w:ascii="Times new roman" w:hAnsi="Times new roman"/>
          <w:sz w:val="20"/>
          <w:szCs w:val="20"/>
        </w:rPr>
        <w:t xml:space="preserve">Posteriormente se realizó un análisis de la información anterior, pero determinando los porcentajes que representaron cada categoría en cada una de las carreras. En la </w:t>
      </w:r>
      <w:r>
        <w:rPr>
          <w:rFonts w:cs="Times New Roman" w:ascii="Times new roman" w:hAnsi="Times new roman"/>
          <w:sz w:val="20"/>
          <w:szCs w:val="20"/>
        </w:rPr>
        <w:t>F</w:t>
      </w:r>
      <w:r>
        <w:rPr>
          <w:rFonts w:cs="Times New Roman" w:ascii="Times new roman" w:hAnsi="Times new roman"/>
          <w:sz w:val="20"/>
          <w:szCs w:val="20"/>
        </w:rPr>
        <w:t>igura 5, se pueden ver los resultados de la carrera MT, con 75 alumnos (el 51.4%) en la categoría “sobresaliente”, 55 (37.7%) en “aceptable” y 16 (el 11%) en “no aceptable”.</w:t>
      </w:r>
    </w:p>
    <w:p>
      <w:pPr>
        <w:pStyle w:val="Normal"/>
        <w:bidi w:val="0"/>
        <w:spacing w:lineRule="auto" w:line="360" w:before="0" w:after="0"/>
        <w:ind w:left="0" w:right="0" w:hanging="0"/>
        <w:jc w:val="both"/>
        <w:rPr>
          <w:rFonts w:cs="Times New Roman"/>
          <w:i/>
          <w:i/>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cs="Times New Roman"/>
          <w:sz w:val="20"/>
          <w:szCs w:val="20"/>
        </w:rPr>
      </w:pPr>
      <w:r>
        <w:rPr>
          <w:rFonts w:ascii="Times new roman" w:hAnsi="Times new roman"/>
          <w:sz w:val="20"/>
          <w:szCs w:val="20"/>
        </w:rPr>
        <w:drawing>
          <wp:inline distT="0" distB="0" distL="0" distR="0">
            <wp:extent cx="2790190" cy="1671320"/>
            <wp:effectExtent l="0" t="0" r="0" b="0"/>
            <wp:docPr id="6" name="Objeto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Normal"/>
        <w:bidi w:val="0"/>
        <w:spacing w:lineRule="auto" w:line="360" w:before="0" w:after="0"/>
        <w:ind w:left="0" w:right="0" w:hanging="0"/>
        <w:jc w:val="both"/>
        <w:rPr>
          <w:rFonts w:ascii="Times new roman" w:hAnsi="Times new roman"/>
          <w:i/>
          <w:i/>
          <w:iCs/>
          <w:sz w:val="20"/>
          <w:szCs w:val="20"/>
        </w:rPr>
      </w:pPr>
      <w:r>
        <w:rPr>
          <w:rFonts w:cs="Times New Roman" w:ascii="Times new roman" w:hAnsi="Times new roman"/>
          <w:i/>
          <w:iCs/>
          <w:sz w:val="20"/>
          <w:szCs w:val="20"/>
        </w:rPr>
        <w:t xml:space="preserve">Figura 5. Clasificación de los alumnos de la carrera MT en las categorías de aprovechamiento. Fuente: </w:t>
      </w:r>
      <w:r>
        <w:rPr>
          <w:rFonts w:cs="Times New Roman" w:ascii="Times new roman" w:hAnsi="Times new roman"/>
          <w:i/>
          <w:iCs/>
          <w:sz w:val="20"/>
          <w:szCs w:val="20"/>
        </w:rPr>
        <w:t>E</w:t>
      </w:r>
      <w:r>
        <w:rPr>
          <w:rFonts w:cs="Times New Roman" w:ascii="Times new roman" w:hAnsi="Times new roman"/>
          <w:i/>
          <w:iCs/>
          <w:sz w:val="20"/>
          <w:szCs w:val="20"/>
        </w:rPr>
        <w:t>laboración propia, 2021.</w:t>
      </w:r>
    </w:p>
    <w:p>
      <w:pPr>
        <w:pStyle w:val="Normal"/>
        <w:bidi w:val="0"/>
        <w:spacing w:lineRule="auto" w:line="36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360" w:before="0" w:after="0"/>
        <w:ind w:left="0" w:right="0" w:hanging="0"/>
        <w:jc w:val="both"/>
        <w:rPr>
          <w:rFonts w:ascii="Times new roman" w:hAnsi="Times new roman"/>
          <w:sz w:val="20"/>
          <w:szCs w:val="20"/>
        </w:rPr>
      </w:pPr>
      <w:r>
        <w:rPr>
          <w:rFonts w:cs="Times New Roman" w:ascii="Times new roman" w:hAnsi="Times new roman"/>
          <w:sz w:val="20"/>
          <w:szCs w:val="20"/>
        </w:rPr>
        <w:t xml:space="preserve">En la </w:t>
      </w:r>
      <w:r>
        <w:rPr>
          <w:rFonts w:cs="Times New Roman" w:ascii="Times new roman" w:hAnsi="Times new roman"/>
          <w:sz w:val="20"/>
          <w:szCs w:val="20"/>
        </w:rPr>
        <w:t>F</w:t>
      </w:r>
      <w:r>
        <w:rPr>
          <w:rFonts w:cs="Times New Roman" w:ascii="Times new roman" w:hAnsi="Times new roman"/>
          <w:sz w:val="20"/>
          <w:szCs w:val="20"/>
        </w:rPr>
        <w:t>igura 6, se puede observar que 28 alumnos de MI (el 35%) cayeron en la categoría “sobresaliente”, 42 de ellos (el 52.5%) en “aceptable” y solamente 10 (el 12.5%) en la categoría “no aceptable”.</w:t>
      </w:r>
    </w:p>
    <w:p>
      <w:pPr>
        <w:pStyle w:val="Normal"/>
        <w:bidi w:val="0"/>
        <w:spacing w:lineRule="auto" w:line="360" w:before="0" w:after="0"/>
        <w:ind w:left="0" w:right="0" w:hanging="0"/>
        <w:jc w:val="both"/>
        <w:rPr>
          <w:rFonts w:cs="Times New Roman"/>
          <w:i/>
          <w:i/>
        </w:rPr>
      </w:pPr>
      <w:r>
        <w:rPr>
          <w:rFonts w:ascii="Times new roman" w:hAnsi="Times new roman"/>
          <w:sz w:val="20"/>
          <w:szCs w:val="20"/>
        </w:rPr>
      </w:r>
    </w:p>
    <w:p>
      <w:pPr>
        <w:pStyle w:val="Normal"/>
        <w:bidi w:val="0"/>
        <w:spacing w:lineRule="auto" w:line="360" w:before="0" w:after="0"/>
        <w:ind w:left="0" w:right="0" w:hanging="0"/>
        <w:jc w:val="center"/>
        <w:rPr>
          <w:rFonts w:ascii="Times new roman" w:hAnsi="Times new roman"/>
          <w:sz w:val="20"/>
          <w:szCs w:val="20"/>
        </w:rPr>
      </w:pPr>
      <w:r>
        <w:rPr>
          <w:rFonts w:cs="Times New Roman" w:ascii="Times new roman" w:hAnsi="Times new roman"/>
          <w:i/>
          <w:iCs/>
          <w:sz w:val="20"/>
          <w:szCs w:val="20"/>
        </w:rPr>
        <w:drawing>
          <wp:inline distT="0" distB="0" distL="0" distR="0">
            <wp:extent cx="3063875" cy="1943100"/>
            <wp:effectExtent l="0" t="0" r="0" b="0"/>
            <wp:docPr id="7" name="Objeto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cs="Times New Roman" w:ascii="Times new roman" w:hAnsi="Times new roman"/>
          <w:i/>
          <w:iCs/>
          <w:sz w:val="20"/>
          <w:szCs w:val="20"/>
        </w:rPr>
        <w:t xml:space="preserve">Figura 6. Clasificación de los alumnos de la carrera MI en las categorías de aprovechamiento. Fuente: </w:t>
      </w:r>
      <w:r>
        <w:rPr>
          <w:rFonts w:cs="Times New Roman" w:ascii="Times new roman" w:hAnsi="Times new roman"/>
          <w:i/>
          <w:iCs/>
          <w:sz w:val="20"/>
          <w:szCs w:val="20"/>
        </w:rPr>
        <w:t>E</w:t>
      </w:r>
      <w:r>
        <w:rPr>
          <w:rFonts w:cs="Times New Roman" w:ascii="Times new roman" w:hAnsi="Times new roman"/>
          <w:i/>
          <w:iCs/>
          <w:sz w:val="20"/>
          <w:szCs w:val="20"/>
        </w:rPr>
        <w:t>laboración propia, 2021.</w:t>
      </w:r>
    </w:p>
    <w:p>
      <w:pPr>
        <w:pStyle w:val="Normal"/>
        <w:bidi w:val="0"/>
        <w:spacing w:lineRule="auto" w:line="360" w:before="0" w:after="0"/>
        <w:ind w:left="0" w:right="0" w:hanging="0"/>
        <w:jc w:val="both"/>
        <w:rPr>
          <w:rFonts w:cs="Times New Roman"/>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sz w:val="20"/>
          <w:szCs w:val="20"/>
        </w:rPr>
      </w:pPr>
      <w:r>
        <w:rPr>
          <w:rFonts w:cs="Times New Roman" w:ascii="Times new roman" w:hAnsi="Times new roman"/>
          <w:sz w:val="20"/>
          <w:szCs w:val="20"/>
        </w:rPr>
        <w:t xml:space="preserve">Con respecto a la carrera ER, 16 alumnos (45.7%) cayeron en la categoría “sobresaliente”, 13 (el 37.1%) en “aceptable” y los 6 restantes (el 17.1%) en la categoría “no aceptable”, lo cual se puede observar en la </w:t>
      </w:r>
      <w:r>
        <w:rPr>
          <w:rFonts w:cs="Times New Roman" w:ascii="Times new roman" w:hAnsi="Times new roman"/>
          <w:sz w:val="20"/>
          <w:szCs w:val="20"/>
        </w:rPr>
        <w:t>F</w:t>
      </w:r>
      <w:r>
        <w:rPr>
          <w:rFonts w:cs="Times New Roman" w:ascii="Times new roman" w:hAnsi="Times new roman"/>
          <w:sz w:val="20"/>
          <w:szCs w:val="20"/>
        </w:rPr>
        <w:t>igura 7.</w:t>
      </w:r>
    </w:p>
    <w:p>
      <w:pPr>
        <w:pStyle w:val="Normal"/>
        <w:bidi w:val="0"/>
        <w:spacing w:lineRule="auto" w:line="360" w:before="0" w:after="0"/>
        <w:ind w:left="0" w:right="0" w:hanging="0"/>
        <w:jc w:val="both"/>
        <w:rPr>
          <w:rFonts w:cs="Times New Roman"/>
          <w:i/>
          <w:i/>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cs="Times New Roman"/>
          <w:sz w:val="20"/>
          <w:szCs w:val="20"/>
        </w:rPr>
      </w:pPr>
      <w:r>
        <w:rPr>
          <w:rFonts w:ascii="Times new roman" w:hAnsi="Times new roman"/>
          <w:sz w:val="20"/>
          <w:szCs w:val="20"/>
        </w:rPr>
        <w:drawing>
          <wp:inline distT="0" distB="0" distL="0" distR="0">
            <wp:extent cx="2822575" cy="1691005"/>
            <wp:effectExtent l="0" t="0" r="0" b="0"/>
            <wp:docPr id="8" name="Objeto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Normal"/>
        <w:bidi w:val="0"/>
        <w:spacing w:lineRule="auto" w:line="360" w:before="0" w:after="0"/>
        <w:ind w:left="0" w:right="0" w:hanging="0"/>
        <w:jc w:val="center"/>
        <w:rPr>
          <w:rFonts w:ascii="Times new roman" w:hAnsi="Times new roman"/>
          <w:i/>
          <w:i/>
          <w:iCs/>
          <w:sz w:val="20"/>
          <w:szCs w:val="20"/>
        </w:rPr>
      </w:pPr>
      <w:r>
        <w:rPr>
          <w:rFonts w:cs="Times New Roman" w:ascii="Times new roman" w:hAnsi="Times new roman"/>
          <w:i/>
          <w:iCs/>
          <w:sz w:val="20"/>
          <w:szCs w:val="20"/>
        </w:rPr>
        <w:t xml:space="preserve">Figura 7. Clasificación de los alumnos de la carrera ER en las categorías de aprovechamiento. Fuente: </w:t>
      </w:r>
      <w:r>
        <w:rPr>
          <w:rFonts w:cs="Times New Roman" w:ascii="Times new roman" w:hAnsi="Times new roman"/>
          <w:i/>
          <w:iCs/>
          <w:sz w:val="20"/>
          <w:szCs w:val="20"/>
        </w:rPr>
        <w:t>E</w:t>
      </w:r>
      <w:r>
        <w:rPr>
          <w:rFonts w:cs="Times New Roman" w:ascii="Times new roman" w:hAnsi="Times new roman"/>
          <w:i/>
          <w:iCs/>
          <w:sz w:val="20"/>
          <w:szCs w:val="20"/>
        </w:rPr>
        <w:t>laboración propia, 2021.</w:t>
      </w:r>
    </w:p>
    <w:p>
      <w:pPr>
        <w:pStyle w:val="Normal"/>
        <w:bidi w:val="0"/>
        <w:spacing w:lineRule="auto" w:line="360" w:before="0" w:after="0"/>
        <w:ind w:left="0" w:right="0" w:hanging="0"/>
        <w:jc w:val="both"/>
        <w:rPr>
          <w:rFonts w:cs="Times New Roman"/>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sz w:val="20"/>
          <w:szCs w:val="20"/>
        </w:rPr>
      </w:pPr>
      <w:r>
        <w:rPr>
          <w:rFonts w:cs="Times New Roman" w:ascii="Times new roman" w:hAnsi="Times new roman"/>
          <w:sz w:val="20"/>
          <w:szCs w:val="20"/>
        </w:rPr>
        <w:t xml:space="preserve">Finalmente, los resultados obtenidos para la carrera PI, los cuales se pueden ver en la </w:t>
      </w:r>
      <w:r>
        <w:rPr>
          <w:rFonts w:cs="Times New Roman" w:ascii="Times new roman" w:hAnsi="Times new roman"/>
          <w:sz w:val="20"/>
          <w:szCs w:val="20"/>
        </w:rPr>
        <w:t>F</w:t>
      </w:r>
      <w:r>
        <w:rPr>
          <w:rFonts w:cs="Times New Roman" w:ascii="Times new roman" w:hAnsi="Times new roman"/>
          <w:sz w:val="20"/>
          <w:szCs w:val="20"/>
        </w:rPr>
        <w:t>igura 8, indican que 4 alumnos cayeron en la categoría “sobresaliente” (el 40%), otros 4 en la categoría “aceptable” (40%) y el 20% restante (2 alumnos) en la categoría “no aceptable”.</w:t>
      </w:r>
    </w:p>
    <w:p>
      <w:pPr>
        <w:pStyle w:val="Normal"/>
        <w:bidi w:val="0"/>
        <w:spacing w:lineRule="auto" w:line="360" w:before="0" w:after="0"/>
        <w:ind w:left="0" w:right="0" w:hanging="0"/>
        <w:jc w:val="both"/>
        <w:rPr>
          <w:rFonts w:cs="Times New Roman"/>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cs="Times New Roman"/>
          <w:sz w:val="20"/>
          <w:szCs w:val="20"/>
        </w:rPr>
      </w:pPr>
      <w:r>
        <w:rPr>
          <w:rFonts w:ascii="Times new roman" w:hAnsi="Times new roman"/>
          <w:sz w:val="20"/>
          <w:szCs w:val="20"/>
        </w:rPr>
        <w:drawing>
          <wp:inline distT="0" distB="0" distL="0" distR="0">
            <wp:extent cx="2915285" cy="1921510"/>
            <wp:effectExtent l="0" t="0" r="0" b="0"/>
            <wp:docPr id="9" name="Objeto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Normal"/>
        <w:bidi w:val="0"/>
        <w:spacing w:lineRule="auto" w:line="360" w:before="0" w:after="0"/>
        <w:ind w:left="0" w:right="0" w:hanging="0"/>
        <w:jc w:val="center"/>
        <w:rPr>
          <w:rFonts w:ascii="Times new roman" w:hAnsi="Times new roman"/>
          <w:i/>
          <w:i/>
          <w:iCs/>
          <w:sz w:val="20"/>
          <w:szCs w:val="20"/>
        </w:rPr>
      </w:pPr>
      <w:r>
        <w:rPr>
          <w:rFonts w:cs="Times New Roman" w:ascii="Times new roman" w:hAnsi="Times new roman"/>
          <w:i/>
          <w:iCs/>
          <w:sz w:val="20"/>
          <w:szCs w:val="20"/>
        </w:rPr>
        <w:t xml:space="preserve">Figura 8. Clasificación de los alumnos de la carrera PI en las categorías de aprovechamiento. Fuente: </w:t>
      </w:r>
      <w:r>
        <w:rPr>
          <w:rFonts w:cs="Times New Roman" w:ascii="Times new roman" w:hAnsi="Times new roman"/>
          <w:i/>
          <w:iCs/>
          <w:sz w:val="20"/>
          <w:szCs w:val="20"/>
        </w:rPr>
        <w:t>E</w:t>
      </w:r>
      <w:r>
        <w:rPr>
          <w:rFonts w:cs="Times New Roman" w:ascii="Times new roman" w:hAnsi="Times new roman"/>
          <w:i/>
          <w:iCs/>
          <w:sz w:val="20"/>
          <w:szCs w:val="20"/>
        </w:rPr>
        <w:t>laboración propia, 2021.</w:t>
      </w:r>
    </w:p>
    <w:p>
      <w:pPr>
        <w:pStyle w:val="Normal"/>
        <w:bidi w:val="0"/>
        <w:spacing w:lineRule="auto" w:line="360" w:before="0" w:after="0"/>
        <w:ind w:left="0" w:right="0" w:hanging="0"/>
        <w:jc w:val="both"/>
        <w:rPr>
          <w:rFonts w:cs="Times New Roman"/>
          <w:b/>
          <w:b/>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sz w:val="20"/>
          <w:szCs w:val="20"/>
        </w:rPr>
      </w:pPr>
      <w:r>
        <w:rPr>
          <w:rFonts w:cs="Times New Roman" w:ascii="Times new roman" w:hAnsi="Times new roman"/>
          <w:b/>
          <w:sz w:val="20"/>
          <w:szCs w:val="20"/>
        </w:rPr>
        <w:t xml:space="preserve">IV. </w:t>
      </w:r>
      <w:r>
        <w:rPr>
          <w:rFonts w:cs="Times New Roman" w:ascii="Times new roman" w:hAnsi="Times new roman"/>
          <w:b/>
          <w:sz w:val="20"/>
          <w:szCs w:val="20"/>
        </w:rPr>
        <w:t>CONCLUSIONES</w:t>
      </w:r>
    </w:p>
    <w:p>
      <w:pPr>
        <w:pStyle w:val="Normal"/>
        <w:bidi w:val="0"/>
        <w:spacing w:lineRule="auto" w:line="360" w:before="0" w:after="0"/>
        <w:ind w:left="0" w:right="0" w:hanging="0"/>
        <w:jc w:val="both"/>
        <w:rPr>
          <w:rFonts w:ascii="Times new roman" w:hAnsi="Times new roman"/>
          <w:sz w:val="20"/>
          <w:szCs w:val="20"/>
        </w:rPr>
      </w:pPr>
      <w:r>
        <w:rPr>
          <w:rFonts w:cs="Times New Roman" w:ascii="Times new roman" w:hAnsi="Times new roman"/>
          <w:sz w:val="20"/>
          <w:szCs w:val="20"/>
        </w:rPr>
        <w:t>La primera conclusión que se puede sacar de la implementación del Programa de Nivelación Matemática es que las habilidades matemáticas de los 272 alumnos que participaron en las 2 etapas del programa mejoraron, ya que el promedio de la prueba diagnóstica de dichos alumnos fue de 2.75 puntos mientras que el promedio del examen final fue de 5.01, conteniendo ambas pruebas los mismos reactivos dispuestos en un orden diferente.</w:t>
      </w:r>
    </w:p>
    <w:p>
      <w:pPr>
        <w:pStyle w:val="Normal"/>
        <w:bidi w:val="0"/>
        <w:spacing w:lineRule="auto" w:line="360" w:before="0" w:after="0"/>
        <w:ind w:left="0" w:right="0" w:hanging="0"/>
        <w:jc w:val="both"/>
        <w:rPr>
          <w:rFonts w:ascii="Times New Roman" w:hAnsi="Times New Roman" w:cs="Times New Roman"/>
          <w:sz w:val="20"/>
          <w:szCs w:val="20"/>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sz w:val="20"/>
          <w:szCs w:val="20"/>
        </w:rPr>
      </w:pPr>
      <w:r>
        <w:rPr>
          <w:rFonts w:cs="Times New Roman" w:ascii="Times new roman" w:hAnsi="Times new roman"/>
          <w:sz w:val="20"/>
          <w:szCs w:val="20"/>
        </w:rPr>
        <w:t>Adicionalmente, y basándose en las categorías de aprovechamiento definidas, el 87.5% de los alumnos estuvo entre las categorías “sobresaliente” y “aceptable”, lo cual es un dato muy positivo que refleja el compromiso e interés de los alumnos por mejorar sus habilidades matemáticas, ya que para poder lograr alguna de estas categorías tuvieron que asistir al menos al 80% de las asesorías y entregar resueltos en su totalidad los ejercicios del Resultados de Aprendizaje.</w:t>
      </w:r>
    </w:p>
    <w:p>
      <w:pPr>
        <w:pStyle w:val="Normal"/>
        <w:bidi w:val="0"/>
        <w:spacing w:lineRule="auto" w:line="360" w:before="0" w:after="0"/>
        <w:ind w:left="0" w:right="0" w:hanging="0"/>
        <w:jc w:val="both"/>
        <w:rPr>
          <w:rFonts w:ascii="Times New Roman" w:hAnsi="Times New Roman" w:cs="Times New Roman"/>
          <w:sz w:val="20"/>
          <w:szCs w:val="20"/>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sz w:val="20"/>
          <w:szCs w:val="20"/>
        </w:rPr>
      </w:pPr>
      <w:r>
        <w:rPr>
          <w:rFonts w:cs="Times New Roman" w:ascii="Times new roman" w:hAnsi="Times new roman"/>
          <w:sz w:val="20"/>
          <w:szCs w:val="20"/>
        </w:rPr>
        <w:t>Con respecto a los resultados que se obtuvieron por carrera, los alumnos de Mecatrónica tuvieron los mejores resultados con el 89% entre las categorías “sobresaliente” y “aceptable”, seguidos de Mantenimiento Industrial con el 87.5, Energías Renovables con el 82.9 y Procesos Industriales con el 20%, lo cual también es positivo ya que en general, los alumnos de todas las carreras tuvieron una mejora significativa en sus habilidades matemáticas.</w:t>
      </w:r>
    </w:p>
    <w:p>
      <w:pPr>
        <w:pStyle w:val="Normal"/>
        <w:bidi w:val="0"/>
        <w:spacing w:lineRule="auto" w:line="360" w:before="0" w:after="0"/>
        <w:ind w:left="0" w:right="0" w:hanging="0"/>
        <w:jc w:val="both"/>
        <w:rPr>
          <w:rFonts w:ascii="Times New Roman" w:hAnsi="Times New Roman" w:cs="Times New Roman"/>
          <w:sz w:val="20"/>
          <w:szCs w:val="20"/>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La principal conclusión del presente trabajo fue el desarrollo de una metodología que sirve de soporte para la construcción del conocimiento y que permitió que los estudiantes mejoraran sus habilidades matemáticas, la cual puede ser mejorada y por lo cual se proponen algunas recomendaciones a continuación:</w:t>
      </w:r>
    </w:p>
    <w:p>
      <w:pPr>
        <w:pStyle w:val="Normal"/>
        <w:bidi w:val="0"/>
        <w:spacing w:lineRule="auto" w:line="360" w:before="0" w:after="0"/>
        <w:ind w:left="0" w:right="0" w:hanging="0"/>
        <w:jc w:val="both"/>
        <w:rPr>
          <w:rFonts w:ascii="Times New Roman" w:hAnsi="Times New Roman" w:eastAsia="Times New Roman" w:cs="Times New Roman"/>
          <w:sz w:val="20"/>
          <w:szCs w:val="20"/>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(i) </w:t>
      </w:r>
      <w:r>
        <w:rPr>
          <w:rFonts w:eastAsia="Times New Roman" w:cs="Times New Roman" w:ascii="Times new roman" w:hAnsi="Times new roman"/>
          <w:sz w:val="20"/>
          <w:szCs w:val="20"/>
        </w:rPr>
        <w:t>Se propone la revisión de los reactivos en cuanto a número y dificultad en los instrumentos que fueron utilizados en el programa.</w:t>
      </w:r>
    </w:p>
    <w:p>
      <w:pPr>
        <w:pStyle w:val="Normal"/>
        <w:bidi w:val="0"/>
        <w:spacing w:lineRule="auto" w:line="36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(ii) </w:t>
      </w:r>
      <w:r>
        <w:rPr>
          <w:rFonts w:eastAsia="Times New Roman" w:cs="Times New Roman" w:ascii="Times new roman" w:hAnsi="Times new roman"/>
          <w:sz w:val="20"/>
          <w:szCs w:val="20"/>
        </w:rPr>
        <w:t>La impartición de asesorías por parte de los profesores requiere una alta inversión de tiempo y esfuerzo, lo cual puede significar una limitante para aquellos que tienen poca disponibilidad ya que se encuentran saturados con sus clases o inclusive tienen otros compromisos laborales en otras instituciones, por lo que se necesita apoyo por parte de las autoridades competentes, con respecto al tiempo extra de preparación y puesta en práctica como parte de la carga docente asignada al profesor.</w:t>
      </w:r>
    </w:p>
    <w:p>
      <w:pPr>
        <w:pStyle w:val="Normal"/>
        <w:bidi w:val="0"/>
        <w:spacing w:lineRule="auto" w:line="36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(iii) </w:t>
      </w:r>
      <w:r>
        <w:rPr>
          <w:rFonts w:eastAsia="Times New Roman" w:cs="Times New Roman" w:ascii="Times new roman" w:hAnsi="Times new roman"/>
          <w:sz w:val="20"/>
          <w:szCs w:val="20"/>
        </w:rPr>
        <w:t>También se propone analizar si el horario y días de impartición de las asesorías son la mejor opción, ya que fueron impartidas en días de clases normales, después de cubrir su horario, lo que significa una permanencia de 9 horas en la Universidad.</w:t>
      </w:r>
    </w:p>
    <w:p>
      <w:pPr>
        <w:pStyle w:val="Normal"/>
        <w:bidi w:val="0"/>
        <w:spacing w:lineRule="auto" w:line="36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(iv) </w:t>
      </w:r>
      <w:r>
        <w:rPr>
          <w:rFonts w:eastAsia="Times New Roman" w:cs="Times New Roman" w:ascii="Times new roman" w:hAnsi="Times new roman"/>
          <w:sz w:val="20"/>
          <w:szCs w:val="20"/>
        </w:rPr>
        <w:t>Finalmente, y como complemento a este estudio se propone un seguimiento académico de los alumnos que participaron en las 2 etapas del PNM, con la finalidad de observar el impacto con respecto a las asignaturas relacionadas con matemáticas.</w:t>
      </w:r>
    </w:p>
    <w:p>
      <w:pPr>
        <w:pStyle w:val="Normal"/>
        <w:bidi w:val="0"/>
        <w:spacing w:lineRule="auto" w:line="36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keepNext/>
        <w:keepLines/>
        <w:numPr>
          <w:ilvl w:val="0"/>
          <w:numId w:val="0"/>
        </w:numPr>
        <w:bidi w:val="0"/>
        <w:spacing w:lineRule="auto" w:line="360" w:before="0" w:after="0"/>
        <w:ind w:left="0" w:right="0" w:hanging="0"/>
        <w:jc w:val="both"/>
        <w:outlineLvl w:val="0"/>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REFERENCIAS</w:t>
      </w:r>
    </w:p>
    <w:p>
      <w:pPr>
        <w:pStyle w:val="Normal"/>
        <w:bidi w:val="0"/>
        <w:spacing w:lineRule="auto" w:line="360" w:before="0" w:after="0"/>
        <w:ind w:left="0" w:right="0" w:hanging="0"/>
        <w:jc w:val="both"/>
        <w:rPr>
          <w:rFonts w:eastAsia="Times New Roman" w:cs="Times New Roman"/>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Arguedas- Méndez, S. (2011). Curso de nivelación de matemática para estudiantes de primer ingreso: Competencias emocionales y didácticas que el docente universitario debe tomar en cuenta. </w:t>
      </w:r>
      <w:r>
        <w:rPr>
          <w:rFonts w:eastAsia="Times New Roman" w:cs="Times New Roman" w:ascii="Times new roman" w:hAnsi="Times new roman"/>
          <w:i/>
          <w:iCs/>
          <w:sz w:val="20"/>
          <w:szCs w:val="20"/>
          <w:lang w:val="en-US"/>
        </w:rPr>
        <w:t>CIAEM-IACME,</w:t>
      </w:r>
      <w:r>
        <w:rPr>
          <w:rFonts w:eastAsia="Times New Roman" w:cs="Times New Roman" w:ascii="Times new roman" w:hAnsi="Times new roman"/>
          <w:sz w:val="20"/>
          <w:szCs w:val="20"/>
          <w:lang w:val="en-US"/>
        </w:rPr>
        <w:t xml:space="preserve"> </w:t>
      </w:r>
      <w:r>
        <w:rPr>
          <w:rFonts w:eastAsia="Times New Roman" w:cs="Times New Roman" w:ascii="Times new roman" w:hAnsi="Times new roman"/>
          <w:i/>
          <w:iCs/>
          <w:sz w:val="20"/>
          <w:szCs w:val="20"/>
          <w:lang w:val="en-US"/>
        </w:rPr>
        <w:t>13</w:t>
      </w:r>
      <w:r>
        <w:rPr>
          <w:rFonts w:eastAsia="Times New Roman" w:cs="Times New Roman" w:ascii="Times new roman" w:hAnsi="Times new roman"/>
          <w:sz w:val="20"/>
          <w:szCs w:val="20"/>
          <w:lang w:val="en-US"/>
        </w:rPr>
        <w:t>(1), 1-12.</w:t>
      </w:r>
    </w:p>
    <w:p>
      <w:pPr>
        <w:pStyle w:val="Normal"/>
        <w:bidi w:val="0"/>
        <w:spacing w:lineRule="auto" w:line="360" w:before="0" w:after="0"/>
        <w:ind w:left="0" w:right="0" w:hanging="0"/>
        <w:jc w:val="both"/>
        <w:rPr/>
      </w:pPr>
      <w:hyperlink r:id="rId16">
        <w:r>
          <w:rPr>
            <w:rStyle w:val="EnlacedeInternet"/>
            <w:rFonts w:eastAsia="Times New Roman" w:cs="Times New Roman" w:ascii="Times new roman" w:hAnsi="Times new roman"/>
            <w:color w:val="0563C1" w:themeColor="hyperlink"/>
            <w:sz w:val="20"/>
            <w:szCs w:val="20"/>
            <w:u w:val="single"/>
            <w:lang w:val="en-US"/>
          </w:rPr>
          <w:t>https://xiii.ciaem-redumate.org/index.php/xiii_ciaem/xiii_ciaem/paper/viewFile/1939/131</w:t>
        </w:r>
      </w:hyperlink>
    </w:p>
    <w:p>
      <w:pPr>
        <w:pStyle w:val="Normal"/>
        <w:bidi w:val="0"/>
        <w:spacing w:lineRule="auto" w:line="360" w:before="0" w:after="0"/>
        <w:ind w:left="0" w:right="0" w:hanging="0"/>
        <w:jc w:val="both"/>
        <w:rPr>
          <w:sz w:val="20"/>
          <w:szCs w:val="20"/>
          <w:lang w:val="en-US"/>
        </w:rPr>
      </w:pPr>
      <w:r>
        <w:rPr>
          <w:rFonts w:eastAsia="Times New Roman" w:cs="Times New Roman" w:ascii="Times new roman" w:hAnsi="Times new roman"/>
          <w:sz w:val="20"/>
          <w:szCs w:val="20"/>
          <w:lang w:val="en-US"/>
        </w:rPr>
        <w:t xml:space="preserve"> </w:t>
      </w:r>
    </w:p>
    <w:p>
      <w:pPr>
        <w:pStyle w:val="Normal"/>
        <w:bidi w:val="0"/>
        <w:spacing w:lineRule="auto" w:line="36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Caballero – Jiménez, F. y Espínola – Reyna, J. G. (2016). El rechazo al aprendizaje de las matemáticas a causa de la violencia en el bachillerato tecnológico</w:t>
      </w:r>
      <w:r>
        <w:rPr>
          <w:rFonts w:eastAsia="Times New Roman" w:cs="Times New Roman" w:ascii="Times new roman" w:hAnsi="Times new roman"/>
          <w:i/>
          <w:iCs/>
          <w:sz w:val="20"/>
          <w:szCs w:val="20"/>
        </w:rPr>
        <w:t>. Ra Ximhai</w:t>
      </w:r>
      <w:r>
        <w:rPr>
          <w:rFonts w:eastAsia="Times New Roman" w:cs="Times New Roman" w:ascii="Times new roman" w:hAnsi="Times new roman"/>
          <w:sz w:val="20"/>
          <w:szCs w:val="20"/>
        </w:rPr>
        <w:t xml:space="preserve">, </w:t>
      </w:r>
      <w:r>
        <w:rPr>
          <w:rFonts w:eastAsia="Times New Roman" w:cs="Times New Roman" w:ascii="Times new roman" w:hAnsi="Times new roman"/>
          <w:i/>
          <w:iCs/>
          <w:sz w:val="20"/>
          <w:szCs w:val="20"/>
        </w:rPr>
        <w:t>12</w:t>
      </w:r>
      <w:r>
        <w:rPr>
          <w:rFonts w:eastAsia="Times New Roman" w:cs="Times New Roman" w:ascii="Times new roman" w:hAnsi="Times new roman"/>
          <w:sz w:val="20"/>
          <w:szCs w:val="20"/>
        </w:rPr>
        <w:t>(3), 143-161.</w:t>
      </w:r>
    </w:p>
    <w:p>
      <w:pPr>
        <w:pStyle w:val="Normal"/>
        <w:bidi w:val="0"/>
        <w:spacing w:lineRule="auto" w:line="360" w:before="0" w:after="0"/>
        <w:ind w:left="0" w:right="0" w:hanging="0"/>
        <w:jc w:val="both"/>
        <w:rPr/>
      </w:pPr>
      <w:hyperlink r:id="rId17">
        <w:r>
          <w:rPr>
            <w:rStyle w:val="EnlacedeInternet"/>
            <w:rFonts w:eastAsia="Times New Roman" w:cs="Times New Roman" w:ascii="Times new roman" w:hAnsi="Times new roman"/>
            <w:color w:val="0563C1" w:themeColor="hyperlink"/>
            <w:sz w:val="20"/>
            <w:szCs w:val="20"/>
            <w:u w:val="single"/>
          </w:rPr>
          <w:t>https://www.redalyc.org/pdf/461/46146811009.pdf</w:t>
        </w:r>
      </w:hyperlink>
    </w:p>
    <w:p>
      <w:pPr>
        <w:pStyle w:val="Normal"/>
        <w:bidi w:val="0"/>
        <w:spacing w:lineRule="auto" w:line="360" w:before="0" w:after="0"/>
        <w:ind w:left="0" w:right="0" w:hanging="0"/>
        <w:jc w:val="both"/>
        <w:rPr>
          <w:rFonts w:ascii="Times new roman" w:hAnsi="Times new roman"/>
          <w:sz w:val="20"/>
          <w:szCs w:val="20"/>
        </w:rPr>
      </w:pPr>
      <w:r>
        <w:rPr>
          <w:rFonts w:ascii="Times new roman" w:hAnsi="Times new roman"/>
          <w:sz w:val="20"/>
          <w:szCs w:val="20"/>
        </w:rPr>
      </w:r>
    </w:p>
    <w:p>
      <w:pPr>
        <w:pStyle w:val="Normal"/>
        <w:bidi w:val="0"/>
        <w:spacing w:lineRule="auto" w:line="360" w:before="0" w:after="0"/>
        <w:ind w:left="0" w:right="0" w:hanging="0"/>
        <w:jc w:val="both"/>
        <w:rPr>
          <w:sz w:val="20"/>
          <w:szCs w:val="20"/>
        </w:rPr>
      </w:pPr>
      <w:r>
        <w:rPr>
          <w:rFonts w:eastAsia="Times New Roman" w:cs="Times New Roman" w:ascii="Times new roman" w:hAnsi="Times new roman"/>
          <w:sz w:val="20"/>
          <w:szCs w:val="20"/>
        </w:rPr>
        <w:t>Cabellos- Martínez, M. I. (2016). Estrategias pedagógicas en el desarrollo de los</w:t>
      </w:r>
    </w:p>
    <w:p>
      <w:pPr>
        <w:pStyle w:val="Normal"/>
        <w:bidi w:val="0"/>
        <w:spacing w:lineRule="auto" w:line="36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Cursos de nivelación en la universidad francisco de Paula Santander Ocaña. </w:t>
      </w:r>
      <w:r>
        <w:rPr>
          <w:rFonts w:eastAsia="Times New Roman" w:cs="Times New Roman" w:ascii="Times new roman" w:hAnsi="Times new roman"/>
          <w:i/>
          <w:iCs/>
          <w:sz w:val="20"/>
          <w:szCs w:val="20"/>
        </w:rPr>
        <w:t>INGENIO UFPSO, 10</w:t>
      </w:r>
      <w:r>
        <w:rPr>
          <w:rFonts w:eastAsia="Times New Roman" w:cs="Times New Roman" w:ascii="Times new roman" w:hAnsi="Times new roman"/>
          <w:sz w:val="20"/>
          <w:szCs w:val="20"/>
        </w:rPr>
        <w:t>(1), 75- 82.</w:t>
      </w:r>
    </w:p>
    <w:p>
      <w:pPr>
        <w:pStyle w:val="Normal"/>
        <w:bidi w:val="0"/>
        <w:spacing w:lineRule="auto" w:line="360" w:before="0" w:after="0"/>
        <w:ind w:left="0" w:right="0" w:hanging="0"/>
        <w:jc w:val="both"/>
        <w:rPr/>
      </w:pPr>
      <w:hyperlink r:id="rId18">
        <w:r>
          <w:rPr>
            <w:rStyle w:val="EnlacedeInternet"/>
            <w:rFonts w:ascii="Times new roman" w:hAnsi="Times new roman"/>
            <w:sz w:val="20"/>
            <w:szCs w:val="20"/>
          </w:rPr>
          <w:t>https://revistas.ufps.edu.co/index.php/ingenio/article/view/2082/2032</w:t>
        </w:r>
      </w:hyperlink>
    </w:p>
    <w:p>
      <w:pPr>
        <w:pStyle w:val="Normal"/>
        <w:bidi w:val="0"/>
        <w:spacing w:lineRule="auto" w:line="36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bidi w:val="0"/>
        <w:spacing w:lineRule="auto" w:line="360" w:before="0" w:after="0"/>
        <w:ind w:left="0" w:right="0" w:hanging="0"/>
        <w:jc w:val="both"/>
        <w:rPr>
          <w:sz w:val="20"/>
          <w:szCs w:val="20"/>
        </w:rPr>
      </w:pPr>
      <w:r>
        <w:rPr>
          <w:rFonts w:eastAsia="Times New Roman" w:cs="Times New Roman" w:ascii="Times new roman" w:hAnsi="Times new roman"/>
          <w:sz w:val="20"/>
          <w:szCs w:val="20"/>
        </w:rPr>
        <w:t xml:space="preserve">Dapelo- Pellerano. B. y Marcone- Trigo, R. (2013). Efectividad de una experiencia de nivelación académica en educación superior. </w:t>
      </w:r>
      <w:r>
        <w:rPr>
          <w:rFonts w:eastAsia="Times New Roman" w:cs="Times New Roman" w:ascii="Times new roman" w:hAnsi="Times new roman"/>
          <w:i/>
          <w:iCs/>
          <w:sz w:val="20"/>
          <w:szCs w:val="20"/>
        </w:rPr>
        <w:t>Jornadas internacionales de innovación universitaria</w:t>
      </w:r>
      <w:r>
        <w:rPr>
          <w:rFonts w:eastAsia="Times New Roman" w:cs="Times New Roman" w:ascii="Times new roman" w:hAnsi="Times new roman"/>
          <w:sz w:val="20"/>
          <w:szCs w:val="20"/>
        </w:rPr>
        <w:t xml:space="preserve">, </w:t>
      </w:r>
      <w:r>
        <w:rPr>
          <w:rFonts w:eastAsia="Times New Roman" w:cs="Times New Roman" w:ascii="Times new roman" w:hAnsi="Times new roman"/>
          <w:i/>
          <w:iCs/>
          <w:sz w:val="20"/>
          <w:szCs w:val="20"/>
        </w:rPr>
        <w:t>X</w:t>
      </w:r>
      <w:r>
        <w:rPr>
          <w:rFonts w:eastAsia="Times New Roman" w:cs="Times New Roman" w:ascii="Times new roman" w:hAnsi="Times new roman"/>
          <w:sz w:val="20"/>
          <w:szCs w:val="20"/>
        </w:rPr>
        <w:t xml:space="preserve">, 1-7. </w:t>
      </w:r>
    </w:p>
    <w:p>
      <w:pPr>
        <w:pStyle w:val="Normal"/>
        <w:bidi w:val="0"/>
        <w:spacing w:lineRule="auto" w:line="360" w:before="0" w:after="0"/>
        <w:ind w:left="0" w:right="0" w:hanging="0"/>
        <w:jc w:val="both"/>
        <w:rPr/>
      </w:pPr>
      <w:hyperlink r:id="rId19">
        <w:r>
          <w:rPr>
            <w:rStyle w:val="EnlacedeInternet"/>
            <w:rFonts w:eastAsia="Times New Roman" w:cs="Times New Roman" w:ascii="Times new roman" w:hAnsi="Times new roman"/>
            <w:color w:val="0563C1" w:themeColor="hyperlink"/>
            <w:sz w:val="20"/>
            <w:szCs w:val="20"/>
            <w:u w:val="single"/>
          </w:rPr>
          <w:t>https://abacus.universidadeuropea.es/bitstream/handle/11268/2685/0143.pdf?sequence=1&amp;isAllowed=y</w:t>
        </w:r>
      </w:hyperlink>
    </w:p>
    <w:p>
      <w:pPr>
        <w:pStyle w:val="Normal"/>
        <w:bidi w:val="0"/>
        <w:spacing w:lineRule="auto" w:line="360" w:before="0" w:after="0"/>
        <w:ind w:left="0" w:right="0" w:hanging="0"/>
        <w:jc w:val="both"/>
        <w:rPr>
          <w:sz w:val="20"/>
          <w:szCs w:val="20"/>
        </w:rPr>
      </w:pPr>
      <w:r>
        <w:rPr>
          <w:rFonts w:eastAsia="Times New Roman" w:cs="Times New Roman" w:ascii="Times new roman" w:hAnsi="Times new roman"/>
          <w:sz w:val="20"/>
          <w:szCs w:val="20"/>
        </w:rPr>
        <w:t xml:space="preserve"> </w:t>
      </w:r>
    </w:p>
    <w:p>
      <w:pPr>
        <w:pStyle w:val="Normal"/>
        <w:bidi w:val="0"/>
        <w:spacing w:lineRule="auto" w:line="360" w:before="0" w:after="0"/>
        <w:ind w:left="0" w:right="0" w:hanging="0"/>
        <w:jc w:val="both"/>
        <w:rPr>
          <w:rFonts w:ascii="Times new roman" w:hAnsi="Times new roman"/>
          <w:sz w:val="20"/>
          <w:szCs w:val="20"/>
        </w:rPr>
      </w:pPr>
      <w:r>
        <w:rPr>
          <w:rFonts w:eastAsia="Times New Roman" w:cs="Times New Roman" w:ascii="Times new roman" w:hAnsi="Times new roman"/>
          <w:sz w:val="20"/>
          <w:szCs w:val="20"/>
        </w:rPr>
        <w:t xml:space="preserve">De Luna, M. C. (2019). </w:t>
      </w:r>
      <w:r>
        <w:rPr>
          <w:rFonts w:eastAsia="Times New Roman" w:cs="Times New Roman" w:ascii="Times new roman" w:hAnsi="Times new roman"/>
          <w:i/>
          <w:iCs/>
          <w:sz w:val="20"/>
          <w:szCs w:val="20"/>
        </w:rPr>
        <w:t xml:space="preserve">Influencia del uso del entorno virtual de aprendizaje en álgebra en el rendimiento académico del tema de diferenciación en estudiantes de ingeniería. </w:t>
      </w:r>
      <w:r>
        <w:rPr>
          <w:rFonts w:eastAsia="Times New Roman" w:cs="Times New Roman" w:ascii="Times new roman" w:hAnsi="Times new roman"/>
          <w:sz w:val="20"/>
          <w:szCs w:val="20"/>
        </w:rPr>
        <w:t xml:space="preserve">[tesis de maestría, Universidad Autónoma del Carmen]. Repositorio Institucional UNCAR. </w:t>
      </w:r>
    </w:p>
    <w:p>
      <w:pPr>
        <w:pStyle w:val="Normal"/>
        <w:bidi w:val="0"/>
        <w:spacing w:lineRule="auto" w:line="360" w:before="0" w:after="0"/>
        <w:ind w:left="0" w:right="0" w:hanging="0"/>
        <w:jc w:val="both"/>
        <w:rPr/>
      </w:pPr>
      <w:hyperlink r:id="rId20">
        <w:r>
          <w:rPr>
            <w:rStyle w:val="EnlacedeInternet"/>
            <w:rFonts w:eastAsia="Times New Roman" w:cs="Times New Roman" w:ascii="Times new roman" w:hAnsi="Times new roman"/>
            <w:color w:val="0563C1" w:themeColor="hyperlink"/>
            <w:sz w:val="20"/>
            <w:szCs w:val="20"/>
            <w:u w:val="single"/>
          </w:rPr>
          <w:t>http://www.repositorio.unacar.mx/jspui/handle/1030620191/41</w:t>
        </w:r>
      </w:hyperlink>
    </w:p>
    <w:p>
      <w:pPr>
        <w:pStyle w:val="Normal"/>
        <w:bidi w:val="0"/>
        <w:spacing w:lineRule="auto" w:line="360" w:before="0" w:after="0"/>
        <w:ind w:left="0" w:right="0" w:hanging="0"/>
        <w:jc w:val="both"/>
        <w:rPr>
          <w:sz w:val="20"/>
          <w:szCs w:val="20"/>
        </w:rPr>
      </w:pPr>
      <w:r>
        <w:rPr>
          <w:rFonts w:eastAsia="Times New Roman" w:cs="Times New Roman" w:ascii="Times new roman" w:hAnsi="Times new roman"/>
          <w:sz w:val="20"/>
          <w:szCs w:val="20"/>
        </w:rPr>
        <w:t xml:space="preserve"> </w:t>
      </w:r>
    </w:p>
    <w:p>
      <w:pPr>
        <w:pStyle w:val="Normal"/>
        <w:bidi w:val="0"/>
        <w:spacing w:lineRule="auto" w:line="360" w:before="0" w:after="0"/>
        <w:ind w:left="0" w:right="0" w:hanging="0"/>
        <w:jc w:val="both"/>
        <w:rPr>
          <w:sz w:val="20"/>
          <w:szCs w:val="20"/>
        </w:rPr>
      </w:pPr>
      <w:r>
        <w:rPr>
          <w:rFonts w:eastAsia="Times New Roman" w:cs="Times New Roman" w:ascii="Times new roman" w:hAnsi="Times new roman"/>
          <w:sz w:val="20"/>
          <w:szCs w:val="20"/>
        </w:rPr>
        <w:t>Diccionario de la Real Academia Española. (2019). Consultado el 17 de marzo de 2021.</w:t>
      </w:r>
    </w:p>
    <w:p>
      <w:pPr>
        <w:pStyle w:val="Normal"/>
        <w:bidi w:val="0"/>
        <w:spacing w:lineRule="auto" w:line="360" w:before="0" w:after="0"/>
        <w:ind w:left="0" w:right="0" w:hanging="0"/>
        <w:jc w:val="both"/>
        <w:rPr/>
      </w:pPr>
      <w:hyperlink r:id="rId21">
        <w:r>
          <w:rPr>
            <w:rStyle w:val="EnlacedeInternet"/>
            <w:rFonts w:eastAsia="Times New Roman" w:cs="Times New Roman" w:ascii="Times new roman" w:hAnsi="Times new roman"/>
            <w:color w:val="0563C1" w:themeColor="hyperlink"/>
            <w:sz w:val="20"/>
            <w:szCs w:val="20"/>
            <w:u w:val="single"/>
          </w:rPr>
          <w:t>https://dle.rae.es/reprobar</w:t>
        </w:r>
      </w:hyperlink>
    </w:p>
    <w:p>
      <w:pPr>
        <w:pStyle w:val="Normal"/>
        <w:bidi w:val="0"/>
        <w:spacing w:lineRule="auto" w:line="360" w:before="0" w:after="0"/>
        <w:ind w:left="0" w:right="0" w:hanging="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p>
    <w:p>
      <w:pPr>
        <w:pStyle w:val="Normal"/>
        <w:bidi w:val="0"/>
        <w:spacing w:lineRule="auto" w:line="360" w:before="0" w:after="0"/>
        <w:ind w:left="0" w:right="0" w:hanging="0"/>
        <w:jc w:val="both"/>
        <w:rPr>
          <w:rFonts w:ascii="Times new roman" w:hAnsi="Times new roman"/>
          <w:sz w:val="20"/>
          <w:szCs w:val="20"/>
        </w:rPr>
      </w:pPr>
      <w:r>
        <w:rPr>
          <w:rFonts w:ascii="Times new roman" w:hAnsi="Times new roman"/>
          <w:sz w:val="20"/>
          <w:szCs w:val="20"/>
        </w:rPr>
      </w:r>
    </w:p>
    <w:p>
      <w:pPr>
        <w:pStyle w:val="Normal"/>
        <w:bidi w:val="0"/>
        <w:spacing w:lineRule="auto" w:line="360" w:before="0" w:after="0"/>
        <w:ind w:left="0" w:right="0" w:hanging="0"/>
        <w:jc w:val="both"/>
        <w:rPr>
          <w:rFonts w:ascii="Times new roman" w:hAnsi="Times new roman"/>
          <w:sz w:val="20"/>
          <w:szCs w:val="20"/>
        </w:rPr>
      </w:pPr>
      <w:r>
        <w:rPr>
          <w:rFonts w:ascii="Times new roman" w:hAnsi="Times new roman"/>
          <w:sz w:val="20"/>
          <w:szCs w:val="20"/>
        </w:rPr>
      </w:r>
    </w:p>
    <w:p>
      <w:pPr>
        <w:pStyle w:val="Normal"/>
        <w:bidi w:val="0"/>
        <w:spacing w:lineRule="auto" w:line="360" w:before="0" w:after="0"/>
        <w:ind w:left="0" w:right="0" w:hanging="0"/>
        <w:jc w:val="both"/>
        <w:rPr>
          <w:sz w:val="20"/>
          <w:szCs w:val="20"/>
        </w:rPr>
      </w:pPr>
      <w:r>
        <w:rPr>
          <w:rFonts w:eastAsia="Times New Roman" w:cs="Times New Roman" w:ascii="Times new roman" w:hAnsi="Times new roman"/>
          <w:sz w:val="20"/>
          <w:szCs w:val="20"/>
        </w:rPr>
        <w:t xml:space="preserve">Espinosa, N. (2021, 18 de marzo). </w:t>
      </w:r>
      <w:r>
        <w:rPr>
          <w:rFonts w:eastAsia="Times New Roman" w:cs="Times New Roman" w:ascii="Times new roman" w:hAnsi="Times new roman"/>
          <w:i/>
          <w:iCs/>
          <w:sz w:val="20"/>
          <w:szCs w:val="20"/>
        </w:rPr>
        <w:t>Tutoría Utel</w:t>
      </w:r>
      <w:r>
        <w:rPr>
          <w:rFonts w:eastAsia="Times New Roman" w:cs="Times New Roman" w:ascii="Times new roman" w:hAnsi="Times new roman"/>
          <w:sz w:val="20"/>
          <w:szCs w:val="20"/>
        </w:rPr>
        <w:t xml:space="preserve">. Help Center. </w:t>
      </w:r>
    </w:p>
    <w:p>
      <w:pPr>
        <w:pStyle w:val="Normal"/>
        <w:bidi w:val="0"/>
        <w:spacing w:lineRule="auto" w:line="360" w:before="0" w:after="0"/>
        <w:ind w:left="0" w:right="0" w:hanging="0"/>
        <w:jc w:val="both"/>
        <w:rPr/>
      </w:pPr>
      <w:hyperlink r:id="rId22">
        <w:r>
          <w:rPr>
            <w:rStyle w:val="EnlacedeInternet"/>
            <w:rFonts w:eastAsia="Times New Roman" w:cs="Times New Roman" w:ascii="Times new roman" w:hAnsi="Times new roman"/>
            <w:color w:val="0563C1" w:themeColor="hyperlink"/>
            <w:sz w:val="20"/>
            <w:szCs w:val="20"/>
            <w:u w:val="single"/>
          </w:rPr>
          <w:t>https://intercom.help/tutoria/es/articles/1690615-que-son-los-cursos-de-nivelacion-academica-mae</w:t>
        </w:r>
      </w:hyperlink>
    </w:p>
    <w:p>
      <w:pPr>
        <w:pStyle w:val="Normal"/>
        <w:bidi w:val="0"/>
        <w:spacing w:lineRule="auto" w:line="360" w:before="0" w:after="0"/>
        <w:ind w:left="0" w:right="0" w:hanging="0"/>
        <w:jc w:val="both"/>
        <w:rPr>
          <w:sz w:val="20"/>
          <w:szCs w:val="20"/>
        </w:rPr>
      </w:pPr>
      <w:r>
        <w:rPr>
          <w:rFonts w:eastAsia="Times New Roman" w:cs="Times New Roman" w:ascii="Times new roman" w:hAnsi="Times new roman"/>
          <w:sz w:val="20"/>
          <w:szCs w:val="20"/>
        </w:rPr>
        <w:t xml:space="preserve"> </w:t>
      </w:r>
    </w:p>
    <w:p>
      <w:pPr>
        <w:pStyle w:val="Normal"/>
        <w:bidi w:val="0"/>
        <w:spacing w:lineRule="auto" w:line="360" w:before="0" w:after="0"/>
        <w:ind w:left="0" w:right="0" w:hanging="0"/>
        <w:jc w:val="both"/>
        <w:rPr>
          <w:sz w:val="20"/>
          <w:szCs w:val="20"/>
        </w:rPr>
      </w:pPr>
      <w:r>
        <w:rPr>
          <w:rFonts w:eastAsia="Times New Roman" w:cs="Times New Roman" w:ascii="Times new roman" w:hAnsi="Times new roman"/>
          <w:sz w:val="20"/>
          <w:szCs w:val="20"/>
        </w:rPr>
        <w:t>Instituto Nacional de Estadística y Geografía. (s.f.). Consultado el 10 de marzo enero de 2021.</w:t>
      </w:r>
    </w:p>
    <w:p>
      <w:pPr>
        <w:pStyle w:val="Normal"/>
        <w:bidi w:val="0"/>
        <w:spacing w:lineRule="auto" w:line="360" w:before="0" w:after="0"/>
        <w:ind w:left="0" w:right="0" w:hanging="0"/>
        <w:jc w:val="both"/>
        <w:rPr/>
      </w:pPr>
      <w:r>
        <w:fldChar w:fldCharType="begin"/>
      </w:r>
      <w:r>
        <w:instrText> HYPERLINK "https://www.inegi.org.mx/temas/educacion/default.html" \l "Tabulados"</w:instrText>
      </w:r>
      <w:r>
        <w:fldChar w:fldCharType="separate"/>
      </w:r>
      <w:r>
        <w:rPr>
          <w:rStyle w:val="EnlacedeInternet"/>
          <w:rFonts w:eastAsia="Times New Roman" w:cs="Times New Roman" w:ascii="Times new roman" w:hAnsi="Times new roman"/>
          <w:color w:val="0563C1" w:themeColor="hyperlink"/>
          <w:sz w:val="20"/>
          <w:szCs w:val="20"/>
          <w:u w:val="single"/>
        </w:rPr>
        <w:t>https://www.inegi.org.mx/temas/educacion/default.html#Tabulados</w:t>
      </w:r>
      <w:r>
        <w:fldChar w:fldCharType="end"/>
      </w:r>
      <w:r>
        <w:rPr>
          <w:rFonts w:eastAsia="Times New Roman" w:cs="Times New Roman" w:ascii="Times new roman" w:hAnsi="Times new roman"/>
          <w:sz w:val="20"/>
          <w:szCs w:val="20"/>
        </w:rPr>
        <w:t xml:space="preserve"> </w:t>
      </w:r>
    </w:p>
    <w:p>
      <w:pPr>
        <w:pStyle w:val="Normal"/>
        <w:bidi w:val="0"/>
        <w:spacing w:lineRule="auto" w:line="360" w:before="0" w:after="0"/>
        <w:ind w:left="0" w:right="0" w:hanging="0"/>
        <w:jc w:val="both"/>
        <w:rPr>
          <w:sz w:val="20"/>
          <w:szCs w:val="20"/>
        </w:rPr>
      </w:pPr>
      <w:r>
        <w:rPr>
          <w:rFonts w:eastAsia="Times New Roman" w:cs="Times New Roman" w:ascii="Times new roman" w:hAnsi="Times new roman"/>
          <w:sz w:val="20"/>
          <w:szCs w:val="20"/>
        </w:rPr>
        <w:t xml:space="preserve"> </w:t>
      </w:r>
    </w:p>
    <w:p>
      <w:pPr>
        <w:pStyle w:val="Normal"/>
        <w:bidi w:val="0"/>
        <w:spacing w:lineRule="auto" w:line="360" w:before="0" w:after="0"/>
        <w:ind w:left="0" w:right="0" w:hanging="0"/>
        <w:jc w:val="both"/>
        <w:rPr>
          <w:sz w:val="20"/>
          <w:szCs w:val="20"/>
        </w:rPr>
      </w:pPr>
      <w:r>
        <w:rPr>
          <w:rFonts w:eastAsia="Times New Roman" w:cs="Times New Roman" w:ascii="Times new roman" w:hAnsi="Times new roman"/>
          <w:sz w:val="20"/>
          <w:szCs w:val="20"/>
        </w:rPr>
        <w:t>Méndez-Novelo, R., Vázquez-Borges, E. y López- Sánchez, R. (2016). Efecto de los cursos propedéuticos en la licenciatura en ingeniería de la Facultad de Ingeniería de la UADY.</w:t>
      </w:r>
    </w:p>
    <w:p>
      <w:pPr>
        <w:pStyle w:val="Normal"/>
        <w:bidi w:val="0"/>
        <w:spacing w:lineRule="auto" w:line="360" w:before="0" w:after="0"/>
        <w:ind w:left="0" w:right="0" w:hanging="0"/>
        <w:jc w:val="both"/>
        <w:rPr>
          <w:sz w:val="20"/>
          <w:szCs w:val="20"/>
        </w:rPr>
      </w:pPr>
      <w:r>
        <w:rPr>
          <w:rFonts w:eastAsia="Times New Roman" w:cs="Times New Roman" w:ascii="Times new roman" w:hAnsi="Times new roman"/>
          <w:i/>
          <w:iCs/>
          <w:sz w:val="20"/>
          <w:szCs w:val="20"/>
        </w:rPr>
        <w:t>Redalyc,</w:t>
      </w:r>
      <w:r>
        <w:rPr>
          <w:rFonts w:eastAsia="Times New Roman" w:cs="Times New Roman" w:ascii="Times new roman" w:hAnsi="Times new roman"/>
          <w:sz w:val="20"/>
          <w:szCs w:val="20"/>
        </w:rPr>
        <w:t xml:space="preserve"> 20(3), 128-136.</w:t>
      </w:r>
    </w:p>
    <w:p>
      <w:pPr>
        <w:pStyle w:val="Normal"/>
        <w:bidi w:val="0"/>
        <w:spacing w:lineRule="auto" w:line="360" w:before="0" w:after="0"/>
        <w:ind w:left="0" w:right="0" w:hanging="0"/>
        <w:jc w:val="both"/>
        <w:rPr/>
      </w:pPr>
      <w:hyperlink r:id="rId23">
        <w:r>
          <w:rPr>
            <w:rStyle w:val="EnlacedeInternet"/>
            <w:rFonts w:eastAsia="Times New Roman" w:cs="Times New Roman" w:ascii="Times new roman" w:hAnsi="Times new roman"/>
            <w:color w:val="0563C1" w:themeColor="hyperlink"/>
            <w:sz w:val="20"/>
            <w:szCs w:val="20"/>
            <w:u w:val="single"/>
          </w:rPr>
          <w:t>https://www.redalyc.org/pdf/467/46750929001.pdf</w:t>
        </w:r>
      </w:hyperlink>
    </w:p>
    <w:p>
      <w:pPr>
        <w:pStyle w:val="Normal"/>
        <w:bidi w:val="0"/>
        <w:spacing w:lineRule="auto" w:line="360" w:before="0" w:after="0"/>
        <w:ind w:left="0" w:right="0" w:hanging="0"/>
        <w:jc w:val="both"/>
        <w:rPr>
          <w:sz w:val="20"/>
          <w:szCs w:val="20"/>
        </w:rPr>
      </w:pPr>
      <w:r>
        <w:rPr>
          <w:rFonts w:eastAsia="Times New Roman" w:cs="Times New Roman" w:ascii="Times new roman" w:hAnsi="Times new roman"/>
          <w:sz w:val="20"/>
          <w:szCs w:val="20"/>
        </w:rPr>
        <w:t xml:space="preserve">Organización para la Cooperación y el Desarrollo Económicos. (2019). </w:t>
      </w:r>
      <w:r>
        <w:rPr>
          <w:rFonts w:eastAsia="Times New Roman" w:cs="Times New Roman" w:ascii="Times new roman" w:hAnsi="Times new roman"/>
          <w:i/>
          <w:iCs/>
          <w:sz w:val="20"/>
          <w:szCs w:val="20"/>
        </w:rPr>
        <w:t xml:space="preserve">Educación Superior en México, Resultados y relevancia para el mercado laboral. </w:t>
      </w:r>
      <w:r>
        <w:rPr>
          <w:rFonts w:eastAsia="Times New Roman" w:cs="Times New Roman" w:ascii="Times new roman" w:hAnsi="Times new roman"/>
          <w:sz w:val="20"/>
          <w:szCs w:val="20"/>
        </w:rPr>
        <w:t>Consultado el 17 de marzo de 2021.</w:t>
      </w:r>
    </w:p>
    <w:p>
      <w:pPr>
        <w:pStyle w:val="Normal"/>
        <w:bidi w:val="0"/>
        <w:spacing w:lineRule="auto" w:line="360" w:before="0" w:after="0"/>
        <w:ind w:left="0" w:right="0" w:hanging="0"/>
        <w:jc w:val="both"/>
        <w:rPr/>
      </w:pPr>
      <w:hyperlink r:id="rId24">
        <w:r>
          <w:rPr>
            <w:rStyle w:val="EnlacedeInternet"/>
            <w:rFonts w:eastAsia="Times New Roman" w:cs="Times New Roman" w:ascii="Times new roman" w:hAnsi="Times new roman"/>
            <w:color w:val="0563C1" w:themeColor="hyperlink"/>
            <w:sz w:val="20"/>
            <w:szCs w:val="20"/>
            <w:u w:val="single"/>
          </w:rPr>
          <w:t>https://www.oecd.org/centrodemexico/medios/educacion_superior_en_mexico.pdf</w:t>
        </w:r>
      </w:hyperlink>
    </w:p>
    <w:p>
      <w:pPr>
        <w:pStyle w:val="Normal"/>
        <w:bidi w:val="0"/>
        <w:spacing w:lineRule="auto" w:line="360" w:before="0" w:after="0"/>
        <w:ind w:left="0" w:right="0" w:hanging="0"/>
        <w:jc w:val="both"/>
        <w:rPr>
          <w:sz w:val="20"/>
          <w:szCs w:val="20"/>
        </w:rPr>
      </w:pPr>
      <w:r>
        <w:rPr>
          <w:rFonts w:eastAsia="Times New Roman" w:cs="Times New Roman" w:ascii="Times new roman" w:hAnsi="Times new roman"/>
          <w:sz w:val="20"/>
          <w:szCs w:val="20"/>
        </w:rPr>
        <w:t xml:space="preserve"> </w:t>
      </w:r>
    </w:p>
    <w:p>
      <w:pPr>
        <w:pStyle w:val="Normal"/>
        <w:bidi w:val="0"/>
        <w:spacing w:lineRule="auto" w:line="360" w:before="0" w:after="0"/>
        <w:ind w:left="0" w:right="0" w:hanging="0"/>
        <w:jc w:val="both"/>
        <w:rPr>
          <w:sz w:val="20"/>
          <w:szCs w:val="20"/>
        </w:rPr>
      </w:pPr>
      <w:r>
        <w:rPr>
          <w:rFonts w:eastAsia="Times New Roman" w:cs="Times New Roman" w:ascii="Times new roman" w:hAnsi="Times new roman"/>
          <w:sz w:val="20"/>
          <w:szCs w:val="20"/>
        </w:rPr>
        <w:t xml:space="preserve">Organización de las Naciones Unidas para la Educación, la Ciencia y la Cultura. (2013).  </w:t>
      </w:r>
      <w:r>
        <w:rPr>
          <w:rFonts w:eastAsia="Times New Roman" w:cs="Times New Roman" w:ascii="Times new roman" w:hAnsi="Times new roman"/>
          <w:i/>
          <w:iCs/>
          <w:sz w:val="20"/>
          <w:szCs w:val="20"/>
        </w:rPr>
        <w:t>Enfoques estratégicos sobre las Tics en educación en América Latina y el caribe.</w:t>
      </w:r>
      <w:r>
        <w:rPr>
          <w:rFonts w:eastAsia="Times New Roman" w:cs="Times New Roman" w:ascii="Times new roman" w:hAnsi="Times new roman"/>
          <w:sz w:val="20"/>
          <w:szCs w:val="20"/>
        </w:rPr>
        <w:t xml:space="preserve">  (Consultado el 10 de marzo de 2021).</w:t>
      </w:r>
    </w:p>
    <w:p>
      <w:pPr>
        <w:pStyle w:val="Normal"/>
        <w:bidi w:val="0"/>
        <w:spacing w:lineRule="auto" w:line="360" w:before="0" w:after="0"/>
        <w:ind w:left="0" w:right="0" w:hanging="0"/>
        <w:jc w:val="both"/>
        <w:rPr/>
      </w:pPr>
      <w:hyperlink r:id="rId25">
        <w:r>
          <w:rPr>
            <w:rStyle w:val="EnlacedeInternet"/>
            <w:rFonts w:eastAsia="Times New Roman" w:cs="Times New Roman" w:ascii="Times new roman" w:hAnsi="Times new roman"/>
            <w:color w:val="0563C1" w:themeColor="hyperlink"/>
            <w:sz w:val="20"/>
            <w:szCs w:val="20"/>
            <w:u w:val="single"/>
          </w:rPr>
          <w:t>http://www.unesco.org/new/fileadmin/MULTIMEDIA/FIELD/Santiago/images/ticsesp.pdf</w:t>
        </w:r>
      </w:hyperlink>
    </w:p>
    <w:p>
      <w:pPr>
        <w:pStyle w:val="Normal"/>
        <w:bidi w:val="0"/>
        <w:spacing w:lineRule="auto" w:line="360" w:before="0" w:after="0"/>
        <w:ind w:left="0" w:right="0" w:hanging="0"/>
        <w:jc w:val="both"/>
        <w:rPr>
          <w:sz w:val="20"/>
          <w:szCs w:val="20"/>
        </w:rPr>
      </w:pPr>
      <w:r>
        <w:rPr>
          <w:rFonts w:eastAsia="Times New Roman" w:cs="Times New Roman" w:ascii="Times new roman" w:hAnsi="Times new roman"/>
          <w:sz w:val="20"/>
          <w:szCs w:val="20"/>
        </w:rPr>
        <w:t xml:space="preserve">Ramírez, G. (2012). Diseño e implementación de un curso remedial sobre tópicos de matemática elemental, en un entorno de aprendizaje colaborativo, con apoyo en el tic. </w:t>
      </w:r>
      <w:r>
        <w:rPr>
          <w:rFonts w:eastAsia="Times New Roman" w:cs="Times New Roman" w:ascii="Times new roman" w:hAnsi="Times new roman"/>
          <w:i/>
          <w:iCs/>
          <w:sz w:val="20"/>
          <w:szCs w:val="20"/>
        </w:rPr>
        <w:t>Revista de la Facultad de Ingeniería, 27</w:t>
      </w:r>
      <w:r>
        <w:rPr>
          <w:rFonts w:eastAsia="Times New Roman" w:cs="Times New Roman" w:ascii="Times new roman" w:hAnsi="Times new roman"/>
          <w:sz w:val="20"/>
          <w:szCs w:val="20"/>
        </w:rPr>
        <w:t>(3), 7-20.</w:t>
      </w:r>
    </w:p>
    <w:p>
      <w:pPr>
        <w:pStyle w:val="Normal"/>
        <w:bidi w:val="0"/>
        <w:spacing w:lineRule="auto" w:line="360" w:before="0" w:after="0"/>
        <w:ind w:left="0" w:right="0" w:hanging="0"/>
        <w:jc w:val="both"/>
        <w:rPr/>
      </w:pPr>
      <w:hyperlink r:id="rId26">
        <w:r>
          <w:rPr>
            <w:rStyle w:val="EnlacedeInternet"/>
            <w:rFonts w:eastAsia="Times New Roman" w:cs="Times New Roman" w:ascii="Times new roman" w:hAnsi="Times new roman"/>
            <w:color w:val="0563C1" w:themeColor="hyperlink"/>
            <w:sz w:val="20"/>
            <w:szCs w:val="20"/>
            <w:u w:val="single"/>
          </w:rPr>
          <w:t>http://ve.scielo.org/scielo.php?script=sci_arttext&amp;pid=S0798-40652012000300002</w:t>
        </w:r>
      </w:hyperlink>
    </w:p>
    <w:p>
      <w:pPr>
        <w:pStyle w:val="Normal"/>
        <w:bidi w:val="0"/>
        <w:spacing w:lineRule="auto" w:line="360" w:before="0" w:after="0"/>
        <w:ind w:left="0" w:right="0" w:hanging="0"/>
        <w:jc w:val="both"/>
        <w:rPr>
          <w:sz w:val="20"/>
          <w:szCs w:val="20"/>
        </w:rPr>
      </w:pPr>
      <w:r>
        <w:rPr>
          <w:rFonts w:eastAsia="Times New Roman" w:cs="Times New Roman" w:ascii="Times new roman" w:hAnsi="Times new roman"/>
          <w:sz w:val="20"/>
          <w:szCs w:val="20"/>
        </w:rPr>
        <w:t xml:space="preserve"> </w:t>
      </w:r>
    </w:p>
    <w:p>
      <w:pPr>
        <w:pStyle w:val="Normal"/>
        <w:bidi w:val="0"/>
        <w:spacing w:lineRule="auto" w:line="360" w:before="0" w:after="0"/>
        <w:ind w:left="0" w:right="0" w:hanging="0"/>
        <w:jc w:val="both"/>
        <w:rPr>
          <w:sz w:val="20"/>
          <w:szCs w:val="20"/>
        </w:rPr>
      </w:pPr>
      <w:r>
        <w:rPr>
          <w:rFonts w:eastAsia="Times New Roman" w:cs="Times New Roman" w:ascii="Times new roman" w:hAnsi="Times new roman"/>
          <w:sz w:val="20"/>
          <w:szCs w:val="20"/>
        </w:rPr>
        <w:t xml:space="preserve">Soto- Hernández, V., Díaz- Larenas, C. y Chiang- Salgado, M. T. (2017). Beca de nivelación académica: resultados de un programa de intervención en estudiantes de origen vulnerable en la Universidad de Concepción. </w:t>
      </w:r>
      <w:r>
        <w:rPr>
          <w:rFonts w:eastAsia="Times New Roman" w:cs="Times New Roman" w:ascii="Times new roman" w:hAnsi="Times new roman"/>
          <w:i/>
          <w:iCs/>
          <w:sz w:val="20"/>
          <w:szCs w:val="20"/>
        </w:rPr>
        <w:t>Educacao, 1</w:t>
      </w:r>
      <w:r>
        <w:rPr>
          <w:rFonts w:eastAsia="Times New Roman" w:cs="Times New Roman" w:ascii="Times new roman" w:hAnsi="Times new roman"/>
          <w:sz w:val="20"/>
          <w:szCs w:val="20"/>
        </w:rPr>
        <w:t>(33), 1-28.</w:t>
      </w:r>
    </w:p>
    <w:p>
      <w:pPr>
        <w:pStyle w:val="Normal"/>
        <w:bidi w:val="0"/>
        <w:spacing w:lineRule="auto" w:line="360" w:before="0" w:after="0"/>
        <w:ind w:left="0" w:right="0" w:hanging="0"/>
        <w:jc w:val="both"/>
        <w:rPr/>
      </w:pPr>
      <w:hyperlink r:id="rId27">
        <w:r>
          <w:rPr>
            <w:rStyle w:val="EnlacedeInternet"/>
            <w:rFonts w:eastAsia="Times New Roman" w:cs="Times New Roman" w:ascii="Times new roman" w:hAnsi="Times new roman"/>
            <w:color w:val="0563C1" w:themeColor="hyperlink"/>
            <w:sz w:val="20"/>
            <w:szCs w:val="20"/>
            <w:u w:val="single"/>
          </w:rPr>
          <w:t>https://www.scielo.br/pdf/edur/v33/1982-6621-edur-33-e160071.pdf</w:t>
        </w:r>
      </w:hyperlink>
    </w:p>
    <w:p>
      <w:pPr>
        <w:pStyle w:val="Normal"/>
        <w:bidi w:val="0"/>
        <w:spacing w:lineRule="auto" w:line="360" w:before="0" w:after="0"/>
        <w:ind w:left="0" w:right="0" w:hanging="0"/>
        <w:jc w:val="both"/>
        <w:rPr>
          <w:rFonts w:ascii="Times new roman" w:hAnsi="Times new roman"/>
          <w:sz w:val="20"/>
          <w:szCs w:val="20"/>
        </w:rPr>
      </w:pPr>
      <w:r>
        <w:rPr>
          <w:rFonts w:ascii="Times new roman" w:hAnsi="Times new roman"/>
          <w:sz w:val="20"/>
          <w:szCs w:val="20"/>
        </w:rPr>
      </w:r>
    </w:p>
    <w:sectPr>
      <w:type w:val="continuous"/>
      <w:pgSz w:w="12240" w:h="15840"/>
      <w:pgMar w:left="1417" w:right="1417" w:header="1417" w:top="1983" w:footer="1417" w:bottom="2021" w:gutter="0"/>
      <w:cols w:num="2" w:space="282" w:equalWidth="true" w:sep="false"/>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swiss"/>
    <w:pitch w:val="variable"/>
  </w:font>
  <w:font w:name="Times new roman">
    <w:charset w:val="01"/>
    <w:family w:val="roman"/>
    <w:pitch w:val="default"/>
  </w:font>
  <w:font w:name="Times new roman">
    <w:charset w:val="01"/>
    <w:family w:val="roman"/>
    <w:pitch w:val="variable"/>
  </w:font>
  <w:font w:name="Cantarell">
    <w:charset w:val="01"/>
    <w:family w:val="roman"/>
    <w:pitch w:val="variable"/>
  </w:font>
  <w:font w:name="Times New Roman">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Borders/>
      <w:tblCellMar>
        <w:top w:w="55" w:type="dxa"/>
        <w:left w:w="55" w:type="dxa"/>
        <w:bottom w:w="55" w:type="dxa"/>
        <w:right w:w="55" w:type="dxa"/>
      </w:tblCellMar>
    </w:tblPr>
    <w:tblGrid>
      <w:gridCol w:w="2488"/>
      <w:gridCol w:w="4140"/>
      <w:gridCol w:w="2777"/>
    </w:tblGrid>
    <w:tr>
      <w:trPr/>
      <w:tc>
        <w:tcPr>
          <w:tcW w:w="2488" w:type="dxa"/>
          <w:tcBorders/>
          <w:shd w:fill="auto" w:val="clear"/>
        </w:tcPr>
        <w:p>
          <w:pPr>
            <w:pStyle w:val="Contenidodelatabla"/>
            <w:bidi w:val="0"/>
            <w:spacing w:before="0" w:after="0"/>
            <w:ind w:hanging="0"/>
            <w:jc w:val="left"/>
            <w:rPr/>
          </w:pPr>
          <w:r>
            <w:rPr>
              <w:rFonts w:ascii="Times new roman" w:hAnsi="Times new roman"/>
              <w:sz w:val="16"/>
              <w:szCs w:val="16"/>
            </w:rPr>
            <w:t xml:space="preserve">Recibido: </w:t>
          </w:r>
          <w:r>
            <w:rPr>
              <w:rFonts w:ascii="Times new roman" w:hAnsi="Times new roman"/>
              <w:sz w:val="16"/>
              <w:szCs w:val="16"/>
            </w:rPr>
            <w:t>24</w:t>
          </w:r>
          <w:r>
            <w:rPr>
              <w:rFonts w:ascii="Times new roman" w:hAnsi="Times new roman"/>
              <w:sz w:val="16"/>
              <w:szCs w:val="16"/>
            </w:rPr>
            <w:t>/</w:t>
          </w:r>
          <w:r>
            <w:rPr>
              <w:rFonts w:ascii="Times new roman" w:hAnsi="Times new roman"/>
              <w:sz w:val="16"/>
              <w:szCs w:val="16"/>
            </w:rPr>
            <w:t>Marzo</w:t>
          </w:r>
          <w:r>
            <w:rPr>
              <w:rFonts w:ascii="Times new roman" w:hAnsi="Times new roman"/>
              <w:sz w:val="16"/>
              <w:szCs w:val="16"/>
            </w:rPr>
            <w:t>/202</w:t>
          </w:r>
          <w:r>
            <w:rPr>
              <w:rFonts w:ascii="Times new roman" w:hAnsi="Times new roman"/>
              <w:sz w:val="16"/>
              <w:szCs w:val="16"/>
            </w:rPr>
            <w:t>1</w:t>
          </w:r>
        </w:p>
        <w:p>
          <w:pPr>
            <w:pStyle w:val="Contenidodelatabla"/>
            <w:bidi w:val="0"/>
            <w:spacing w:before="0" w:after="0"/>
            <w:ind w:hanging="0"/>
            <w:jc w:val="left"/>
            <w:rPr/>
          </w:pPr>
          <w:r>
            <w:rPr>
              <w:rFonts w:ascii="Times new roman" w:hAnsi="Times new roman"/>
              <w:sz w:val="16"/>
              <w:szCs w:val="16"/>
            </w:rPr>
            <w:t xml:space="preserve">Aceptado: </w:t>
          </w:r>
          <w:r>
            <w:rPr>
              <w:rFonts w:ascii="Times new roman" w:hAnsi="Times new roman"/>
              <w:sz w:val="16"/>
              <w:szCs w:val="16"/>
            </w:rPr>
            <w:t>18</w:t>
          </w:r>
          <w:r>
            <w:rPr>
              <w:rFonts w:ascii="Times new roman" w:hAnsi="Times new roman"/>
              <w:sz w:val="16"/>
              <w:szCs w:val="16"/>
            </w:rPr>
            <w:t>/</w:t>
          </w:r>
          <w:r>
            <w:rPr>
              <w:rFonts w:ascii="Times new roman" w:hAnsi="Times new roman"/>
              <w:sz w:val="16"/>
              <w:szCs w:val="16"/>
            </w:rPr>
            <w:t>Mayo</w:t>
          </w:r>
          <w:r>
            <w:rPr>
              <w:rFonts w:ascii="Times new roman" w:hAnsi="Times new roman"/>
              <w:sz w:val="16"/>
              <w:szCs w:val="16"/>
            </w:rPr>
            <w:t>/202</w:t>
          </w:r>
          <w:r>
            <w:rPr>
              <w:rFonts w:ascii="Times new roman" w:hAnsi="Times new roman"/>
              <w:sz w:val="16"/>
              <w:szCs w:val="16"/>
            </w:rPr>
            <w:t>1</w:t>
          </w:r>
        </w:p>
      </w:tc>
      <w:tc>
        <w:tcPr>
          <w:tcW w:w="4140" w:type="dxa"/>
          <w:tcBorders/>
          <w:shd w:fill="auto" w:val="clear"/>
        </w:tcPr>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77" w:type="dxa"/>
          <w:tcBorders/>
          <w:shd w:fill="auto" w:val="clear"/>
        </w:tcPr>
        <w:p>
          <w:pPr>
            <w:pStyle w:val="Contenidodelatabla"/>
            <w:spacing w:before="120" w:after="60"/>
            <w:rPr/>
          </w:pPr>
          <w:r>
            <w:rPr/>
          </w:r>
        </w:p>
      </w:tc>
    </w:tr>
  </w:tbl>
  <w:p>
    <w:pPr>
      <w:pStyle w:val="Normal"/>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6, No. 1</w:t>
    </w:r>
    <w:r>
      <w:rPr>
        <w:rFonts w:ascii="Times new roman" w:hAnsi="Times new roman"/>
        <w:b w:val="false"/>
        <w:i/>
        <w:iCs/>
        <w:caps w:val="false"/>
        <w:smallCaps w:val="false"/>
        <w:spacing w:val="0"/>
        <w:sz w:val="16"/>
        <w:szCs w:val="16"/>
      </w:rPr>
      <w:t>2</w:t>
    </w:r>
    <w:r>
      <w:rPr>
        <w:rFonts w:ascii="Times new roman" w:hAnsi="Times new roman"/>
        <w:b w:val="false"/>
        <w:i/>
        <w:iCs/>
        <w:caps w:val="false"/>
        <w:smallCaps w:val="false"/>
        <w:spacing w:val="0"/>
        <w:sz w:val="16"/>
        <w:szCs w:val="16"/>
      </w:rPr>
      <w:t xml:space="preserve">, pp. </w:t>
    </w:r>
    <w:r>
      <w:rPr>
        <w:rFonts w:ascii="Times new roman" w:hAnsi="Times new roman"/>
        <w:b w:val="false"/>
        <w:i/>
        <w:iCs/>
        <w:caps w:val="false"/>
        <w:smallCaps w:val="false"/>
        <w:spacing w:val="0"/>
        <w:sz w:val="16"/>
        <w:szCs w:val="16"/>
      </w:rPr>
      <w:t>25</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3</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 xml:space="preserve">, </w:t>
    </w:r>
    <w:r>
      <w:rPr>
        <w:rFonts w:ascii="Times new roman" w:hAnsi="Times new roman"/>
        <w:b w:val="false"/>
        <w:i/>
        <w:iCs/>
        <w:caps w:val="false"/>
        <w:smallCaps w:val="false"/>
        <w:spacing w:val="0"/>
        <w:sz w:val="16"/>
        <w:szCs w:val="16"/>
      </w:rPr>
      <w:t>Juli</w:t>
    </w:r>
    <w:r>
      <w:rPr>
        <w:rFonts w:ascii="Times new roman" w:hAnsi="Times new roman"/>
        <w:b w:val="false"/>
        <w:i/>
        <w:iCs/>
        <w:caps w:val="false"/>
        <w:smallCaps w:val="false"/>
        <w:spacing w:val="0"/>
        <w:sz w:val="16"/>
        <w:szCs w:val="16"/>
      </w:rPr>
      <w:t>o-</w:t>
    </w:r>
    <w:r>
      <w:rPr>
        <w:rFonts w:ascii="Times new roman" w:hAnsi="Times new roman"/>
        <w:b w:val="false"/>
        <w:i/>
        <w:iCs/>
        <w:caps w:val="false"/>
        <w:smallCaps w:val="false"/>
        <w:spacing w:val="0"/>
        <w:sz w:val="16"/>
        <w:szCs w:val="16"/>
      </w:rPr>
      <w:t>Diciembre</w:t>
    </w:r>
    <w:r>
      <w:rPr>
        <w:rFonts w:ascii="Times new roman" w:hAnsi="Times new roman"/>
        <w:b w:val="false"/>
        <w:i/>
        <w:iCs/>
        <w:caps w:val="false"/>
        <w:smallCaps w:val="false"/>
        <w:spacing w:val="0"/>
        <w:sz w:val="16"/>
        <w:szCs w:val="16"/>
      </w:rPr>
      <w:t xml:space="preserve"> 2021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6, No. 1</w:t>
    </w:r>
    <w:r>
      <w:rPr>
        <w:rFonts w:ascii="Times new roman" w:hAnsi="Times new roman"/>
        <w:b w:val="false"/>
        <w:i/>
        <w:iCs/>
        <w:caps w:val="false"/>
        <w:smallCaps w:val="false"/>
        <w:spacing w:val="0"/>
        <w:sz w:val="16"/>
        <w:szCs w:val="16"/>
      </w:rPr>
      <w:t>2</w:t>
    </w:r>
    <w:r>
      <w:rPr>
        <w:rFonts w:ascii="Times new roman" w:hAnsi="Times new roman"/>
        <w:b w:val="false"/>
        <w:i/>
        <w:iCs/>
        <w:caps w:val="false"/>
        <w:smallCaps w:val="false"/>
        <w:spacing w:val="0"/>
        <w:sz w:val="16"/>
        <w:szCs w:val="16"/>
      </w:rPr>
      <w:t xml:space="preserve">, pp. </w:t>
    </w:r>
    <w:r>
      <w:rPr>
        <w:rFonts w:ascii="Times new roman" w:hAnsi="Times new roman"/>
        <w:b w:val="false"/>
        <w:i/>
        <w:iCs/>
        <w:caps w:val="false"/>
        <w:smallCaps w:val="false"/>
        <w:spacing w:val="0"/>
        <w:sz w:val="16"/>
        <w:szCs w:val="16"/>
      </w:rPr>
      <w:t>25</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3</w:t>
    </w:r>
    <w:r>
      <w:rPr>
        <w:rFonts w:ascii="Times new roman" w:hAnsi="Times new roman"/>
        <w:b w:val="false"/>
        <w:i/>
        <w:iCs/>
        <w:caps w:val="false"/>
        <w:smallCaps w:val="false"/>
        <w:spacing w:val="0"/>
        <w:sz w:val="16"/>
        <w:szCs w:val="16"/>
      </w:rPr>
      <w:t>4</w:t>
    </w:r>
    <w:r>
      <w:rPr>
        <w:rFonts w:ascii="Times new roman" w:hAnsi="Times new roman"/>
        <w:b w:val="false"/>
        <w:i/>
        <w:iCs/>
        <w:caps w:val="false"/>
        <w:smallCaps w:val="false"/>
        <w:spacing w:val="0"/>
        <w:sz w:val="16"/>
        <w:szCs w:val="16"/>
      </w:rPr>
      <w:t xml:space="preserve">, </w:t>
    </w:r>
    <w:r>
      <w:rPr>
        <w:rFonts w:ascii="Times new roman" w:hAnsi="Times new roman"/>
        <w:b w:val="false"/>
        <w:i/>
        <w:iCs/>
        <w:caps w:val="false"/>
        <w:smallCaps w:val="false"/>
        <w:spacing w:val="0"/>
        <w:sz w:val="16"/>
        <w:szCs w:val="16"/>
      </w:rPr>
      <w:t>Juli</w:t>
    </w:r>
    <w:r>
      <w:rPr>
        <w:rFonts w:ascii="Times new roman" w:hAnsi="Times new roman"/>
        <w:b w:val="false"/>
        <w:i/>
        <w:iCs/>
        <w:caps w:val="false"/>
        <w:smallCaps w:val="false"/>
        <w:spacing w:val="0"/>
        <w:sz w:val="16"/>
        <w:szCs w:val="16"/>
      </w:rPr>
      <w:t>o-</w:t>
    </w:r>
    <w:r>
      <w:rPr>
        <w:rFonts w:ascii="Times new roman" w:hAnsi="Times new roman"/>
        <w:b w:val="false"/>
        <w:i/>
        <w:iCs/>
        <w:caps w:val="false"/>
        <w:smallCaps w:val="false"/>
        <w:spacing w:val="0"/>
        <w:sz w:val="16"/>
        <w:szCs w:val="16"/>
      </w:rPr>
      <w:t>Diciembre</w:t>
    </w:r>
    <w:r>
      <w:rPr>
        <w:rFonts w:ascii="Times new roman" w:hAnsi="Times new roman"/>
        <w:b w:val="false"/>
        <w:i/>
        <w:iCs/>
        <w:caps w:val="false"/>
        <w:smallCaps w:val="false"/>
        <w:spacing w:val="0"/>
        <w:sz w:val="16"/>
        <w:szCs w:val="16"/>
      </w:rPr>
      <w:t xml:space="preserve"> 2021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Borders/>
      <w:tblCellMar>
        <w:top w:w="100" w:type="dxa"/>
        <w:left w:w="100" w:type="dxa"/>
        <w:bottom w:w="100" w:type="dxa"/>
        <w:right w:w="100" w:type="dxa"/>
      </w:tblCellMar>
      <w:tblLook w:val="0600" w:noVBand="1" w:noHBand="1" w:firstRow="0" w:lastRow="0" w:firstColumn="0" w:lastColumn="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360" w:before="0" w:after="0"/>
            <w:ind w:left="0" w:right="0" w:hanging="0"/>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tabs>
              <w:tab w:val="center" w:pos="4419" w:leader="none"/>
              <w:tab w:val="right" w:pos="8838" w:leader="none"/>
            </w:tabs>
            <w:bidi w:val="0"/>
            <w:spacing w:lineRule="auto" w:line="360" w:before="0" w:after="0"/>
            <w:ind w:left="0" w:right="0" w:hanging="0"/>
            <w:jc w:val="center"/>
            <w:rPr>
              <w:rFonts w:ascii="Times new roman" w:hAnsi="Times new roman"/>
              <w:sz w:val="20"/>
              <w:szCs w:val="20"/>
            </w:rPr>
          </w:pPr>
          <w:r>
            <w:rPr>
              <w:rFonts w:ascii="Times new roman" w:hAnsi="Times new roman"/>
              <w:sz w:val="20"/>
              <w:szCs w:val="20"/>
            </w:rPr>
          </w:r>
        </w:p>
        <w:p>
          <w:pPr>
            <w:pStyle w:val="Normal"/>
            <w:tabs>
              <w:tab w:val="center" w:pos="4419" w:leader="none"/>
              <w:tab w:val="right" w:pos="8838" w:leader="none"/>
            </w:tabs>
            <w:bidi w:val="0"/>
            <w:spacing w:lineRule="auto" w:line="36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tabs>
              <w:tab w:val="center" w:pos="4419" w:leader="none"/>
              <w:tab w:val="right" w:pos="8838" w:leader="none"/>
            </w:tabs>
            <w:bidi w:val="0"/>
            <w:spacing w:lineRule="auto" w:line="360" w:before="0" w:after="0"/>
            <w:ind w:left="0" w:right="0" w:hanging="0"/>
            <w:jc w:val="center"/>
            <w:rPr/>
          </w:pPr>
          <w:r>
            <w:rPr>
              <w:rFonts w:eastAsia="Times New Roman" w:cs="Times New Roman" w:ascii="Times new roman" w:hAnsi="Times new roman"/>
              <w:sz w:val="20"/>
              <w:szCs w:val="20"/>
            </w:rPr>
            <w:t>Vol. 6, No. 1</w:t>
          </w:r>
          <w:r>
            <w:rPr>
              <w:rFonts w:eastAsia="Times New Roman" w:cs="Times New Roman" w:ascii="Times new roman" w:hAnsi="Times new roman"/>
              <w:sz w:val="20"/>
              <w:szCs w:val="20"/>
            </w:rPr>
            <w:t>2</w:t>
          </w:r>
          <w:r>
            <w:rPr>
              <w:rFonts w:eastAsia="Times New Roman" w:cs="Times New Roman" w:ascii="Times new roman" w:hAnsi="Times new roman"/>
              <w:sz w:val="20"/>
              <w:szCs w:val="20"/>
            </w:rPr>
            <w:t xml:space="preserve">, pp. </w:t>
          </w:r>
          <w:r>
            <w:rPr>
              <w:rFonts w:eastAsia="Times New Roman" w:cs="Times New Roman" w:ascii="Times new roman" w:hAnsi="Times new roman"/>
              <w:sz w:val="20"/>
              <w:szCs w:val="20"/>
            </w:rPr>
            <w:t>25</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3</w:t>
          </w:r>
          <w:r>
            <w:rPr>
              <w:rFonts w:eastAsia="Times New Roman" w:cs="Times New Roman" w:ascii="Times new roman" w:hAnsi="Times new roman"/>
              <w:sz w:val="20"/>
              <w:szCs w:val="20"/>
            </w:rPr>
            <w:t>4</w:t>
          </w:r>
        </w:p>
        <w:p>
          <w:pPr>
            <w:pStyle w:val="Normal"/>
            <w:tabs>
              <w:tab w:val="center" w:pos="4419" w:leader="none"/>
              <w:tab w:val="right" w:pos="8838" w:leader="none"/>
            </w:tabs>
            <w:bidi w:val="0"/>
            <w:spacing w:lineRule="auto" w:line="360" w:before="0" w:after="0"/>
            <w:ind w:left="0" w:right="0" w:hanging="0"/>
            <w:jc w:val="center"/>
            <w:rPr/>
          </w:pPr>
          <w:r>
            <w:rPr>
              <w:rFonts w:eastAsia="Times New Roman" w:cs="Times New Roman" w:ascii="Times new roman" w:hAnsi="Times new roman"/>
              <w:sz w:val="20"/>
              <w:szCs w:val="20"/>
            </w:rPr>
            <w:t>Jul</w:t>
          </w:r>
          <w:r>
            <w:rPr>
              <w:rFonts w:eastAsia="Times New Roman" w:cs="Times New Roman" w:ascii="Times new roman" w:hAnsi="Times new roman"/>
              <w:sz w:val="20"/>
              <w:szCs w:val="20"/>
            </w:rPr>
            <w:t xml:space="preserve">io </w:t>
          </w:r>
          <w:r>
            <w:rPr>
              <w:rFonts w:eastAsia="Times New Roman" w:cs="Times New Roman" w:ascii="Times new roman" w:hAnsi="Times new roman"/>
              <w:sz w:val="20"/>
              <w:szCs w:val="20"/>
            </w:rPr>
            <w:t>- Diciembre</w:t>
          </w:r>
          <w:r>
            <w:rPr>
              <w:rFonts w:eastAsia="Times New Roman" w:cs="Times New Roman" w:ascii="Times new roman" w:hAnsi="Times new roman"/>
              <w:sz w:val="20"/>
              <w:szCs w:val="20"/>
            </w:rPr>
            <w:t xml:space="preserve"> 2021</w:t>
          </w:r>
        </w:p>
      </w:tc>
      <w:tc>
        <w:tcPr>
          <w:tcW w:w="3689" w:type="dxa"/>
          <w:tcBorders/>
          <w:shd w:fill="auto" w:val="clear"/>
        </w:tcPr>
        <w:p>
          <w:pPr>
            <w:pStyle w:val="Normal"/>
            <w:tabs>
              <w:tab w:val="center" w:pos="4419" w:leader="none"/>
              <w:tab w:val="right" w:pos="8838" w:leader="none"/>
            </w:tabs>
            <w:bidi w:val="0"/>
            <w:spacing w:lineRule="auto" w:line="360" w:before="0" w:after="0"/>
            <w:ind w:left="0" w:right="0" w:hanging="0"/>
            <w:jc w:val="right"/>
            <w:rPr>
              <w:rFonts w:ascii="Times new roman" w:hAnsi="Times new roman"/>
            </w:rPr>
          </w:pPr>
          <w:r>
            <w:rPr>
              <w:rFonts w:ascii="Times new roman" w:hAnsi="Times new roman"/>
            </w:rPr>
          </w:r>
        </w:p>
        <w:p>
          <w:pPr>
            <w:pStyle w:val="Normal"/>
            <w:tabs>
              <w:tab w:val="center" w:pos="4419" w:leader="none"/>
              <w:tab w:val="right" w:pos="8838" w:leader="none"/>
            </w:tabs>
            <w:bidi w:val="0"/>
            <w:spacing w:lineRule="auto" w:line="36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tabs>
              <w:tab w:val="center" w:pos="4419" w:leader="none"/>
              <w:tab w:val="right" w:pos="8838" w:leader="none"/>
            </w:tabs>
            <w:bidi w:val="0"/>
            <w:spacing w:lineRule="auto" w:line="36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08"/>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MX"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es-MX" w:eastAsia="en-US" w:bidi="ar-SA"/>
    </w:rPr>
  </w:style>
  <w:style w:type="paragraph" w:styleId="Ttulo1">
    <w:name w:val="Heading 1"/>
    <w:basedOn w:val="Normal"/>
    <w:next w:val="Normal"/>
    <w:link w:val="Ttulo1Car"/>
    <w:uiPriority w:val="9"/>
    <w:qFormat/>
    <w:pPr>
      <w:keepNext/>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uiPriority w:val="9"/>
    <w:qFormat/>
    <w:rPr>
      <w:rFonts w:ascii="Calibri Light" w:hAnsi="Calibri Light" w:eastAsia="" w:cs="" w:asciiTheme="majorHAnsi" w:cstheme="majorBidi" w:eastAsiaTheme="majorEastAsia" w:hAnsiTheme="majorHAnsi"/>
      <w:color w:val="2F5496" w:themeColor="accent1" w:themeShade="bf"/>
      <w:sz w:val="32"/>
      <w:szCs w:val="32"/>
    </w:rPr>
  </w:style>
  <w:style w:type="character" w:styleId="EnlacedeInternet">
    <w:name w:val="Enlace de Internet"/>
    <w:basedOn w:val="DefaultParagraphFont"/>
    <w:uiPriority w:val="99"/>
    <w:unhideWhenUsed/>
    <w:rPr>
      <w:color w:val="0563C1" w:themeColor="hyperlink"/>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paragraph" w:styleId="Ttulo">
    <w:name w:val="Título"/>
    <w:basedOn w:val="Normal"/>
    <w:next w:val="Cuerpodetexto"/>
    <w:qFormat/>
    <w:pPr>
      <w:keepNext/>
      <w:spacing w:before="240" w:after="120"/>
    </w:pPr>
    <w:rPr>
      <w:rFonts w:ascii="Liberation Sans" w:hAnsi="Liberation Sans" w:eastAsia="DejaVu Sans" w:cs="Free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34"/>
    <w:qFormat/>
    <w:rsid w:val="00b93a3c"/>
    <w:pPr>
      <w:spacing w:before="0" w:after="160"/>
      <w:ind w:left="720" w:hanging="0"/>
      <w:contextualSpacing/>
    </w:pPr>
    <w:rPr/>
  </w:style>
  <w:style w:type="paragraph" w:styleId="Cabecera">
    <w:name w:val="Header"/>
    <w:basedOn w:val="Normal"/>
    <w:pPr/>
    <w:rPr/>
  </w:style>
  <w:style w:type="paragraph" w:styleId="Piedepgina">
    <w:name w:val="Footer"/>
    <w:basedOn w:val="Normal"/>
    <w:pPr/>
    <w:rPr/>
  </w:style>
  <w:style w:type="paragraph" w:styleId="Cabeceraizquierda">
    <w:name w:val="Cabecera izquierda"/>
    <w:basedOn w:val="Normal"/>
    <w:qFormat/>
    <w:pPr/>
    <w:rPr/>
  </w:style>
  <w:style w:type="paragraph" w:styleId="Contenidodelatabla">
    <w:name w:val="Contenido de la tabla"/>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39"/>
    <w:rsid w:val="003546b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chart" Target="charts/chart1.xml"/><Relationship Id="rId9" Type="http://schemas.openxmlformats.org/officeDocument/2006/relationships/chart" Target="charts/chart2.xml"/><Relationship Id="rId10" Type="http://schemas.openxmlformats.org/officeDocument/2006/relationships/chart" Target="charts/chart3.xml"/><Relationship Id="rId11" Type="http://schemas.openxmlformats.org/officeDocument/2006/relationships/chart" Target="charts/chart4.xml"/><Relationship Id="rId12" Type="http://schemas.openxmlformats.org/officeDocument/2006/relationships/chart" Target="charts/chart5.xml"/><Relationship Id="rId13" Type="http://schemas.openxmlformats.org/officeDocument/2006/relationships/chart" Target="charts/chart6.xml"/><Relationship Id="rId14" Type="http://schemas.openxmlformats.org/officeDocument/2006/relationships/chart" Target="charts/chart7.xml"/><Relationship Id="rId15" Type="http://schemas.openxmlformats.org/officeDocument/2006/relationships/chart" Target="charts/chart8.xml"/><Relationship Id="rId16" Type="http://schemas.openxmlformats.org/officeDocument/2006/relationships/hyperlink" Target="https://xiii.ciaem-redumate.org/index.php/xiii_ciaem/xiii_ciaem/paper/viewFile/1939/131" TargetMode="External"/><Relationship Id="rId17" Type="http://schemas.openxmlformats.org/officeDocument/2006/relationships/hyperlink" Target="https://www.redalyc.org/pdf/461/46146811009.pdf" TargetMode="External"/><Relationship Id="rId18" Type="http://schemas.openxmlformats.org/officeDocument/2006/relationships/hyperlink" Target="https://revistas.ufps.edu.co/index.php/ingenio/article/view/2082/2032" TargetMode="External"/><Relationship Id="rId19" Type="http://schemas.openxmlformats.org/officeDocument/2006/relationships/hyperlink" Target="https://abacus.universidadeuropea.es/bitstream/handle/11268/2685/0143.pdf?sequence=1&amp;isAllowed=y" TargetMode="External"/><Relationship Id="rId20" Type="http://schemas.openxmlformats.org/officeDocument/2006/relationships/hyperlink" Target="http://www.repositorio.unacar.mx/jspui/handle/1030620191/41" TargetMode="External"/><Relationship Id="rId21" Type="http://schemas.openxmlformats.org/officeDocument/2006/relationships/hyperlink" Target="https://dle.rae.es/reprobar" TargetMode="External"/><Relationship Id="rId22" Type="http://schemas.openxmlformats.org/officeDocument/2006/relationships/hyperlink" Target="https://intercom.help/tutoria/es/articles/1690615-que-son-los-cursos-de-nivelacion-academica-mae" TargetMode="External"/><Relationship Id="rId23" Type="http://schemas.openxmlformats.org/officeDocument/2006/relationships/hyperlink" Target="https://www.redalyc.org/pdf/467/46750929001.pdf" TargetMode="External"/><Relationship Id="rId24" Type="http://schemas.openxmlformats.org/officeDocument/2006/relationships/hyperlink" Target="https://www.oecd.org/centrodemexico/medios/educacion_superior_en_mexico.pdf" TargetMode="External"/><Relationship Id="rId25" Type="http://schemas.openxmlformats.org/officeDocument/2006/relationships/hyperlink" Target="http://www.unesco.org/new/fileadmin/MULTIMEDIA/FIELD/Santiago/images/ticsesp.pdf" TargetMode="External"/><Relationship Id="rId26" Type="http://schemas.openxmlformats.org/officeDocument/2006/relationships/hyperlink" Target="http://ve.scielo.org/scielo.php?script=sci_arttext&amp;pid=S0798-40652012000300002" TargetMode="External"/><Relationship Id="rId27" Type="http://schemas.openxmlformats.org/officeDocument/2006/relationships/hyperlink" Target="https://www.scielo.br/pdf/edur/v33/1982-6621-edur-33-e160071.pdf" TargetMode="Externa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Relationship Id="rId32" Type="http://schemas.openxmlformats.org/officeDocument/2006/relationships/customXml" Target="../customXml/item1.xml"/><Relationship Id="rId33" Type="http://schemas.openxmlformats.org/officeDocument/2006/relationships/customXml" Target="../customXml/item2.xml"/><Relationship Id="rId34" Type="http://schemas.openxmlformats.org/officeDocument/2006/relationships/customXml" Target="../customXml/item3.xml"/><Relationship Id="rId35" Type="http://schemas.openxmlformats.org/officeDocument/2006/relationships/customXml" Target="../customXml/item4.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plotArea>
      <c:barChart>
        <c:barDir val="col"/>
        <c:grouping val="clustered"/>
        <c:varyColors val="0"/>
        <c:ser>
          <c:idx val="0"/>
          <c:order val="0"/>
          <c:tx>
            <c:strRef>
              <c:f>label 0</c:f>
              <c:strCache>
                <c:ptCount val="1"/>
                <c:pt idx="0">
                  <c:v>Porcentaje</c:v>
                </c:pt>
              </c:strCache>
            </c:strRef>
          </c:tx>
          <c:spPr>
            <a:solidFill>
              <a:srgbClr val="4472c4"/>
            </a:solidFill>
            <a:ln>
              <a:noFill/>
            </a:ln>
          </c:spPr>
          <c:invertIfNegative val="0"/>
          <c:dLbls>
            <c:dLblPos val="outEnd"/>
            <c:showLegendKey val="0"/>
            <c:showVal val="1"/>
            <c:showCatName val="0"/>
            <c:showSerName val="0"/>
            <c:showPercent val="0"/>
            <c:showLeaderLines val="0"/>
          </c:dLbls>
          <c:cat>
            <c:strRef>
              <c:f>categories</c:f>
              <c:strCache>
                <c:ptCount val="3"/>
                <c:pt idx="0">
                  <c:v>Sep-Dic-2018</c:v>
                </c:pt>
                <c:pt idx="1">
                  <c:v>Ene-Abr-2019</c:v>
                </c:pt>
                <c:pt idx="2">
                  <c:v>May-Ago-2019</c:v>
                </c:pt>
              </c:strCache>
            </c:strRef>
          </c:cat>
          <c:val>
            <c:numRef>
              <c:f>0</c:f>
              <c:numCache>
                <c:formatCode>General</c:formatCode>
                <c:ptCount val="3"/>
                <c:pt idx="0">
                  <c:v>20</c:v>
                </c:pt>
                <c:pt idx="1">
                  <c:v>23.6</c:v>
                </c:pt>
                <c:pt idx="2">
                  <c:v>12.5</c:v>
                </c:pt>
              </c:numCache>
            </c:numRef>
          </c:val>
        </c:ser>
        <c:gapWidth val="219"/>
        <c:overlap val="-27"/>
        <c:axId val="55416813"/>
        <c:axId val="60354218"/>
      </c:barChart>
      <c:catAx>
        <c:axId val="55416813"/>
        <c:scaling>
          <c:orientation val="minMax"/>
        </c:scaling>
        <c:delete val="0"/>
        <c:axPos val="b"/>
        <c:title>
          <c:tx>
            <c:rich>
              <a:bodyPr rot="0"/>
              <a:lstStyle/>
              <a:p>
                <a:pPr>
                  <a:defRPr b="0" sz="1000" spc="-1" strike="noStrike">
                    <a:solidFill>
                      <a:srgbClr val="595959"/>
                    </a:solidFill>
                    <a:uFill>
                      <a:solidFill>
                        <a:srgbClr val="ffffff"/>
                      </a:solidFill>
                    </a:uFill>
                    <a:latin typeface="Calibri"/>
                  </a:defRPr>
                </a:pPr>
                <a:r>
                  <a:rPr b="0" sz="1000" spc="-1" strike="noStrike">
                    <a:solidFill>
                      <a:srgbClr val="595959"/>
                    </a:solidFill>
                    <a:uFill>
                      <a:solidFill>
                        <a:srgbClr val="ffffff"/>
                      </a:solidFill>
                    </a:uFill>
                    <a:latin typeface="Calibri"/>
                  </a:rPr>
                  <a:t>Cuatrimestre</a:t>
                </a:r>
              </a:p>
            </c:rich>
          </c:tx>
          <c:overlay val="0"/>
        </c:title>
        <c:numFmt formatCode="DD/MM/YYYY" sourceLinked="1"/>
        <c:majorTickMark val="none"/>
        <c:minorTickMark val="none"/>
        <c:tickLblPos val="nextTo"/>
        <c:spPr>
          <a:ln w="9360">
            <a:solidFill>
              <a:srgbClr val="d9d9d9"/>
            </a:solidFill>
            <a:round/>
          </a:ln>
        </c:spPr>
        <c:txPr>
          <a:bodyPr/>
          <a:p>
            <a:pPr>
              <a:defRPr b="0" sz="900" spc="-1" strike="noStrike">
                <a:solidFill>
                  <a:srgbClr val="595959"/>
                </a:solidFill>
                <a:uFill>
                  <a:solidFill>
                    <a:srgbClr val="ffffff"/>
                  </a:solidFill>
                </a:uFill>
                <a:latin typeface="Calibri"/>
              </a:defRPr>
            </a:pPr>
          </a:p>
        </c:txPr>
        <c:crossAx val="60354218"/>
        <c:crosses val="autoZero"/>
        <c:auto val="1"/>
        <c:lblAlgn val="ctr"/>
        <c:lblOffset val="100"/>
      </c:catAx>
      <c:valAx>
        <c:axId val="60354218"/>
        <c:scaling>
          <c:orientation val="minMax"/>
        </c:scaling>
        <c:delete val="0"/>
        <c:axPos val="l"/>
        <c:majorGridlines>
          <c:spPr>
            <a:ln w="9360">
              <a:solidFill>
                <a:srgbClr val="d9d9d9"/>
              </a:solidFill>
              <a:round/>
            </a:ln>
          </c:spPr>
        </c:majorGridlines>
        <c:title>
          <c:tx>
            <c:rich>
              <a:bodyPr rot="-5400000"/>
              <a:lstStyle/>
              <a:p>
                <a:pPr>
                  <a:defRPr b="0" sz="1000" spc="-1" strike="noStrike">
                    <a:solidFill>
                      <a:srgbClr val="595959"/>
                    </a:solidFill>
                    <a:uFill>
                      <a:solidFill>
                        <a:srgbClr val="ffffff"/>
                      </a:solidFill>
                    </a:uFill>
                    <a:latin typeface="Calibri"/>
                  </a:defRPr>
                </a:pPr>
                <a:r>
                  <a:rPr b="0" sz="1000" spc="-1" strike="noStrike">
                    <a:solidFill>
                      <a:srgbClr val="595959"/>
                    </a:solidFill>
                    <a:uFill>
                      <a:solidFill>
                        <a:srgbClr val="ffffff"/>
                      </a:solidFill>
                    </a:uFill>
                    <a:latin typeface="Calibri"/>
                  </a:rPr>
                  <a:t>Porcentaje</a:t>
                </a:r>
              </a:p>
            </c:rich>
          </c:tx>
          <c:overlay val="0"/>
        </c:title>
        <c:numFmt formatCode="0.0" sourceLinked="0"/>
        <c:majorTickMark val="none"/>
        <c:minorTickMark val="none"/>
        <c:tickLblPos val="nextTo"/>
        <c:spPr>
          <a:ln w="6480">
            <a:noFill/>
          </a:ln>
        </c:spPr>
        <c:txPr>
          <a:bodyPr/>
          <a:p>
            <a:pPr>
              <a:defRPr b="0" sz="900" spc="-1" strike="noStrike">
                <a:solidFill>
                  <a:srgbClr val="595959"/>
                </a:solidFill>
                <a:uFill>
                  <a:solidFill>
                    <a:srgbClr val="ffffff"/>
                  </a:solidFill>
                </a:uFill>
                <a:latin typeface="Calibri"/>
              </a:defRPr>
            </a:pPr>
          </a:p>
        </c:txPr>
        <c:crossAx val="55416813"/>
        <c:crosses val="autoZero"/>
      </c:valAx>
      <c:spPr>
        <a:noFill/>
        <a:ln>
          <a:noFill/>
        </a:ln>
      </c:spPr>
    </c:plotArea>
    <c:plotVisOnly val="1"/>
    <c:dispBlanksAs val="gap"/>
  </c:chart>
  <c:spPr>
    <a:solidFill>
      <a:srgbClr val="ffffff"/>
    </a:solidFill>
    <a:ln w="9360">
      <a:solidFill>
        <a:srgbClr val="d9d9d9"/>
      </a:solidFill>
      <a:round/>
    </a:ln>
  </c:spPr>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plotArea>
      <c:barChart>
        <c:barDir val="col"/>
        <c:grouping val="clustered"/>
        <c:varyColors val="0"/>
        <c:ser>
          <c:idx val="0"/>
          <c:order val="0"/>
          <c:tx>
            <c:strRef>
              <c:f>label 0</c:f>
              <c:strCache>
                <c:ptCount val="1"/>
                <c:pt idx="0">
                  <c:v>No. de  alumnos seleccionados para la etapa 2</c:v>
                </c:pt>
              </c:strCache>
            </c:strRef>
          </c:tx>
          <c:spPr>
            <a:solidFill>
              <a:srgbClr val="4472c4"/>
            </a:solidFill>
            <a:ln>
              <a:noFill/>
            </a:ln>
          </c:spPr>
          <c:invertIfNegative val="0"/>
          <c:dLbls>
            <c:dLblPos val="outEnd"/>
            <c:showLegendKey val="0"/>
            <c:showVal val="1"/>
            <c:showCatName val="0"/>
            <c:showSerName val="0"/>
            <c:showPercent val="0"/>
            <c:showLeaderLines val="0"/>
          </c:dLbls>
          <c:cat>
            <c:strRef>
              <c:f>categories</c:f>
              <c:strCache>
                <c:ptCount val="4"/>
                <c:pt idx="0">
                  <c:v>MT</c:v>
                </c:pt>
                <c:pt idx="1">
                  <c:v>MI</c:v>
                </c:pt>
                <c:pt idx="2">
                  <c:v>ER</c:v>
                </c:pt>
                <c:pt idx="3">
                  <c:v>PI</c:v>
                </c:pt>
              </c:strCache>
            </c:strRef>
          </c:cat>
          <c:val>
            <c:numRef>
              <c:f>0</c:f>
              <c:numCache>
                <c:formatCode>General</c:formatCode>
                <c:ptCount val="4"/>
                <c:pt idx="0">
                  <c:v>147</c:v>
                </c:pt>
                <c:pt idx="1">
                  <c:v>80</c:v>
                </c:pt>
                <c:pt idx="2">
                  <c:v>35</c:v>
                </c:pt>
                <c:pt idx="3">
                  <c:v>10</c:v>
                </c:pt>
              </c:numCache>
            </c:numRef>
          </c:val>
        </c:ser>
        <c:ser>
          <c:idx val="1"/>
          <c:order val="1"/>
          <c:tx>
            <c:strRef>
              <c:f>label 1</c:f>
              <c:strCache>
                <c:ptCount val="1"/>
                <c:pt idx="0">
                  <c:v>Total de alumnos inscritos</c:v>
                </c:pt>
              </c:strCache>
            </c:strRef>
          </c:tx>
          <c:spPr>
            <a:solidFill>
              <a:srgbClr val="ed7d31"/>
            </a:solidFill>
            <a:ln>
              <a:noFill/>
            </a:ln>
          </c:spPr>
          <c:invertIfNegative val="0"/>
          <c:dLbls>
            <c:dLblPos val="outEnd"/>
            <c:showLegendKey val="0"/>
            <c:showVal val="1"/>
            <c:showCatName val="0"/>
            <c:showSerName val="0"/>
            <c:showPercent val="0"/>
            <c:showLeaderLines val="0"/>
          </c:dLbls>
          <c:cat>
            <c:strRef>
              <c:f>categories</c:f>
              <c:strCache>
                <c:ptCount val="4"/>
                <c:pt idx="0">
                  <c:v>MT</c:v>
                </c:pt>
                <c:pt idx="1">
                  <c:v>MI</c:v>
                </c:pt>
                <c:pt idx="2">
                  <c:v>ER</c:v>
                </c:pt>
                <c:pt idx="3">
                  <c:v>PI</c:v>
                </c:pt>
              </c:strCache>
            </c:strRef>
          </c:cat>
          <c:val>
            <c:numRef>
              <c:f>1</c:f>
              <c:numCache>
                <c:formatCode>General</c:formatCode>
                <c:ptCount val="4"/>
                <c:pt idx="0">
                  <c:v>187</c:v>
                </c:pt>
                <c:pt idx="1">
                  <c:v>85</c:v>
                </c:pt>
                <c:pt idx="2">
                  <c:v>40</c:v>
                </c:pt>
                <c:pt idx="3">
                  <c:v>14</c:v>
                </c:pt>
              </c:numCache>
            </c:numRef>
          </c:val>
        </c:ser>
        <c:ser>
          <c:idx val="2"/>
          <c:order val="2"/>
          <c:tx>
            <c:strRef>
              <c:f>label 2</c:f>
              <c:strCache>
                <c:ptCount val="1"/>
                <c:pt idx="0">
                  <c:v>% de alumnos que requieren mejorar sus habilidades matemáticas</c:v>
                </c:pt>
              </c:strCache>
            </c:strRef>
          </c:tx>
          <c:spPr>
            <a:solidFill>
              <a:srgbClr val="a5a5a5"/>
            </a:solidFill>
            <a:ln>
              <a:noFill/>
            </a:ln>
          </c:spPr>
          <c:invertIfNegative val="0"/>
          <c:dLbls>
            <c:dLblPos val="outEnd"/>
            <c:showLegendKey val="0"/>
            <c:showVal val="1"/>
            <c:showCatName val="0"/>
            <c:showSerName val="0"/>
            <c:showPercent val="0"/>
            <c:showLeaderLines val="0"/>
          </c:dLbls>
          <c:cat>
            <c:strRef>
              <c:f>categories</c:f>
              <c:strCache>
                <c:ptCount val="4"/>
                <c:pt idx="0">
                  <c:v>MT</c:v>
                </c:pt>
                <c:pt idx="1">
                  <c:v>MI</c:v>
                </c:pt>
                <c:pt idx="2">
                  <c:v>ER</c:v>
                </c:pt>
                <c:pt idx="3">
                  <c:v>PI</c:v>
                </c:pt>
              </c:strCache>
            </c:strRef>
          </c:cat>
          <c:val>
            <c:numRef>
              <c:f>2</c:f>
              <c:numCache>
                <c:formatCode>General</c:formatCode>
                <c:ptCount val="4"/>
                <c:pt idx="0">
                  <c:v>78.6096256684492</c:v>
                </c:pt>
                <c:pt idx="1">
                  <c:v>94.1176470588235</c:v>
                </c:pt>
                <c:pt idx="2">
                  <c:v>87.5</c:v>
                </c:pt>
                <c:pt idx="3">
                  <c:v>71.4285714285714</c:v>
                </c:pt>
              </c:numCache>
            </c:numRef>
          </c:val>
        </c:ser>
        <c:gapWidth val="219"/>
        <c:overlap val="-27"/>
        <c:axId val="35161954"/>
        <c:axId val="51119810"/>
      </c:barChart>
      <c:catAx>
        <c:axId val="35161954"/>
        <c:scaling>
          <c:orientation val="minMax"/>
        </c:scaling>
        <c:delete val="0"/>
        <c:axPos val="b"/>
        <c:title>
          <c:tx>
            <c:rich>
              <a:bodyPr rot="0"/>
              <a:lstStyle/>
              <a:p>
                <a:pPr>
                  <a:defRPr b="0" sz="1000" spc="-1" strike="noStrike">
                    <a:solidFill>
                      <a:srgbClr val="595959"/>
                    </a:solidFill>
                    <a:uFill>
                      <a:solidFill>
                        <a:srgbClr val="ffffff"/>
                      </a:solidFill>
                    </a:uFill>
                    <a:latin typeface="Calibri"/>
                  </a:defRPr>
                </a:pPr>
                <a:r>
                  <a:rPr b="0" sz="1000" spc="-1" strike="noStrike">
                    <a:solidFill>
                      <a:srgbClr val="595959"/>
                    </a:solidFill>
                    <a:uFill>
                      <a:solidFill>
                        <a:srgbClr val="ffffff"/>
                      </a:solidFill>
                    </a:uFill>
                    <a:latin typeface="Calibri"/>
                  </a:rPr>
                  <a:t>Carrera</a:t>
                </a:r>
              </a:p>
            </c:rich>
          </c:tx>
          <c:overlay val="0"/>
        </c:title>
        <c:numFmt formatCode="DD/MM/YYYY" sourceLinked="1"/>
        <c:majorTickMark val="none"/>
        <c:minorTickMark val="none"/>
        <c:tickLblPos val="nextTo"/>
        <c:spPr>
          <a:ln w="9360">
            <a:solidFill>
              <a:srgbClr val="d9d9d9"/>
            </a:solidFill>
            <a:round/>
          </a:ln>
        </c:spPr>
        <c:txPr>
          <a:bodyPr/>
          <a:p>
            <a:pPr>
              <a:defRPr b="0" sz="900" spc="-1" strike="noStrike">
                <a:solidFill>
                  <a:srgbClr val="595959"/>
                </a:solidFill>
                <a:uFill>
                  <a:solidFill>
                    <a:srgbClr val="ffffff"/>
                  </a:solidFill>
                </a:uFill>
                <a:latin typeface="Calibri"/>
              </a:defRPr>
            </a:pPr>
          </a:p>
        </c:txPr>
        <c:crossAx val="51119810"/>
        <c:crosses val="autoZero"/>
        <c:auto val="1"/>
        <c:lblAlgn val="ctr"/>
        <c:lblOffset val="100"/>
      </c:catAx>
      <c:valAx>
        <c:axId val="51119810"/>
        <c:scaling>
          <c:orientation val="minMax"/>
        </c:scaling>
        <c:delete val="0"/>
        <c:axPos val="l"/>
        <c:majorGridlines>
          <c:spPr>
            <a:ln w="9360">
              <a:solidFill>
                <a:srgbClr val="d9d9d9"/>
              </a:solidFill>
              <a:round/>
            </a:ln>
          </c:spPr>
        </c:majorGridlines>
        <c:title>
          <c:tx>
            <c:rich>
              <a:bodyPr rot="-5400000"/>
              <a:lstStyle/>
              <a:p>
                <a:pPr>
                  <a:defRPr b="0" sz="1000" spc="-1" strike="noStrike">
                    <a:solidFill>
                      <a:srgbClr val="595959"/>
                    </a:solidFill>
                    <a:uFill>
                      <a:solidFill>
                        <a:srgbClr val="ffffff"/>
                      </a:solidFill>
                    </a:uFill>
                    <a:latin typeface="Calibri"/>
                  </a:defRPr>
                </a:pPr>
                <a:r>
                  <a:rPr b="0" sz="1000" spc="-1" strike="noStrike">
                    <a:solidFill>
                      <a:srgbClr val="595959"/>
                    </a:solidFill>
                    <a:uFill>
                      <a:solidFill>
                        <a:srgbClr val="ffffff"/>
                      </a:solidFill>
                    </a:uFill>
                    <a:latin typeface="Calibri"/>
                  </a:rPr>
                  <a:t>Número de alumnos</a:t>
                </a:r>
              </a:p>
            </c:rich>
          </c:tx>
          <c:overlay val="0"/>
        </c:title>
        <c:numFmt formatCode="General" sourceLinked="0"/>
        <c:majorTickMark val="none"/>
        <c:minorTickMark val="none"/>
        <c:tickLblPos val="nextTo"/>
        <c:spPr>
          <a:ln w="6480">
            <a:noFill/>
          </a:ln>
        </c:spPr>
        <c:txPr>
          <a:bodyPr/>
          <a:p>
            <a:pPr>
              <a:defRPr b="0" sz="900" spc="-1" strike="noStrike">
                <a:solidFill>
                  <a:srgbClr val="595959"/>
                </a:solidFill>
                <a:uFill>
                  <a:solidFill>
                    <a:srgbClr val="ffffff"/>
                  </a:solidFill>
                </a:uFill>
                <a:latin typeface="Calibri"/>
              </a:defRPr>
            </a:pPr>
          </a:p>
        </c:txPr>
        <c:crossAx val="35161954"/>
        <c:crosses val="autoZero"/>
      </c:valAx>
      <c:spPr>
        <a:noFill/>
        <a:ln>
          <a:noFill/>
        </a:ln>
      </c:spPr>
    </c:plotArea>
    <c:legend>
      <c:legendPos val="b"/>
      <c:overlay val="0"/>
      <c:spPr>
        <a:noFill/>
        <a:ln>
          <a:noFill/>
        </a:ln>
      </c:spPr>
    </c:legend>
    <c:plotVisOnly val="1"/>
    <c:dispBlanksAs val="gap"/>
  </c:chart>
  <c:spPr>
    <a:solidFill>
      <a:srgbClr val="ffffff"/>
    </a:solidFill>
    <a:ln w="9360">
      <a:solidFill>
        <a:srgbClr val="d9d9d9"/>
      </a:solidFill>
      <a:round/>
    </a:ln>
  </c:spPr>
</c:chartSpace>
</file>

<file path=word/charts/chart3.xml><?xml version="1.0" encoding="utf-8"?>
<c:chartSpace xmlns:c="http://schemas.openxmlformats.org/drawingml/2006/chart" xmlns:a="http://schemas.openxmlformats.org/drawingml/2006/main" xmlns:r="http://schemas.openxmlformats.org/officeDocument/2006/relationships">
  <c:lang val="en-US"/>
  <c:roundedCorners val="0"/>
  <c:chart>
    <c:plotArea>
      <c:barChart>
        <c:barDir val="col"/>
        <c:grouping val="clustered"/>
        <c:varyColors val="0"/>
        <c:ser>
          <c:idx val="0"/>
          <c:order val="0"/>
          <c:tx>
            <c:strRef>
              <c:f>label 0</c:f>
              <c:strCache>
                <c:ptCount val="1"/>
                <c:pt idx="0">
                  <c:v>Total</c:v>
                </c:pt>
              </c:strCache>
            </c:strRef>
          </c:tx>
          <c:spPr>
            <a:solidFill>
              <a:srgbClr val="4472c4"/>
            </a:solidFill>
            <a:ln>
              <a:noFill/>
            </a:ln>
          </c:spPr>
          <c:invertIfNegative val="0"/>
          <c:dLbls>
            <c:dLblPos val="outEnd"/>
            <c:showLegendKey val="0"/>
            <c:showVal val="1"/>
            <c:showCatName val="0"/>
            <c:showSerName val="0"/>
            <c:showPercent val="0"/>
            <c:showLeaderLines val="0"/>
          </c:dLbls>
          <c:cat>
            <c:strRef>
              <c:f>categories</c:f>
              <c:strCache>
                <c:ptCount val="3"/>
                <c:pt idx="0">
                  <c:v>Sobresaliente</c:v>
                </c:pt>
                <c:pt idx="1">
                  <c:v>Aceptable</c:v>
                </c:pt>
                <c:pt idx="2">
                  <c:v>No aceptable</c:v>
                </c:pt>
              </c:strCache>
            </c:strRef>
          </c:cat>
          <c:val>
            <c:numRef>
              <c:f>0</c:f>
              <c:numCache>
                <c:formatCode>General</c:formatCode>
                <c:ptCount val="3"/>
                <c:pt idx="0">
                  <c:v>123</c:v>
                </c:pt>
                <c:pt idx="1">
                  <c:v>114</c:v>
                </c:pt>
                <c:pt idx="2">
                  <c:v>34</c:v>
                </c:pt>
              </c:numCache>
            </c:numRef>
          </c:val>
        </c:ser>
        <c:ser>
          <c:idx val="1"/>
          <c:order val="1"/>
          <c:tx>
            <c:strRef>
              <c:f>label 1</c:f>
              <c:strCache>
                <c:ptCount val="1"/>
                <c:pt idx="0">
                  <c:v>Porcentaje</c:v>
                </c:pt>
              </c:strCache>
            </c:strRef>
          </c:tx>
          <c:spPr>
            <a:solidFill>
              <a:srgbClr val="ed7d31"/>
            </a:solidFill>
            <a:ln>
              <a:noFill/>
            </a:ln>
          </c:spPr>
          <c:invertIfNegative val="0"/>
          <c:dLbls>
            <c:dLblPos val="outEnd"/>
            <c:showLegendKey val="0"/>
            <c:showVal val="1"/>
            <c:showCatName val="0"/>
            <c:showSerName val="0"/>
            <c:showPercent val="0"/>
            <c:showLeaderLines val="0"/>
          </c:dLbls>
          <c:cat>
            <c:strRef>
              <c:f>categories</c:f>
              <c:strCache>
                <c:ptCount val="3"/>
                <c:pt idx="0">
                  <c:v>Sobresaliente</c:v>
                </c:pt>
                <c:pt idx="1">
                  <c:v>Aceptable</c:v>
                </c:pt>
                <c:pt idx="2">
                  <c:v>No aceptable</c:v>
                </c:pt>
              </c:strCache>
            </c:strRef>
          </c:cat>
          <c:val>
            <c:numRef>
              <c:f>1</c:f>
              <c:numCache>
                <c:formatCode>General</c:formatCode>
                <c:ptCount val="3"/>
                <c:pt idx="0">
                  <c:v>45.4</c:v>
                </c:pt>
                <c:pt idx="1">
                  <c:v>42.1</c:v>
                </c:pt>
                <c:pt idx="2">
                  <c:v>12.5</c:v>
                </c:pt>
              </c:numCache>
            </c:numRef>
          </c:val>
        </c:ser>
        <c:gapWidth val="219"/>
        <c:overlap val="-27"/>
        <c:axId val="8179609"/>
        <c:axId val="74720657"/>
      </c:barChart>
      <c:catAx>
        <c:axId val="8179609"/>
        <c:scaling>
          <c:orientation val="minMax"/>
        </c:scaling>
        <c:delete val="0"/>
        <c:axPos val="b"/>
        <c:title>
          <c:tx>
            <c:rich>
              <a:bodyPr rot="0"/>
              <a:lstStyle/>
              <a:p>
                <a:pPr>
                  <a:defRPr b="0" sz="1000" spc="-1" strike="noStrike">
                    <a:solidFill>
                      <a:srgbClr val="595959"/>
                    </a:solidFill>
                    <a:uFill>
                      <a:solidFill>
                        <a:srgbClr val="ffffff"/>
                      </a:solidFill>
                    </a:uFill>
                    <a:latin typeface="Calibri"/>
                  </a:defRPr>
                </a:pPr>
                <a:r>
                  <a:rPr b="0" sz="1000" spc="-1" strike="noStrike">
                    <a:solidFill>
                      <a:srgbClr val="595959"/>
                    </a:solidFill>
                    <a:uFill>
                      <a:solidFill>
                        <a:srgbClr val="ffffff"/>
                      </a:solidFill>
                    </a:uFill>
                    <a:latin typeface="Calibri"/>
                  </a:rPr>
                  <a:t>Categoría de aprovechamiento</a:t>
                </a:r>
              </a:p>
            </c:rich>
          </c:tx>
          <c:overlay val="0"/>
        </c:title>
        <c:numFmt formatCode="DD/MM/YYYY" sourceLinked="1"/>
        <c:majorTickMark val="none"/>
        <c:minorTickMark val="none"/>
        <c:tickLblPos val="nextTo"/>
        <c:spPr>
          <a:ln w="9360">
            <a:solidFill>
              <a:srgbClr val="d9d9d9"/>
            </a:solidFill>
            <a:round/>
          </a:ln>
        </c:spPr>
        <c:txPr>
          <a:bodyPr/>
          <a:p>
            <a:pPr>
              <a:defRPr b="0" sz="900" spc="-1" strike="noStrike">
                <a:solidFill>
                  <a:srgbClr val="595959"/>
                </a:solidFill>
                <a:uFill>
                  <a:solidFill>
                    <a:srgbClr val="ffffff"/>
                  </a:solidFill>
                </a:uFill>
                <a:latin typeface="Calibri"/>
              </a:defRPr>
            </a:pPr>
          </a:p>
        </c:txPr>
        <c:crossAx val="74720657"/>
        <c:crosses val="autoZero"/>
        <c:auto val="1"/>
        <c:lblAlgn val="ctr"/>
        <c:lblOffset val="100"/>
      </c:catAx>
      <c:valAx>
        <c:axId val="74720657"/>
        <c:scaling>
          <c:orientation val="minMax"/>
        </c:scaling>
        <c:delete val="0"/>
        <c:axPos val="l"/>
        <c:majorGridlines>
          <c:spPr>
            <a:ln w="9360">
              <a:solidFill>
                <a:srgbClr val="d9d9d9"/>
              </a:solidFill>
              <a:round/>
            </a:ln>
          </c:spPr>
        </c:majorGridlines>
        <c:title>
          <c:tx>
            <c:rich>
              <a:bodyPr rot="-5400000"/>
              <a:lstStyle/>
              <a:p>
                <a:pPr>
                  <a:defRPr b="0" sz="1000" spc="-1" strike="noStrike">
                    <a:solidFill>
                      <a:srgbClr val="595959"/>
                    </a:solidFill>
                    <a:uFill>
                      <a:solidFill>
                        <a:srgbClr val="ffffff"/>
                      </a:solidFill>
                    </a:uFill>
                    <a:latin typeface="Calibri"/>
                  </a:defRPr>
                </a:pPr>
                <a:r>
                  <a:rPr b="0" sz="1000" spc="-1" strike="noStrike">
                    <a:solidFill>
                      <a:srgbClr val="595959"/>
                    </a:solidFill>
                    <a:uFill>
                      <a:solidFill>
                        <a:srgbClr val="ffffff"/>
                      </a:solidFill>
                    </a:uFill>
                    <a:latin typeface="Calibri"/>
                  </a:rPr>
                  <a:t>Número de alumnos</a:t>
                </a:r>
              </a:p>
            </c:rich>
          </c:tx>
          <c:overlay val="0"/>
        </c:title>
        <c:numFmt formatCode="General" sourceLinked="0"/>
        <c:majorTickMark val="none"/>
        <c:minorTickMark val="none"/>
        <c:tickLblPos val="nextTo"/>
        <c:spPr>
          <a:ln w="6480">
            <a:noFill/>
          </a:ln>
        </c:spPr>
        <c:txPr>
          <a:bodyPr/>
          <a:p>
            <a:pPr>
              <a:defRPr b="0" sz="900" spc="-1" strike="noStrike">
                <a:solidFill>
                  <a:srgbClr val="595959"/>
                </a:solidFill>
                <a:uFill>
                  <a:solidFill>
                    <a:srgbClr val="ffffff"/>
                  </a:solidFill>
                </a:uFill>
                <a:latin typeface="Calibri"/>
              </a:defRPr>
            </a:pPr>
          </a:p>
        </c:txPr>
        <c:crossAx val="8179609"/>
        <c:crosses val="autoZero"/>
      </c:valAx>
      <c:spPr>
        <a:noFill/>
        <a:ln>
          <a:noFill/>
        </a:ln>
      </c:spPr>
    </c:plotArea>
    <c:legend>
      <c:legendPos val="b"/>
      <c:overlay val="0"/>
      <c:spPr>
        <a:noFill/>
        <a:ln>
          <a:noFill/>
        </a:ln>
      </c:spPr>
    </c:legend>
    <c:plotVisOnly val="1"/>
    <c:dispBlanksAs val="gap"/>
  </c:chart>
  <c:spPr>
    <a:solidFill>
      <a:srgbClr val="ffffff"/>
    </a:solidFill>
    <a:ln w="9360">
      <a:solidFill>
        <a:srgbClr val="d9d9d9"/>
      </a:solidFill>
      <a:round/>
    </a:ln>
  </c:spPr>
</c:chartSpace>
</file>

<file path=word/charts/chart4.xml><?xml version="1.0" encoding="utf-8"?>
<c:chartSpace xmlns:c="http://schemas.openxmlformats.org/drawingml/2006/chart" xmlns:a="http://schemas.openxmlformats.org/drawingml/2006/main" xmlns:r="http://schemas.openxmlformats.org/officeDocument/2006/relationships">
  <c:lang val="en-US"/>
  <c:roundedCorners val="0"/>
  <c:chart>
    <c:plotArea>
      <c:barChart>
        <c:barDir val="col"/>
        <c:grouping val="clustered"/>
        <c:varyColors val="0"/>
        <c:ser>
          <c:idx val="0"/>
          <c:order val="0"/>
          <c:tx>
            <c:strRef>
              <c:f>label 0</c:f>
              <c:strCache>
                <c:ptCount val="1"/>
                <c:pt idx="0">
                  <c:v>Sobresaliente</c:v>
                </c:pt>
              </c:strCache>
            </c:strRef>
          </c:tx>
          <c:spPr>
            <a:solidFill>
              <a:srgbClr val="4472c4"/>
            </a:solidFill>
            <a:ln>
              <a:noFill/>
            </a:ln>
          </c:spPr>
          <c:invertIfNegative val="0"/>
          <c:dLbls>
            <c:dLblPos val="outEnd"/>
            <c:showLegendKey val="0"/>
            <c:showVal val="1"/>
            <c:showCatName val="0"/>
            <c:showSerName val="0"/>
            <c:showPercent val="0"/>
            <c:showLeaderLines val="0"/>
          </c:dLbls>
          <c:cat>
            <c:strRef>
              <c:f>categories</c:f>
              <c:strCache>
                <c:ptCount val="5"/>
                <c:pt idx="0">
                  <c:v>Total</c:v>
                </c:pt>
                <c:pt idx="1">
                  <c:v>MT</c:v>
                </c:pt>
                <c:pt idx="2">
                  <c:v>MI</c:v>
                </c:pt>
                <c:pt idx="3">
                  <c:v>ER</c:v>
                </c:pt>
                <c:pt idx="4">
                  <c:v>PI</c:v>
                </c:pt>
              </c:strCache>
            </c:strRef>
          </c:cat>
          <c:val>
            <c:numRef>
              <c:f>0</c:f>
              <c:numCache>
                <c:formatCode>General</c:formatCode>
                <c:ptCount val="5"/>
                <c:pt idx="0">
                  <c:v>123</c:v>
                </c:pt>
                <c:pt idx="1">
                  <c:v>75</c:v>
                </c:pt>
                <c:pt idx="2">
                  <c:v>28</c:v>
                </c:pt>
                <c:pt idx="3">
                  <c:v>16</c:v>
                </c:pt>
                <c:pt idx="4">
                  <c:v>4</c:v>
                </c:pt>
              </c:numCache>
            </c:numRef>
          </c:val>
        </c:ser>
        <c:ser>
          <c:idx val="1"/>
          <c:order val="1"/>
          <c:tx>
            <c:strRef>
              <c:f>label 1</c:f>
              <c:strCache>
                <c:ptCount val="1"/>
                <c:pt idx="0">
                  <c:v>Aceptable</c:v>
                </c:pt>
              </c:strCache>
            </c:strRef>
          </c:tx>
          <c:spPr>
            <a:solidFill>
              <a:srgbClr val="ed7d31"/>
            </a:solidFill>
            <a:ln>
              <a:noFill/>
            </a:ln>
          </c:spPr>
          <c:invertIfNegative val="0"/>
          <c:dLbls>
            <c:dLblPos val="outEnd"/>
            <c:showLegendKey val="0"/>
            <c:showVal val="1"/>
            <c:showCatName val="0"/>
            <c:showSerName val="0"/>
            <c:showPercent val="0"/>
            <c:showLeaderLines val="0"/>
          </c:dLbls>
          <c:cat>
            <c:strRef>
              <c:f>categories</c:f>
              <c:strCache>
                <c:ptCount val="5"/>
                <c:pt idx="0">
                  <c:v>Total</c:v>
                </c:pt>
                <c:pt idx="1">
                  <c:v>MT</c:v>
                </c:pt>
                <c:pt idx="2">
                  <c:v>MI</c:v>
                </c:pt>
                <c:pt idx="3">
                  <c:v>ER</c:v>
                </c:pt>
                <c:pt idx="4">
                  <c:v>PI</c:v>
                </c:pt>
              </c:strCache>
            </c:strRef>
          </c:cat>
          <c:val>
            <c:numRef>
              <c:f>1</c:f>
              <c:numCache>
                <c:formatCode>General</c:formatCode>
                <c:ptCount val="5"/>
                <c:pt idx="0">
                  <c:v>114</c:v>
                </c:pt>
                <c:pt idx="1">
                  <c:v>55</c:v>
                </c:pt>
                <c:pt idx="2">
                  <c:v>42</c:v>
                </c:pt>
                <c:pt idx="3">
                  <c:v>13</c:v>
                </c:pt>
                <c:pt idx="4">
                  <c:v>4</c:v>
                </c:pt>
              </c:numCache>
            </c:numRef>
          </c:val>
        </c:ser>
        <c:ser>
          <c:idx val="2"/>
          <c:order val="2"/>
          <c:tx>
            <c:strRef>
              <c:f>label 2</c:f>
              <c:strCache>
                <c:ptCount val="1"/>
                <c:pt idx="0">
                  <c:v>No aceptable</c:v>
                </c:pt>
              </c:strCache>
            </c:strRef>
          </c:tx>
          <c:spPr>
            <a:solidFill>
              <a:srgbClr val="a5a5a5"/>
            </a:solidFill>
            <a:ln>
              <a:noFill/>
            </a:ln>
          </c:spPr>
          <c:invertIfNegative val="0"/>
          <c:dLbls>
            <c:dLblPos val="outEnd"/>
            <c:showLegendKey val="0"/>
            <c:showVal val="1"/>
            <c:showCatName val="0"/>
            <c:showSerName val="0"/>
            <c:showPercent val="0"/>
            <c:showLeaderLines val="0"/>
          </c:dLbls>
          <c:cat>
            <c:strRef>
              <c:f>categories</c:f>
              <c:strCache>
                <c:ptCount val="5"/>
                <c:pt idx="0">
                  <c:v>Total</c:v>
                </c:pt>
                <c:pt idx="1">
                  <c:v>MT</c:v>
                </c:pt>
                <c:pt idx="2">
                  <c:v>MI</c:v>
                </c:pt>
                <c:pt idx="3">
                  <c:v>ER</c:v>
                </c:pt>
                <c:pt idx="4">
                  <c:v>PI</c:v>
                </c:pt>
              </c:strCache>
            </c:strRef>
          </c:cat>
          <c:val>
            <c:numRef>
              <c:f>2</c:f>
              <c:numCache>
                <c:formatCode>General</c:formatCode>
                <c:ptCount val="5"/>
                <c:pt idx="0">
                  <c:v>34</c:v>
                </c:pt>
                <c:pt idx="1">
                  <c:v>16</c:v>
                </c:pt>
                <c:pt idx="2">
                  <c:v>10</c:v>
                </c:pt>
                <c:pt idx="3">
                  <c:v>6</c:v>
                </c:pt>
                <c:pt idx="4">
                  <c:v>2</c:v>
                </c:pt>
              </c:numCache>
            </c:numRef>
          </c:val>
        </c:ser>
        <c:gapWidth val="182"/>
        <c:overlap val="0"/>
        <c:axId val="13737329"/>
        <c:axId val="5164555"/>
      </c:barChart>
      <c:catAx>
        <c:axId val="13737329"/>
        <c:scaling>
          <c:orientation val="minMax"/>
        </c:scaling>
        <c:delete val="0"/>
        <c:axPos val="b"/>
        <c:title>
          <c:tx>
            <c:rich>
              <a:bodyPr rot="0"/>
              <a:lstStyle/>
              <a:p>
                <a:pPr>
                  <a:defRPr b="0" sz="1000" spc="-1" strike="noStrike">
                    <a:solidFill>
                      <a:srgbClr val="595959"/>
                    </a:solidFill>
                    <a:uFill>
                      <a:solidFill>
                        <a:srgbClr val="ffffff"/>
                      </a:solidFill>
                    </a:uFill>
                    <a:latin typeface="Calibri"/>
                  </a:defRPr>
                </a:pPr>
                <a:r>
                  <a:rPr b="0" sz="1000" spc="-1" strike="noStrike">
                    <a:solidFill>
                      <a:srgbClr val="595959"/>
                    </a:solidFill>
                    <a:uFill>
                      <a:solidFill>
                        <a:srgbClr val="ffffff"/>
                      </a:solidFill>
                    </a:uFill>
                    <a:latin typeface="Calibri"/>
                  </a:rPr>
                  <a:t>Carrera</a:t>
                </a:r>
              </a:p>
            </c:rich>
          </c:tx>
          <c:overlay val="0"/>
        </c:title>
        <c:numFmt formatCode="DD/MM/YYYY" sourceLinked="1"/>
        <c:majorTickMark val="none"/>
        <c:minorTickMark val="none"/>
        <c:tickLblPos val="nextTo"/>
        <c:spPr>
          <a:ln w="9360">
            <a:solidFill>
              <a:srgbClr val="d9d9d9"/>
            </a:solidFill>
            <a:round/>
          </a:ln>
        </c:spPr>
        <c:txPr>
          <a:bodyPr/>
          <a:p>
            <a:pPr>
              <a:defRPr b="0" sz="900" spc="-1" strike="noStrike">
                <a:solidFill>
                  <a:srgbClr val="595959"/>
                </a:solidFill>
                <a:uFill>
                  <a:solidFill>
                    <a:srgbClr val="ffffff"/>
                  </a:solidFill>
                </a:uFill>
                <a:latin typeface="Calibri"/>
              </a:defRPr>
            </a:pPr>
          </a:p>
        </c:txPr>
        <c:crossAx val="5164555"/>
        <c:crosses val="autoZero"/>
        <c:auto val="1"/>
        <c:lblAlgn val="ctr"/>
        <c:lblOffset val="100"/>
      </c:catAx>
      <c:valAx>
        <c:axId val="5164555"/>
        <c:scaling>
          <c:orientation val="minMax"/>
        </c:scaling>
        <c:delete val="0"/>
        <c:axPos val="l"/>
        <c:majorGridlines>
          <c:spPr>
            <a:ln w="9360">
              <a:solidFill>
                <a:srgbClr val="d9d9d9"/>
              </a:solidFill>
              <a:round/>
            </a:ln>
          </c:spPr>
        </c:majorGridlines>
        <c:title>
          <c:tx>
            <c:rich>
              <a:bodyPr rot="-5400000"/>
              <a:lstStyle/>
              <a:p>
                <a:pPr>
                  <a:defRPr b="0" sz="1000" spc="-1" strike="noStrike">
                    <a:solidFill>
                      <a:srgbClr val="595959"/>
                    </a:solidFill>
                    <a:uFill>
                      <a:solidFill>
                        <a:srgbClr val="ffffff"/>
                      </a:solidFill>
                    </a:uFill>
                    <a:latin typeface="Calibri"/>
                  </a:defRPr>
                </a:pPr>
                <a:r>
                  <a:rPr b="0" sz="1000" spc="-1" strike="noStrike">
                    <a:solidFill>
                      <a:srgbClr val="595959"/>
                    </a:solidFill>
                    <a:uFill>
                      <a:solidFill>
                        <a:srgbClr val="ffffff"/>
                      </a:solidFill>
                    </a:uFill>
                    <a:latin typeface="Calibri"/>
                  </a:rPr>
                  <a:t>Número de alumnos</a:t>
                </a:r>
              </a:p>
            </c:rich>
          </c:tx>
          <c:overlay val="0"/>
        </c:title>
        <c:numFmt formatCode="General" sourceLinked="0"/>
        <c:majorTickMark val="none"/>
        <c:minorTickMark val="none"/>
        <c:tickLblPos val="nextTo"/>
        <c:spPr>
          <a:ln w="6480">
            <a:noFill/>
          </a:ln>
        </c:spPr>
        <c:txPr>
          <a:bodyPr/>
          <a:p>
            <a:pPr>
              <a:defRPr b="0" sz="900" spc="-1" strike="noStrike">
                <a:solidFill>
                  <a:srgbClr val="595959"/>
                </a:solidFill>
                <a:uFill>
                  <a:solidFill>
                    <a:srgbClr val="ffffff"/>
                  </a:solidFill>
                </a:uFill>
                <a:latin typeface="Calibri"/>
              </a:defRPr>
            </a:pPr>
          </a:p>
        </c:txPr>
        <c:crossAx val="13737329"/>
        <c:crosses val="autoZero"/>
      </c:valAx>
      <c:spPr>
        <a:noFill/>
        <a:ln>
          <a:noFill/>
        </a:ln>
      </c:spPr>
    </c:plotArea>
    <c:legend>
      <c:legendPos val="b"/>
      <c:overlay val="0"/>
      <c:spPr>
        <a:noFill/>
        <a:ln>
          <a:noFill/>
        </a:ln>
      </c:spPr>
    </c:legend>
    <c:plotVisOnly val="1"/>
    <c:dispBlanksAs val="gap"/>
  </c:chart>
  <c:spPr>
    <a:solidFill>
      <a:srgbClr val="ffffff"/>
    </a:solidFill>
    <a:ln w="9360">
      <a:solidFill>
        <a:srgbClr val="d9d9d9"/>
      </a:solidFill>
      <a:round/>
    </a:ln>
  </c:spPr>
</c:chartSpace>
</file>

<file path=word/charts/chart5.xml><?xml version="1.0" encoding="utf-8"?>
<c:chartSpace xmlns:c="http://schemas.openxmlformats.org/drawingml/2006/chart" xmlns:a="http://schemas.openxmlformats.org/drawingml/2006/main" xmlns:r="http://schemas.openxmlformats.org/officeDocument/2006/relationships">
  <c:lang val="en-US"/>
  <c:roundedCorners val="0"/>
  <c:chart>
    <c:plotArea>
      <c:barChart>
        <c:barDir val="col"/>
        <c:grouping val="clustered"/>
        <c:varyColors val="0"/>
        <c:ser>
          <c:idx val="0"/>
          <c:order val="0"/>
          <c:tx>
            <c:strRef>
              <c:f>label 0</c:f>
              <c:strCache>
                <c:ptCount val="1"/>
                <c:pt idx="0">
                  <c:v>Total</c:v>
                </c:pt>
              </c:strCache>
            </c:strRef>
          </c:tx>
          <c:spPr>
            <a:solidFill>
              <a:srgbClr val="4472c4"/>
            </a:solidFill>
            <a:ln>
              <a:noFill/>
            </a:ln>
          </c:spPr>
          <c:invertIfNegative val="0"/>
          <c:dLbls>
            <c:dLblPos val="outEnd"/>
            <c:showLegendKey val="0"/>
            <c:showVal val="1"/>
            <c:showCatName val="0"/>
            <c:showSerName val="0"/>
            <c:showPercent val="0"/>
            <c:showLeaderLines val="0"/>
          </c:dLbls>
          <c:cat>
            <c:strRef>
              <c:f>categories</c:f>
              <c:strCache>
                <c:ptCount val="3"/>
                <c:pt idx="0">
                  <c:v>Sobresaliente</c:v>
                </c:pt>
                <c:pt idx="1">
                  <c:v>Aceptable</c:v>
                </c:pt>
                <c:pt idx="2">
                  <c:v>No aceptable</c:v>
                </c:pt>
              </c:strCache>
            </c:strRef>
          </c:cat>
          <c:val>
            <c:numRef>
              <c:f>0</c:f>
              <c:numCache>
                <c:formatCode>General</c:formatCode>
                <c:ptCount val="3"/>
                <c:pt idx="0">
                  <c:v>75</c:v>
                </c:pt>
                <c:pt idx="1">
                  <c:v>55</c:v>
                </c:pt>
                <c:pt idx="2">
                  <c:v>16</c:v>
                </c:pt>
              </c:numCache>
            </c:numRef>
          </c:val>
        </c:ser>
        <c:ser>
          <c:idx val="1"/>
          <c:order val="1"/>
          <c:tx>
            <c:strRef>
              <c:f>label 1</c:f>
              <c:strCache>
                <c:ptCount val="1"/>
                <c:pt idx="0">
                  <c:v>Porcentaje</c:v>
                </c:pt>
              </c:strCache>
            </c:strRef>
          </c:tx>
          <c:spPr>
            <a:solidFill>
              <a:srgbClr val="ed7d31"/>
            </a:solidFill>
            <a:ln>
              <a:noFill/>
            </a:ln>
          </c:spPr>
          <c:invertIfNegative val="0"/>
          <c:dLbls>
            <c:dLblPos val="outEnd"/>
            <c:showLegendKey val="0"/>
            <c:showVal val="1"/>
            <c:showCatName val="0"/>
            <c:showSerName val="0"/>
            <c:showPercent val="0"/>
            <c:showLeaderLines val="0"/>
          </c:dLbls>
          <c:cat>
            <c:strRef>
              <c:f>categories</c:f>
              <c:strCache>
                <c:ptCount val="3"/>
                <c:pt idx="0">
                  <c:v>Sobresaliente</c:v>
                </c:pt>
                <c:pt idx="1">
                  <c:v>Aceptable</c:v>
                </c:pt>
                <c:pt idx="2">
                  <c:v>No aceptable</c:v>
                </c:pt>
              </c:strCache>
            </c:strRef>
          </c:cat>
          <c:val>
            <c:numRef>
              <c:f>1</c:f>
              <c:numCache>
                <c:formatCode>General</c:formatCode>
                <c:ptCount val="3"/>
                <c:pt idx="0">
                  <c:v>51.3698630136986</c:v>
                </c:pt>
                <c:pt idx="1">
                  <c:v>37.6712328767123</c:v>
                </c:pt>
                <c:pt idx="2">
                  <c:v>10.958904109589</c:v>
                </c:pt>
              </c:numCache>
            </c:numRef>
          </c:val>
        </c:ser>
        <c:gapWidth val="219"/>
        <c:overlap val="-27"/>
        <c:axId val="73160098"/>
        <c:axId val="13896756"/>
      </c:barChart>
      <c:catAx>
        <c:axId val="73160098"/>
        <c:scaling>
          <c:orientation val="minMax"/>
        </c:scaling>
        <c:delete val="0"/>
        <c:axPos val="b"/>
        <c:title>
          <c:tx>
            <c:rich>
              <a:bodyPr rot="0"/>
              <a:lstStyle/>
              <a:p>
                <a:pPr>
                  <a:defRPr b="0" sz="1000" spc="-1" strike="noStrike">
                    <a:solidFill>
                      <a:srgbClr val="595959"/>
                    </a:solidFill>
                    <a:uFill>
                      <a:solidFill>
                        <a:srgbClr val="ffffff"/>
                      </a:solidFill>
                    </a:uFill>
                    <a:latin typeface="Calibri"/>
                  </a:defRPr>
                </a:pPr>
                <a:r>
                  <a:rPr b="0" sz="1000" spc="-1" strike="noStrike">
                    <a:solidFill>
                      <a:srgbClr val="595959"/>
                    </a:solidFill>
                    <a:uFill>
                      <a:solidFill>
                        <a:srgbClr val="ffffff"/>
                      </a:solidFill>
                    </a:uFill>
                    <a:latin typeface="Calibri"/>
                  </a:rPr>
                  <a:t>Categoría de aprovechamiento</a:t>
                </a:r>
              </a:p>
            </c:rich>
          </c:tx>
          <c:overlay val="0"/>
        </c:title>
        <c:numFmt formatCode="DD/MM/YYYY" sourceLinked="1"/>
        <c:majorTickMark val="none"/>
        <c:minorTickMark val="none"/>
        <c:tickLblPos val="nextTo"/>
        <c:spPr>
          <a:ln w="9360">
            <a:solidFill>
              <a:srgbClr val="d9d9d9"/>
            </a:solidFill>
            <a:round/>
          </a:ln>
        </c:spPr>
        <c:txPr>
          <a:bodyPr/>
          <a:p>
            <a:pPr>
              <a:defRPr b="0" sz="900" spc="-1" strike="noStrike">
                <a:solidFill>
                  <a:srgbClr val="595959"/>
                </a:solidFill>
                <a:uFill>
                  <a:solidFill>
                    <a:srgbClr val="ffffff"/>
                  </a:solidFill>
                </a:uFill>
                <a:latin typeface="Calibri"/>
              </a:defRPr>
            </a:pPr>
          </a:p>
        </c:txPr>
        <c:crossAx val="13896756"/>
        <c:crosses val="autoZero"/>
        <c:auto val="1"/>
        <c:lblAlgn val="ctr"/>
        <c:lblOffset val="100"/>
      </c:catAx>
      <c:valAx>
        <c:axId val="13896756"/>
        <c:scaling>
          <c:orientation val="minMax"/>
        </c:scaling>
        <c:delete val="0"/>
        <c:axPos val="l"/>
        <c:majorGridlines>
          <c:spPr>
            <a:ln w="9360">
              <a:solidFill>
                <a:srgbClr val="d9d9d9"/>
              </a:solidFill>
              <a:round/>
            </a:ln>
          </c:spPr>
        </c:majorGridlines>
        <c:title>
          <c:tx>
            <c:rich>
              <a:bodyPr rot="-5400000"/>
              <a:lstStyle/>
              <a:p>
                <a:pPr>
                  <a:defRPr b="0" sz="1000" spc="-1" strike="noStrike">
                    <a:solidFill>
                      <a:srgbClr val="595959"/>
                    </a:solidFill>
                    <a:uFill>
                      <a:solidFill>
                        <a:srgbClr val="ffffff"/>
                      </a:solidFill>
                    </a:uFill>
                    <a:latin typeface="Calibri"/>
                  </a:defRPr>
                </a:pPr>
                <a:r>
                  <a:rPr b="0" sz="1000" spc="-1" strike="noStrike">
                    <a:solidFill>
                      <a:srgbClr val="595959"/>
                    </a:solidFill>
                    <a:uFill>
                      <a:solidFill>
                        <a:srgbClr val="ffffff"/>
                      </a:solidFill>
                    </a:uFill>
                    <a:latin typeface="Calibri"/>
                  </a:rPr>
                  <a:t>Número de alumnos</a:t>
                </a:r>
              </a:p>
            </c:rich>
          </c:tx>
          <c:overlay val="0"/>
        </c:title>
        <c:numFmt formatCode="General" sourceLinked="0"/>
        <c:majorTickMark val="none"/>
        <c:minorTickMark val="none"/>
        <c:tickLblPos val="nextTo"/>
        <c:spPr>
          <a:ln w="6480">
            <a:noFill/>
          </a:ln>
        </c:spPr>
        <c:txPr>
          <a:bodyPr/>
          <a:p>
            <a:pPr>
              <a:defRPr b="0" sz="900" spc="-1" strike="noStrike">
                <a:solidFill>
                  <a:srgbClr val="595959"/>
                </a:solidFill>
                <a:uFill>
                  <a:solidFill>
                    <a:srgbClr val="ffffff"/>
                  </a:solidFill>
                </a:uFill>
                <a:latin typeface="Calibri"/>
              </a:defRPr>
            </a:pPr>
          </a:p>
        </c:txPr>
        <c:crossAx val="73160098"/>
        <c:crosses val="autoZero"/>
      </c:valAx>
      <c:spPr>
        <a:noFill/>
        <a:ln>
          <a:noFill/>
        </a:ln>
      </c:spPr>
    </c:plotArea>
    <c:legend>
      <c:legendPos val="b"/>
      <c:overlay val="0"/>
      <c:spPr>
        <a:noFill/>
        <a:ln>
          <a:noFill/>
        </a:ln>
      </c:spPr>
    </c:legend>
    <c:plotVisOnly val="1"/>
    <c:dispBlanksAs val="gap"/>
  </c:chart>
  <c:spPr>
    <a:solidFill>
      <a:srgbClr val="ffffff"/>
    </a:solidFill>
    <a:ln w="9360">
      <a:solidFill>
        <a:srgbClr val="d9d9d9"/>
      </a:solidFill>
      <a:round/>
    </a:ln>
  </c:spPr>
</c:chartSpace>
</file>

<file path=word/charts/chart6.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400" spc="-1" strike="noStrike">
                <a:solidFill>
                  <a:srgbClr val="595959"/>
                </a:solidFill>
                <a:uFill>
                  <a:solidFill>
                    <a:srgbClr val="ffffff"/>
                  </a:solidFill>
                </a:uFill>
                <a:latin typeface="Calibri"/>
              </a:defRPr>
            </a:pPr>
            <a:r>
              <a:rPr b="0" sz="1400" spc="-1" strike="noStrike">
                <a:solidFill>
                  <a:srgbClr val="595959"/>
                </a:solidFill>
                <a:uFill>
                  <a:solidFill>
                    <a:srgbClr val="ffffff"/>
                  </a:solidFill>
                </a:uFill>
                <a:latin typeface="Calibri"/>
              </a:rPr>
              <a:t>Clasificación de los alumnos de la 
carrera MI en las categorías 
de aprovechamiento</a:t>
            </a:r>
          </a:p>
        </c:rich>
      </c:tx>
      <c:overlay val="0"/>
    </c:title>
    <c:autoTitleDeleted val="0"/>
    <c:plotArea>
      <c:barChart>
        <c:barDir val="col"/>
        <c:grouping val="clustered"/>
        <c:varyColors val="0"/>
        <c:ser>
          <c:idx val="0"/>
          <c:order val="0"/>
          <c:tx>
            <c:strRef>
              <c:f>label 0</c:f>
              <c:strCache>
                <c:ptCount val="1"/>
                <c:pt idx="0">
                  <c:v>Total</c:v>
                </c:pt>
              </c:strCache>
            </c:strRef>
          </c:tx>
          <c:spPr>
            <a:solidFill>
              <a:srgbClr val="4472c4"/>
            </a:solidFill>
            <a:ln>
              <a:noFill/>
            </a:ln>
          </c:spPr>
          <c:invertIfNegative val="0"/>
          <c:dLbls>
            <c:dLblPos val="outEnd"/>
            <c:showLegendKey val="0"/>
            <c:showVal val="1"/>
            <c:showCatName val="0"/>
            <c:showSerName val="0"/>
            <c:showPercent val="0"/>
            <c:showLeaderLines val="0"/>
          </c:dLbls>
          <c:cat>
            <c:strRef>
              <c:f>categories</c:f>
              <c:strCache>
                <c:ptCount val="3"/>
                <c:pt idx="0">
                  <c:v>Sobresaliente</c:v>
                </c:pt>
                <c:pt idx="1">
                  <c:v>Aceptable</c:v>
                </c:pt>
                <c:pt idx="2">
                  <c:v>No aceptable</c:v>
                </c:pt>
              </c:strCache>
            </c:strRef>
          </c:cat>
          <c:val>
            <c:numRef>
              <c:f>0</c:f>
              <c:numCache>
                <c:formatCode>General</c:formatCode>
                <c:ptCount val="3"/>
                <c:pt idx="0">
                  <c:v>28</c:v>
                </c:pt>
                <c:pt idx="1">
                  <c:v>42</c:v>
                </c:pt>
                <c:pt idx="2">
                  <c:v>10</c:v>
                </c:pt>
              </c:numCache>
            </c:numRef>
          </c:val>
        </c:ser>
        <c:ser>
          <c:idx val="1"/>
          <c:order val="1"/>
          <c:tx>
            <c:strRef>
              <c:f>label 1</c:f>
              <c:strCache>
                <c:ptCount val="1"/>
                <c:pt idx="0">
                  <c:v>Porcentaje</c:v>
                </c:pt>
              </c:strCache>
            </c:strRef>
          </c:tx>
          <c:spPr>
            <a:solidFill>
              <a:srgbClr val="ed7d31"/>
            </a:solidFill>
            <a:ln>
              <a:noFill/>
            </a:ln>
          </c:spPr>
          <c:invertIfNegative val="0"/>
          <c:dLbls>
            <c:dLblPos val="outEnd"/>
            <c:showLegendKey val="0"/>
            <c:showVal val="1"/>
            <c:showCatName val="0"/>
            <c:showSerName val="0"/>
            <c:showPercent val="0"/>
            <c:showLeaderLines val="0"/>
          </c:dLbls>
          <c:cat>
            <c:strRef>
              <c:f>categories</c:f>
              <c:strCache>
                <c:ptCount val="3"/>
                <c:pt idx="0">
                  <c:v>Sobresaliente</c:v>
                </c:pt>
                <c:pt idx="1">
                  <c:v>Aceptable</c:v>
                </c:pt>
                <c:pt idx="2">
                  <c:v>No aceptable</c:v>
                </c:pt>
              </c:strCache>
            </c:strRef>
          </c:cat>
          <c:val>
            <c:numRef>
              <c:f>1</c:f>
              <c:numCache>
                <c:formatCode>General</c:formatCode>
                <c:ptCount val="3"/>
                <c:pt idx="0">
                  <c:v>35</c:v>
                </c:pt>
                <c:pt idx="1">
                  <c:v>52.5</c:v>
                </c:pt>
                <c:pt idx="2">
                  <c:v>12.5</c:v>
                </c:pt>
              </c:numCache>
            </c:numRef>
          </c:val>
        </c:ser>
        <c:gapWidth val="219"/>
        <c:overlap val="-27"/>
        <c:axId val="69834035"/>
        <c:axId val="81228345"/>
      </c:barChart>
      <c:catAx>
        <c:axId val="69834035"/>
        <c:scaling>
          <c:orientation val="minMax"/>
        </c:scaling>
        <c:delete val="0"/>
        <c:axPos val="b"/>
        <c:title>
          <c:tx>
            <c:rich>
              <a:bodyPr rot="0"/>
              <a:lstStyle/>
              <a:p>
                <a:pPr>
                  <a:defRPr b="0" sz="1000" spc="-1" strike="noStrike">
                    <a:solidFill>
                      <a:srgbClr val="595959"/>
                    </a:solidFill>
                    <a:uFill>
                      <a:solidFill>
                        <a:srgbClr val="ffffff"/>
                      </a:solidFill>
                    </a:uFill>
                    <a:latin typeface="Calibri"/>
                  </a:defRPr>
                </a:pPr>
                <a:r>
                  <a:rPr b="0" sz="1000" spc="-1" strike="noStrike">
                    <a:solidFill>
                      <a:srgbClr val="595959"/>
                    </a:solidFill>
                    <a:uFill>
                      <a:solidFill>
                        <a:srgbClr val="ffffff"/>
                      </a:solidFill>
                    </a:uFill>
                    <a:latin typeface="Calibri"/>
                  </a:rPr>
                  <a:t>Categoría de aprovechamiento</a:t>
                </a:r>
              </a:p>
            </c:rich>
          </c:tx>
          <c:overlay val="0"/>
        </c:title>
        <c:numFmt formatCode="DD/MM/YYYY" sourceLinked="1"/>
        <c:majorTickMark val="none"/>
        <c:minorTickMark val="none"/>
        <c:tickLblPos val="nextTo"/>
        <c:spPr>
          <a:ln w="9360">
            <a:solidFill>
              <a:srgbClr val="d9d9d9"/>
            </a:solidFill>
            <a:round/>
          </a:ln>
        </c:spPr>
        <c:txPr>
          <a:bodyPr/>
          <a:p>
            <a:pPr>
              <a:defRPr b="0" sz="900" spc="-1" strike="noStrike">
                <a:solidFill>
                  <a:srgbClr val="595959"/>
                </a:solidFill>
                <a:uFill>
                  <a:solidFill>
                    <a:srgbClr val="ffffff"/>
                  </a:solidFill>
                </a:uFill>
                <a:latin typeface="Calibri"/>
              </a:defRPr>
            </a:pPr>
          </a:p>
        </c:txPr>
        <c:crossAx val="81228345"/>
        <c:crosses val="autoZero"/>
        <c:auto val="1"/>
        <c:lblAlgn val="ctr"/>
        <c:lblOffset val="100"/>
      </c:catAx>
      <c:valAx>
        <c:axId val="81228345"/>
        <c:scaling>
          <c:orientation val="minMax"/>
        </c:scaling>
        <c:delete val="0"/>
        <c:axPos val="l"/>
        <c:majorGridlines>
          <c:spPr>
            <a:ln w="9360">
              <a:solidFill>
                <a:srgbClr val="d9d9d9"/>
              </a:solidFill>
              <a:round/>
            </a:ln>
          </c:spPr>
        </c:majorGridlines>
        <c:title>
          <c:tx>
            <c:rich>
              <a:bodyPr rot="-5400000"/>
              <a:lstStyle/>
              <a:p>
                <a:pPr>
                  <a:defRPr b="0" sz="1000" spc="-1" strike="noStrike">
                    <a:solidFill>
                      <a:srgbClr val="595959"/>
                    </a:solidFill>
                    <a:uFill>
                      <a:solidFill>
                        <a:srgbClr val="ffffff"/>
                      </a:solidFill>
                    </a:uFill>
                    <a:latin typeface="Calibri"/>
                  </a:defRPr>
                </a:pPr>
                <a:r>
                  <a:rPr b="0" sz="1000" spc="-1" strike="noStrike">
                    <a:solidFill>
                      <a:srgbClr val="595959"/>
                    </a:solidFill>
                    <a:uFill>
                      <a:solidFill>
                        <a:srgbClr val="ffffff"/>
                      </a:solidFill>
                    </a:uFill>
                    <a:latin typeface="Calibri"/>
                  </a:rPr>
                  <a:t>Número de  alumnos</a:t>
                </a:r>
              </a:p>
            </c:rich>
          </c:tx>
          <c:overlay val="0"/>
        </c:title>
        <c:numFmt formatCode="General" sourceLinked="0"/>
        <c:majorTickMark val="none"/>
        <c:minorTickMark val="none"/>
        <c:tickLblPos val="nextTo"/>
        <c:spPr>
          <a:ln w="6480">
            <a:noFill/>
          </a:ln>
        </c:spPr>
        <c:txPr>
          <a:bodyPr/>
          <a:p>
            <a:pPr>
              <a:defRPr b="0" sz="900" spc="-1" strike="noStrike">
                <a:solidFill>
                  <a:srgbClr val="595959"/>
                </a:solidFill>
                <a:uFill>
                  <a:solidFill>
                    <a:srgbClr val="ffffff"/>
                  </a:solidFill>
                </a:uFill>
                <a:latin typeface="Calibri"/>
              </a:defRPr>
            </a:pPr>
          </a:p>
        </c:txPr>
        <c:crossAx val="69834035"/>
        <c:crosses val="autoZero"/>
      </c:valAx>
      <c:spPr>
        <a:noFill/>
        <a:ln>
          <a:noFill/>
        </a:ln>
      </c:spPr>
    </c:plotArea>
    <c:legend>
      <c:legendPos val="b"/>
      <c:overlay val="0"/>
      <c:spPr>
        <a:noFill/>
        <a:ln>
          <a:noFill/>
        </a:ln>
      </c:spPr>
    </c:legend>
    <c:plotVisOnly val="1"/>
    <c:dispBlanksAs val="gap"/>
  </c:chart>
  <c:spPr>
    <a:solidFill>
      <a:srgbClr val="ffffff"/>
    </a:solidFill>
    <a:ln w="9360">
      <a:solidFill>
        <a:srgbClr val="d9d9d9"/>
      </a:solidFill>
      <a:round/>
    </a:ln>
  </c:spPr>
</c:chartSpace>
</file>

<file path=word/charts/chart7.xml><?xml version="1.0" encoding="utf-8"?>
<c:chartSpace xmlns:c="http://schemas.openxmlformats.org/drawingml/2006/chart" xmlns:a="http://schemas.openxmlformats.org/drawingml/2006/main" xmlns:r="http://schemas.openxmlformats.org/officeDocument/2006/relationships">
  <c:lang val="en-US"/>
  <c:roundedCorners val="0"/>
  <c:chart>
    <c:plotArea>
      <c:barChart>
        <c:barDir val="col"/>
        <c:grouping val="clustered"/>
        <c:varyColors val="0"/>
        <c:ser>
          <c:idx val="0"/>
          <c:order val="0"/>
          <c:tx>
            <c:strRef>
              <c:f>label 0</c:f>
              <c:strCache>
                <c:ptCount val="1"/>
                <c:pt idx="0">
                  <c:v>Total</c:v>
                </c:pt>
              </c:strCache>
            </c:strRef>
          </c:tx>
          <c:spPr>
            <a:solidFill>
              <a:srgbClr val="4472c4"/>
            </a:solidFill>
            <a:ln>
              <a:noFill/>
            </a:ln>
          </c:spPr>
          <c:invertIfNegative val="0"/>
          <c:dLbls>
            <c:dLblPos val="outEnd"/>
            <c:showLegendKey val="0"/>
            <c:showVal val="1"/>
            <c:showCatName val="0"/>
            <c:showSerName val="0"/>
            <c:showPercent val="0"/>
            <c:showLeaderLines val="0"/>
          </c:dLbls>
          <c:cat>
            <c:strRef>
              <c:f>categories</c:f>
              <c:strCache>
                <c:ptCount val="3"/>
                <c:pt idx="0">
                  <c:v>Sobresaliente</c:v>
                </c:pt>
                <c:pt idx="1">
                  <c:v>Aceptable</c:v>
                </c:pt>
                <c:pt idx="2">
                  <c:v>No aceptable</c:v>
                </c:pt>
              </c:strCache>
            </c:strRef>
          </c:cat>
          <c:val>
            <c:numRef>
              <c:f>0</c:f>
              <c:numCache>
                <c:formatCode>General</c:formatCode>
                <c:ptCount val="3"/>
                <c:pt idx="0">
                  <c:v>16</c:v>
                </c:pt>
                <c:pt idx="1">
                  <c:v>13</c:v>
                </c:pt>
                <c:pt idx="2">
                  <c:v>6</c:v>
                </c:pt>
              </c:numCache>
            </c:numRef>
          </c:val>
        </c:ser>
        <c:ser>
          <c:idx val="1"/>
          <c:order val="1"/>
          <c:tx>
            <c:strRef>
              <c:f>label 1</c:f>
              <c:strCache>
                <c:ptCount val="1"/>
                <c:pt idx="0">
                  <c:v>Porcentaje</c:v>
                </c:pt>
              </c:strCache>
            </c:strRef>
          </c:tx>
          <c:spPr>
            <a:solidFill>
              <a:srgbClr val="ed7d31"/>
            </a:solidFill>
            <a:ln>
              <a:noFill/>
            </a:ln>
          </c:spPr>
          <c:invertIfNegative val="0"/>
          <c:dLbls>
            <c:dLblPos val="outEnd"/>
            <c:showLegendKey val="0"/>
            <c:showVal val="1"/>
            <c:showCatName val="0"/>
            <c:showSerName val="0"/>
            <c:showPercent val="0"/>
            <c:showLeaderLines val="0"/>
          </c:dLbls>
          <c:cat>
            <c:strRef>
              <c:f>categories</c:f>
              <c:strCache>
                <c:ptCount val="3"/>
                <c:pt idx="0">
                  <c:v>Sobresaliente</c:v>
                </c:pt>
                <c:pt idx="1">
                  <c:v>Aceptable</c:v>
                </c:pt>
                <c:pt idx="2">
                  <c:v>No aceptable</c:v>
                </c:pt>
              </c:strCache>
            </c:strRef>
          </c:cat>
          <c:val>
            <c:numRef>
              <c:f>1</c:f>
              <c:numCache>
                <c:formatCode>General</c:formatCode>
                <c:ptCount val="3"/>
                <c:pt idx="0">
                  <c:v>45.7142857142857</c:v>
                </c:pt>
                <c:pt idx="1">
                  <c:v>37.1428571428571</c:v>
                </c:pt>
                <c:pt idx="2">
                  <c:v>17.1428571428571</c:v>
                </c:pt>
              </c:numCache>
            </c:numRef>
          </c:val>
        </c:ser>
        <c:gapWidth val="219"/>
        <c:overlap val="-27"/>
        <c:axId val="24572351"/>
        <c:axId val="99462257"/>
      </c:barChart>
      <c:catAx>
        <c:axId val="24572351"/>
        <c:scaling>
          <c:orientation val="minMax"/>
        </c:scaling>
        <c:delete val="0"/>
        <c:axPos val="b"/>
        <c:title>
          <c:tx>
            <c:rich>
              <a:bodyPr rot="0"/>
              <a:lstStyle/>
              <a:p>
                <a:pPr>
                  <a:defRPr b="0" sz="1000" spc="-1" strike="noStrike">
                    <a:solidFill>
                      <a:srgbClr val="595959"/>
                    </a:solidFill>
                    <a:uFill>
                      <a:solidFill>
                        <a:srgbClr val="ffffff"/>
                      </a:solidFill>
                    </a:uFill>
                    <a:latin typeface="Calibri"/>
                  </a:defRPr>
                </a:pPr>
                <a:r>
                  <a:rPr b="0" sz="1000" spc="-1" strike="noStrike">
                    <a:solidFill>
                      <a:srgbClr val="595959"/>
                    </a:solidFill>
                    <a:uFill>
                      <a:solidFill>
                        <a:srgbClr val="ffffff"/>
                      </a:solidFill>
                    </a:uFill>
                    <a:latin typeface="Calibri"/>
                  </a:rPr>
                  <a:t>Categoría de aprovechamiento</a:t>
                </a:r>
              </a:p>
            </c:rich>
          </c:tx>
          <c:overlay val="0"/>
        </c:title>
        <c:numFmt formatCode="DD/MM/YYYY" sourceLinked="1"/>
        <c:majorTickMark val="none"/>
        <c:minorTickMark val="none"/>
        <c:tickLblPos val="nextTo"/>
        <c:spPr>
          <a:ln w="9360">
            <a:solidFill>
              <a:srgbClr val="d9d9d9"/>
            </a:solidFill>
            <a:round/>
          </a:ln>
        </c:spPr>
        <c:txPr>
          <a:bodyPr/>
          <a:p>
            <a:pPr>
              <a:defRPr b="0" sz="900" spc="-1" strike="noStrike">
                <a:solidFill>
                  <a:srgbClr val="595959"/>
                </a:solidFill>
                <a:uFill>
                  <a:solidFill>
                    <a:srgbClr val="ffffff"/>
                  </a:solidFill>
                </a:uFill>
                <a:latin typeface="Calibri"/>
              </a:defRPr>
            </a:pPr>
          </a:p>
        </c:txPr>
        <c:crossAx val="99462257"/>
        <c:crosses val="autoZero"/>
        <c:auto val="1"/>
        <c:lblAlgn val="ctr"/>
        <c:lblOffset val="100"/>
      </c:catAx>
      <c:valAx>
        <c:axId val="99462257"/>
        <c:scaling>
          <c:orientation val="minMax"/>
        </c:scaling>
        <c:delete val="0"/>
        <c:axPos val="l"/>
        <c:majorGridlines>
          <c:spPr>
            <a:ln w="9360">
              <a:solidFill>
                <a:srgbClr val="d9d9d9"/>
              </a:solidFill>
              <a:round/>
            </a:ln>
          </c:spPr>
        </c:majorGridlines>
        <c:title>
          <c:tx>
            <c:rich>
              <a:bodyPr rot="-5400000"/>
              <a:lstStyle/>
              <a:p>
                <a:pPr>
                  <a:defRPr b="0" sz="1000" spc="-1" strike="noStrike">
                    <a:solidFill>
                      <a:srgbClr val="595959"/>
                    </a:solidFill>
                    <a:uFill>
                      <a:solidFill>
                        <a:srgbClr val="ffffff"/>
                      </a:solidFill>
                    </a:uFill>
                    <a:latin typeface="Calibri"/>
                  </a:defRPr>
                </a:pPr>
                <a:r>
                  <a:rPr b="0" sz="1000" spc="-1" strike="noStrike">
                    <a:solidFill>
                      <a:srgbClr val="595959"/>
                    </a:solidFill>
                    <a:uFill>
                      <a:solidFill>
                        <a:srgbClr val="ffffff"/>
                      </a:solidFill>
                    </a:uFill>
                    <a:latin typeface="Calibri"/>
                  </a:rPr>
                  <a:t>Número de alumnos</a:t>
                </a:r>
              </a:p>
            </c:rich>
          </c:tx>
          <c:overlay val="0"/>
        </c:title>
        <c:numFmt formatCode="General" sourceLinked="0"/>
        <c:majorTickMark val="none"/>
        <c:minorTickMark val="none"/>
        <c:tickLblPos val="nextTo"/>
        <c:spPr>
          <a:ln w="6480">
            <a:noFill/>
          </a:ln>
        </c:spPr>
        <c:txPr>
          <a:bodyPr/>
          <a:p>
            <a:pPr>
              <a:defRPr b="0" sz="900" spc="-1" strike="noStrike">
                <a:solidFill>
                  <a:srgbClr val="595959"/>
                </a:solidFill>
                <a:uFill>
                  <a:solidFill>
                    <a:srgbClr val="ffffff"/>
                  </a:solidFill>
                </a:uFill>
                <a:latin typeface="Calibri"/>
              </a:defRPr>
            </a:pPr>
          </a:p>
        </c:txPr>
        <c:crossAx val="24572351"/>
        <c:crosses val="autoZero"/>
      </c:valAx>
      <c:spPr>
        <a:noFill/>
        <a:ln>
          <a:noFill/>
        </a:ln>
      </c:spPr>
    </c:plotArea>
    <c:legend>
      <c:legendPos val="b"/>
      <c:overlay val="0"/>
      <c:spPr>
        <a:noFill/>
        <a:ln>
          <a:noFill/>
        </a:ln>
      </c:spPr>
    </c:legend>
    <c:plotVisOnly val="1"/>
    <c:dispBlanksAs val="gap"/>
  </c:chart>
  <c:spPr>
    <a:solidFill>
      <a:srgbClr val="ffffff"/>
    </a:solidFill>
    <a:ln w="9360">
      <a:solidFill>
        <a:srgbClr val="d9d9d9"/>
      </a:solidFill>
      <a:round/>
    </a:ln>
  </c:spPr>
</c:chartSpace>
</file>

<file path=word/charts/chart8.xml><?xml version="1.0" encoding="utf-8"?>
<c:chartSpace xmlns:c="http://schemas.openxmlformats.org/drawingml/2006/chart" xmlns:a="http://schemas.openxmlformats.org/drawingml/2006/main" xmlns:r="http://schemas.openxmlformats.org/officeDocument/2006/relationships">
  <c:lang val="en-US"/>
  <c:roundedCorners val="0"/>
  <c:chart>
    <c:plotArea>
      <c:barChart>
        <c:barDir val="col"/>
        <c:grouping val="clustered"/>
        <c:varyColors val="0"/>
        <c:ser>
          <c:idx val="0"/>
          <c:order val="0"/>
          <c:tx>
            <c:strRef>
              <c:f>label 0</c:f>
              <c:strCache>
                <c:ptCount val="1"/>
                <c:pt idx="0">
                  <c:v>Total</c:v>
                </c:pt>
              </c:strCache>
            </c:strRef>
          </c:tx>
          <c:spPr>
            <a:solidFill>
              <a:srgbClr val="4472c4"/>
            </a:solidFill>
            <a:ln>
              <a:noFill/>
            </a:ln>
          </c:spPr>
          <c:invertIfNegative val="0"/>
          <c:dLbls>
            <c:dLblPos val="outEnd"/>
            <c:showLegendKey val="0"/>
            <c:showVal val="1"/>
            <c:showCatName val="0"/>
            <c:showSerName val="0"/>
            <c:showPercent val="0"/>
            <c:showLeaderLines val="0"/>
          </c:dLbls>
          <c:cat>
            <c:strRef>
              <c:f>categories</c:f>
              <c:strCache>
                <c:ptCount val="3"/>
                <c:pt idx="0">
                  <c:v>Sobresaliente</c:v>
                </c:pt>
                <c:pt idx="1">
                  <c:v>Aceptable</c:v>
                </c:pt>
                <c:pt idx="2">
                  <c:v>No aceptable</c:v>
                </c:pt>
              </c:strCache>
            </c:strRef>
          </c:cat>
          <c:val>
            <c:numRef>
              <c:f>0</c:f>
              <c:numCache>
                <c:formatCode>General</c:formatCode>
                <c:ptCount val="3"/>
                <c:pt idx="0">
                  <c:v>4</c:v>
                </c:pt>
                <c:pt idx="1">
                  <c:v>4</c:v>
                </c:pt>
                <c:pt idx="2">
                  <c:v>2</c:v>
                </c:pt>
              </c:numCache>
            </c:numRef>
          </c:val>
        </c:ser>
        <c:ser>
          <c:idx val="1"/>
          <c:order val="1"/>
          <c:tx>
            <c:strRef>
              <c:f>label 1</c:f>
              <c:strCache>
                <c:ptCount val="1"/>
                <c:pt idx="0">
                  <c:v>Porcentaje</c:v>
                </c:pt>
              </c:strCache>
            </c:strRef>
          </c:tx>
          <c:spPr>
            <a:solidFill>
              <a:srgbClr val="ed7d31"/>
            </a:solidFill>
            <a:ln>
              <a:noFill/>
            </a:ln>
          </c:spPr>
          <c:invertIfNegative val="0"/>
          <c:dLbls>
            <c:dLblPos val="outEnd"/>
            <c:showLegendKey val="0"/>
            <c:showVal val="1"/>
            <c:showCatName val="0"/>
            <c:showSerName val="0"/>
            <c:showPercent val="0"/>
            <c:showLeaderLines val="0"/>
          </c:dLbls>
          <c:cat>
            <c:strRef>
              <c:f>categories</c:f>
              <c:strCache>
                <c:ptCount val="3"/>
                <c:pt idx="0">
                  <c:v>Sobresaliente</c:v>
                </c:pt>
                <c:pt idx="1">
                  <c:v>Aceptable</c:v>
                </c:pt>
                <c:pt idx="2">
                  <c:v>No aceptable</c:v>
                </c:pt>
              </c:strCache>
            </c:strRef>
          </c:cat>
          <c:val>
            <c:numRef>
              <c:f>1</c:f>
              <c:numCache>
                <c:formatCode>General</c:formatCode>
                <c:ptCount val="3"/>
                <c:pt idx="0">
                  <c:v>40</c:v>
                </c:pt>
                <c:pt idx="1">
                  <c:v>40</c:v>
                </c:pt>
                <c:pt idx="2">
                  <c:v>20</c:v>
                </c:pt>
              </c:numCache>
            </c:numRef>
          </c:val>
        </c:ser>
        <c:gapWidth val="219"/>
        <c:overlap val="-27"/>
        <c:axId val="64078697"/>
        <c:axId val="64180293"/>
      </c:barChart>
      <c:catAx>
        <c:axId val="64078697"/>
        <c:scaling>
          <c:orientation val="minMax"/>
        </c:scaling>
        <c:delete val="0"/>
        <c:axPos val="b"/>
        <c:title>
          <c:tx>
            <c:rich>
              <a:bodyPr rot="0"/>
              <a:lstStyle/>
              <a:p>
                <a:pPr>
                  <a:defRPr b="0" sz="1000" spc="-1" strike="noStrike">
                    <a:solidFill>
                      <a:srgbClr val="595959"/>
                    </a:solidFill>
                    <a:uFill>
                      <a:solidFill>
                        <a:srgbClr val="ffffff"/>
                      </a:solidFill>
                    </a:uFill>
                    <a:latin typeface="Calibri"/>
                  </a:defRPr>
                </a:pPr>
                <a:r>
                  <a:rPr b="0" sz="1000" spc="-1" strike="noStrike">
                    <a:solidFill>
                      <a:srgbClr val="595959"/>
                    </a:solidFill>
                    <a:uFill>
                      <a:solidFill>
                        <a:srgbClr val="ffffff"/>
                      </a:solidFill>
                    </a:uFill>
                    <a:latin typeface="Calibri"/>
                  </a:rPr>
                  <a:t>Categoría de aprovechamiento</a:t>
                </a:r>
              </a:p>
            </c:rich>
          </c:tx>
          <c:overlay val="0"/>
        </c:title>
        <c:numFmt formatCode="DD/MM/YYYY" sourceLinked="1"/>
        <c:majorTickMark val="none"/>
        <c:minorTickMark val="none"/>
        <c:tickLblPos val="nextTo"/>
        <c:spPr>
          <a:ln w="9360">
            <a:solidFill>
              <a:srgbClr val="d9d9d9"/>
            </a:solidFill>
            <a:round/>
          </a:ln>
        </c:spPr>
        <c:txPr>
          <a:bodyPr/>
          <a:p>
            <a:pPr>
              <a:defRPr b="0" sz="900" spc="-1" strike="noStrike">
                <a:solidFill>
                  <a:srgbClr val="595959"/>
                </a:solidFill>
                <a:uFill>
                  <a:solidFill>
                    <a:srgbClr val="ffffff"/>
                  </a:solidFill>
                </a:uFill>
                <a:latin typeface="Calibri"/>
              </a:defRPr>
            </a:pPr>
          </a:p>
        </c:txPr>
        <c:crossAx val="64180293"/>
        <c:crosses val="autoZero"/>
        <c:auto val="1"/>
        <c:lblAlgn val="ctr"/>
        <c:lblOffset val="100"/>
      </c:catAx>
      <c:valAx>
        <c:axId val="64180293"/>
        <c:scaling>
          <c:orientation val="minMax"/>
        </c:scaling>
        <c:delete val="0"/>
        <c:axPos val="l"/>
        <c:majorGridlines>
          <c:spPr>
            <a:ln w="9360">
              <a:solidFill>
                <a:srgbClr val="d9d9d9"/>
              </a:solidFill>
              <a:round/>
            </a:ln>
          </c:spPr>
        </c:majorGridlines>
        <c:title>
          <c:tx>
            <c:rich>
              <a:bodyPr rot="-5400000"/>
              <a:lstStyle/>
              <a:p>
                <a:pPr>
                  <a:defRPr b="0" sz="1000" spc="-1" strike="noStrike">
                    <a:solidFill>
                      <a:srgbClr val="595959"/>
                    </a:solidFill>
                    <a:uFill>
                      <a:solidFill>
                        <a:srgbClr val="ffffff"/>
                      </a:solidFill>
                    </a:uFill>
                    <a:latin typeface="Calibri"/>
                  </a:defRPr>
                </a:pPr>
                <a:r>
                  <a:rPr b="0" sz="1000" spc="-1" strike="noStrike">
                    <a:solidFill>
                      <a:srgbClr val="595959"/>
                    </a:solidFill>
                    <a:uFill>
                      <a:solidFill>
                        <a:srgbClr val="ffffff"/>
                      </a:solidFill>
                    </a:uFill>
                    <a:latin typeface="Calibri"/>
                  </a:rPr>
                  <a:t>Número de alumnos</a:t>
                </a:r>
              </a:p>
            </c:rich>
          </c:tx>
          <c:overlay val="0"/>
        </c:title>
        <c:numFmt formatCode="General" sourceLinked="0"/>
        <c:majorTickMark val="none"/>
        <c:minorTickMark val="none"/>
        <c:tickLblPos val="nextTo"/>
        <c:spPr>
          <a:ln w="6480">
            <a:noFill/>
          </a:ln>
        </c:spPr>
        <c:txPr>
          <a:bodyPr/>
          <a:p>
            <a:pPr>
              <a:defRPr b="0" sz="900" spc="-1" strike="noStrike">
                <a:solidFill>
                  <a:srgbClr val="595959"/>
                </a:solidFill>
                <a:uFill>
                  <a:solidFill>
                    <a:srgbClr val="ffffff"/>
                  </a:solidFill>
                </a:uFill>
                <a:latin typeface="Calibri"/>
              </a:defRPr>
            </a:pPr>
          </a:p>
        </c:txPr>
        <c:crossAx val="64078697"/>
        <c:crosses val="autoZero"/>
      </c:valAx>
      <c:spPr>
        <a:noFill/>
        <a:ln>
          <a:noFill/>
        </a:ln>
      </c:spPr>
    </c:plotArea>
    <c:legend>
      <c:legendPos val="b"/>
      <c:overlay val="0"/>
      <c:spPr>
        <a:noFill/>
        <a:ln>
          <a:noFill/>
        </a:ln>
      </c:spPr>
    </c:legend>
    <c:plotVisOnly val="1"/>
    <c:dispBlanksAs val="gap"/>
  </c:chart>
  <c:spPr>
    <a:solidFill>
      <a:srgbClr val="ffffff"/>
    </a:solidFill>
    <a:ln w="9360">
      <a:solidFill>
        <a:srgbClr val="d9d9d9"/>
      </a:solidFill>
      <a:round/>
    </a:ln>
  </c:spPr>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0C54A7D6ECAB048BAB7050510CDC6A7" ma:contentTypeVersion="2" ma:contentTypeDescription="Crear nuevo documento." ma:contentTypeScope="" ma:versionID="a3bbfb85d6cab7307dabf671a5f7f3c2">
  <xsd:schema xmlns:xsd="http://www.w3.org/2001/XMLSchema" xmlns:xs="http://www.w3.org/2001/XMLSchema" xmlns:p="http://schemas.microsoft.com/office/2006/metadata/properties" xmlns:ns2="c305b237-e6f3-4454-9af8-a48cc4112550" targetNamespace="http://schemas.microsoft.com/office/2006/metadata/properties" ma:root="true" ma:fieldsID="45b9fccd0f78f584c468fa8cb1a0dda5" ns2:_="">
    <xsd:import namespace="c305b237-e6f3-4454-9af8-a48cc411255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5b237-e6f3-4454-9af8-a48cc4112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A6768-D510-464C-B072-3629C57650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53D4C4-5E09-4BD0-94B0-AFDAA5E1C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5b237-e6f3-4454-9af8-a48cc4112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7CADB8-7B07-4AC7-906F-B962D3F2DF3E}">
  <ds:schemaRefs>
    <ds:schemaRef ds:uri="http://schemas.microsoft.com/sharepoint/v3/contenttype/forms"/>
  </ds:schemaRefs>
</ds:datastoreItem>
</file>

<file path=customXml/itemProps4.xml><?xml version="1.0" encoding="utf-8"?>
<ds:datastoreItem xmlns:ds="http://schemas.openxmlformats.org/officeDocument/2006/customXml" ds:itemID="{2C8A2C3D-3391-4E57-AD28-DB5CD697B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Application>LibreOffice/5.2.7.2$Linux_X86_64 LibreOffice_project/20m0$Build-2</Application>
  <Pages>10</Pages>
  <Words>5103</Words>
  <Characters>28705</Characters>
  <CharactersWithSpaces>33696</CharactersWithSpaces>
  <Paragraphs>151</Paragraphs>
  <Company>UNIVERSIDAD TECNOLÓGICA METROPOLITANA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2021-04-30T18:10:00Z</dcterms:created>
  <dc:creator>Manuel Jesus Dominguez Sanchez</dc:creator>
  <dc:description/>
  <dc:language>es-MX</dc:language>
  <cp:lastModifiedBy/>
  <dcterms:modified xsi:type="dcterms:W3CDTF">2021-07-02T02:31:20Z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UNIVERSIDAD TECNOLÓGICA METROPOLITANA</vt:lpwstr>
  </property>
  <property fmtid="{D5CDD505-2E9C-101B-9397-08002B2CF9AE}" pid="4" name="ContentTypeId">
    <vt:lpwstr>0x010100B0C54A7D6ECAB048BAB7050510CDC6A7</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