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media/image2.png" ContentType="image/png"/>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bidi w:val="0"/>
        <w:spacing w:lineRule="auto" w:line="240" w:before="0" w:after="0"/>
        <w:jc w:val="center"/>
        <w:rPr>
          <w:rFonts w:ascii="Times New Roman" w:hAnsi="Times New Roman"/>
          <w:sz w:val="44"/>
          <w:szCs w:val="44"/>
        </w:rPr>
      </w:pPr>
      <w:bookmarkStart w:id="0" w:name="_Toc33395012"/>
      <w:r>
        <w:rPr>
          <w:rFonts w:ascii="Times New Roman" w:hAnsi="Times New Roman"/>
          <w:color w:val="000000"/>
          <w:sz w:val="44"/>
          <w:szCs w:val="44"/>
        </w:rPr>
        <w:t xml:space="preserve">Estudio documental de variables que afectan la disposición a pagar de los usuarios del agua potable, para ser usadas en Progreso, Yucatán, </w:t>
      </w:r>
      <w:r>
        <w:rPr>
          <w:rFonts w:ascii="Times New Roman" w:hAnsi="Times New Roman"/>
          <w:color w:val="000000"/>
          <w:sz w:val="44"/>
          <w:szCs w:val="44"/>
        </w:rPr>
        <w:t>México</w:t>
      </w:r>
    </w:p>
    <w:p>
      <w:pPr>
        <w:pStyle w:val="NormalWeb"/>
        <w:shd w:val="clear" w:color="auto" w:fill="FFFFFF"/>
        <w:bidi w:val="0"/>
        <w:spacing w:lineRule="auto" w:line="240" w:before="0" w:after="0"/>
        <w:jc w:val="center"/>
        <w:rPr>
          <w:color w:val="000000"/>
        </w:rPr>
      </w:pPr>
      <w:r>
        <w:rPr>
          <w:rFonts w:ascii="Times New Roman" w:hAnsi="Times New Roman"/>
          <w:sz w:val="20"/>
          <w:szCs w:val="20"/>
        </w:rPr>
      </w:r>
    </w:p>
    <w:p>
      <w:pPr>
        <w:pStyle w:val="Normal"/>
        <w:shd w:val="clear" w:color="auto" w:fill="FFFFFF"/>
        <w:bidi w:val="0"/>
        <w:spacing w:lineRule="auto" w:line="240" w:before="0" w:after="0"/>
        <w:jc w:val="center"/>
        <w:rPr>
          <w:rFonts w:ascii="Times New Roman" w:hAnsi="Times New Roman"/>
          <w:sz w:val="36"/>
          <w:szCs w:val="36"/>
        </w:rPr>
      </w:pPr>
      <w:r>
        <w:rPr>
          <w:rFonts w:cs="Times New Roman" w:ascii="Times New Roman" w:hAnsi="Times New Roman"/>
          <w:color w:val="000000"/>
          <w:sz w:val="36"/>
          <w:szCs w:val="36"/>
        </w:rPr>
        <w:t xml:space="preserve">Documentary study of variables that affect the </w:t>
      </w:r>
    </w:p>
    <w:p>
      <w:pPr>
        <w:pStyle w:val="Normal"/>
        <w:shd w:val="clear" w:color="auto" w:fill="FFFFFF"/>
        <w:bidi w:val="0"/>
        <w:spacing w:lineRule="auto" w:line="240" w:before="0" w:after="0"/>
        <w:jc w:val="center"/>
        <w:rPr>
          <w:rFonts w:ascii="Times New Roman" w:hAnsi="Times New Roman"/>
          <w:sz w:val="36"/>
          <w:szCs w:val="36"/>
        </w:rPr>
      </w:pPr>
      <w:r>
        <w:rPr>
          <w:rFonts w:cs="Times New Roman" w:ascii="Times New Roman" w:hAnsi="Times New Roman"/>
          <w:color w:val="000000"/>
          <w:sz w:val="36"/>
          <w:szCs w:val="36"/>
        </w:rPr>
        <w:t xml:space="preserve">willingness to pay of users of tap drinking water, </w:t>
      </w:r>
    </w:p>
    <w:p>
      <w:pPr>
        <w:pStyle w:val="Normal"/>
        <w:shd w:val="clear" w:color="auto" w:fill="FFFFFF"/>
        <w:bidi w:val="0"/>
        <w:spacing w:lineRule="auto" w:line="240" w:before="0" w:after="0"/>
        <w:jc w:val="center"/>
        <w:rPr>
          <w:rFonts w:ascii="Times New Roman" w:hAnsi="Times New Roman"/>
          <w:sz w:val="36"/>
          <w:szCs w:val="36"/>
        </w:rPr>
      </w:pPr>
      <w:r>
        <w:rPr>
          <w:rFonts w:cs="Times New Roman" w:ascii="Times New Roman" w:hAnsi="Times New Roman"/>
          <w:color w:val="000000"/>
          <w:sz w:val="36"/>
          <w:szCs w:val="36"/>
        </w:rPr>
        <w:t xml:space="preserve">to be used in Progreso, Yucatán, </w:t>
      </w:r>
      <w:r>
        <w:rPr>
          <w:rFonts w:cs="Times New Roman" w:ascii="Times New Roman" w:hAnsi="Times New Roman"/>
          <w:color w:val="000000"/>
          <w:sz w:val="36"/>
          <w:szCs w:val="36"/>
        </w:rPr>
        <w:t>México</w:t>
      </w:r>
    </w:p>
    <w:p>
      <w:pPr>
        <w:pStyle w:val="Normal"/>
        <w:shd w:val="clear" w:color="auto" w:fill="FFFFFF"/>
        <w:bidi w:val="0"/>
        <w:spacing w:lineRule="auto" w:line="240" w:before="0" w:after="0"/>
        <w:jc w:val="both"/>
        <w:rPr>
          <w:rFonts w:cs="Times New Roman"/>
          <w:color w:val="000000"/>
        </w:rPr>
      </w:pPr>
      <w:r>
        <w:rPr>
          <w:rFonts w:ascii="Times New Roman" w:hAnsi="Times New Roman"/>
          <w:sz w:val="20"/>
          <w:szCs w:val="20"/>
        </w:rPr>
      </w:r>
    </w:p>
    <w:p>
      <w:pPr>
        <w:pStyle w:val="Normal"/>
        <w:shd w:val="clear" w:color="auto" w:fill="FFFFFF"/>
        <w:bidi w:val="0"/>
        <w:spacing w:lineRule="auto" w:line="240" w:before="0" w:after="0"/>
        <w:jc w:val="center"/>
        <w:rPr>
          <w:rFonts w:ascii="Times New Roman" w:hAnsi="Times New Roman"/>
          <w:b w:val="false"/>
          <w:b w:val="false"/>
          <w:bCs w:val="false"/>
          <w:sz w:val="24"/>
          <w:szCs w:val="24"/>
        </w:rPr>
      </w:pPr>
      <w:r>
        <w:rPr>
          <w:rFonts w:cs="Times New Roman" w:ascii="Times New Roman" w:hAnsi="Times New Roman"/>
          <w:b w:val="false"/>
          <w:bCs w:val="false"/>
          <w:color w:val="000000"/>
          <w:sz w:val="24"/>
          <w:szCs w:val="24"/>
        </w:rPr>
        <w:t>Diana Virgenes Polanco Mis</w:t>
      </w:r>
      <w:r>
        <w:rPr>
          <w:rFonts w:cs="Times New Roman" w:ascii="Times New Roman" w:hAnsi="Times New Roman"/>
          <w:b w:val="false"/>
          <w:bCs w:val="false"/>
          <w:color w:val="000000"/>
          <w:sz w:val="24"/>
          <w:szCs w:val="24"/>
          <w:vertAlign w:val="superscript"/>
        </w:rPr>
        <w:t>1*</w:t>
      </w:r>
      <w:r>
        <w:rPr>
          <w:rFonts w:cs="Times New Roman" w:ascii="Times New Roman" w:hAnsi="Times New Roman"/>
          <w:b w:val="false"/>
          <w:bCs w:val="false"/>
          <w:color w:val="000000"/>
          <w:sz w:val="24"/>
          <w:szCs w:val="24"/>
        </w:rPr>
        <w:t>, Francisco Javier Patrón Parra</w:t>
      </w:r>
      <w:r>
        <w:rPr>
          <w:rFonts w:cs="Times New Roman" w:ascii="Times New Roman" w:hAnsi="Times New Roman"/>
          <w:b w:val="false"/>
          <w:bCs w:val="false"/>
          <w:color w:val="000000"/>
          <w:sz w:val="24"/>
          <w:szCs w:val="24"/>
          <w:vertAlign w:val="superscript"/>
        </w:rPr>
        <w:t>1</w:t>
      </w:r>
      <w:r>
        <w:rPr>
          <w:rFonts w:cs="Times New Roman" w:ascii="Times New Roman" w:hAnsi="Times New Roman"/>
          <w:b w:val="false"/>
          <w:bCs w:val="false"/>
          <w:color w:val="000000"/>
          <w:sz w:val="24"/>
          <w:szCs w:val="24"/>
        </w:rPr>
        <w:t xml:space="preserve"> </w:t>
      </w:r>
    </w:p>
    <w:p>
      <w:pPr>
        <w:pStyle w:val="Normal"/>
        <w:shd w:val="clear" w:color="auto" w:fill="FFFFFF"/>
        <w:bidi w:val="0"/>
        <w:spacing w:lineRule="auto" w:line="240" w:before="0" w:after="0"/>
        <w:jc w:val="center"/>
        <w:rPr>
          <w:rFonts w:ascii="Times New Roman" w:hAnsi="Times New Roman"/>
          <w:b w:val="false"/>
          <w:b w:val="false"/>
          <w:bCs w:val="false"/>
          <w:sz w:val="24"/>
          <w:szCs w:val="24"/>
        </w:rPr>
      </w:pPr>
      <w:r>
        <w:rPr>
          <w:rFonts w:cs="Times New Roman" w:ascii="Times New Roman" w:hAnsi="Times New Roman"/>
          <w:b w:val="false"/>
          <w:bCs w:val="false"/>
          <w:color w:val="000000"/>
          <w:sz w:val="24"/>
          <w:szCs w:val="24"/>
        </w:rPr>
        <w:t>y Diana Graciela Paredes Pech</w:t>
      </w:r>
      <w:r>
        <w:rPr>
          <w:rFonts w:cs="Times New Roman" w:ascii="Times New Roman" w:hAnsi="Times New Roman"/>
          <w:b w:val="false"/>
          <w:bCs w:val="false"/>
          <w:color w:val="000000"/>
          <w:sz w:val="24"/>
          <w:szCs w:val="24"/>
          <w:vertAlign w:val="superscript"/>
        </w:rPr>
        <w:t>1</w:t>
      </w:r>
    </w:p>
    <w:p>
      <w:pPr>
        <w:pStyle w:val="Normal"/>
        <w:bidi w:val="0"/>
        <w:spacing w:lineRule="auto" w:line="240" w:before="0" w:after="0"/>
        <w:jc w:val="center"/>
        <w:rPr>
          <w:rFonts w:eastAsia="Times New Roman" w:cs="Times New Roman"/>
          <w:i/>
          <w:i/>
          <w:iCs/>
          <w:vertAlign w:val="superscript"/>
        </w:rPr>
      </w:pPr>
      <w:r>
        <w:rPr>
          <w:rFonts w:ascii="Times New Roman" w:hAnsi="Times New Roman"/>
          <w:sz w:val="20"/>
          <w:szCs w:val="20"/>
        </w:rPr>
      </w:r>
    </w:p>
    <w:p>
      <w:pPr>
        <w:pStyle w:val="Normal"/>
        <w:bidi w:val="0"/>
        <w:spacing w:lineRule="auto" w:line="240" w:before="0" w:after="0"/>
        <w:jc w:val="center"/>
        <w:rPr>
          <w:rFonts w:ascii="Times New Roman" w:hAnsi="Times New Roman"/>
          <w:sz w:val="24"/>
          <w:szCs w:val="24"/>
        </w:rPr>
      </w:pPr>
      <w:r>
        <w:rPr>
          <w:rFonts w:eastAsia="Times New Roman" w:cs="Times New Roman" w:ascii="Times New Roman" w:hAnsi="Times New Roman"/>
          <w:i/>
          <w:iCs/>
          <w:sz w:val="24"/>
          <w:szCs w:val="24"/>
          <w:vertAlign w:val="superscript"/>
        </w:rPr>
        <w:t>1</w:t>
      </w:r>
      <w:r>
        <w:rPr>
          <w:rFonts w:eastAsia="Times New Roman" w:cs="Times New Roman" w:ascii="Times New Roman" w:hAnsi="Times New Roman"/>
          <w:i/>
          <w:iCs/>
          <w:sz w:val="24"/>
          <w:szCs w:val="24"/>
        </w:rPr>
        <w:t>Tecnológico Nacional de México, Instituto Tecnológico Superior Progreso, Boulevard Víctor Manuel Cervera Pacheco s/n x 62 C.P. 97320, Progreso, Yucatán, México.</w:t>
      </w:r>
    </w:p>
    <w:p>
      <w:pPr>
        <w:pStyle w:val="Normal"/>
        <w:bidi w:val="0"/>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240" w:before="0" w:after="0"/>
        <w:jc w:val="center"/>
        <w:rPr>
          <w:rFonts w:ascii="Times New Roman" w:hAnsi="Times New Roman"/>
          <w:sz w:val="18"/>
          <w:szCs w:val="18"/>
        </w:rPr>
      </w:pPr>
      <w:r>
        <w:rPr>
          <w:rFonts w:eastAsia="Times New Roman" w:cs="Times New Roman" w:ascii="Times New Roman" w:hAnsi="Times New Roman"/>
          <w:i/>
          <w:iCs/>
          <w:sz w:val="18"/>
          <w:szCs w:val="18"/>
        </w:rPr>
        <w:t>*Corresponding author:</w:t>
      </w:r>
    </w:p>
    <w:p>
      <w:pPr>
        <w:pStyle w:val="Normal"/>
        <w:shd w:val="clear" w:color="auto" w:fill="FFFFFF"/>
        <w:bidi w:val="0"/>
        <w:spacing w:lineRule="auto" w:line="240" w:before="0" w:after="0"/>
        <w:jc w:val="center"/>
        <w:rPr>
          <w:rFonts w:ascii="Times New Roman" w:hAnsi="Times New Roman"/>
          <w:sz w:val="18"/>
          <w:szCs w:val="18"/>
        </w:rPr>
      </w:pPr>
      <w:r>
        <w:rPr>
          <w:rFonts w:eastAsia="Times New Roman" w:cs="Times New Roman" w:ascii="Times New Roman" w:hAnsi="Times New Roman"/>
          <w:i/>
          <w:iCs/>
          <w:color w:val="000000"/>
          <w:sz w:val="18"/>
          <w:szCs w:val="18"/>
        </w:rPr>
        <w:t>dpolanco@itsprogreso.edu.mx</w:t>
      </w:r>
    </w:p>
    <w:p>
      <w:pPr>
        <w:pStyle w:val="NormalWeb"/>
        <w:shd w:val="clear" w:color="auto" w:fill="FFFFFF"/>
        <w:bidi w:val="0"/>
        <w:spacing w:lineRule="auto" w:line="240" w:before="0" w:after="0"/>
        <w:jc w:val="both"/>
        <w:rPr>
          <w:color w:val="000000"/>
        </w:rPr>
      </w:pPr>
      <w:r>
        <w:rPr>
          <w:rFonts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2004" w:gutter="0"/>
          <w:pgNumType w:fmt="decimal"/>
          <w:formProt w:val="false"/>
          <w:titlePg/>
          <w:textDirection w:val="lrTb"/>
          <w:docGrid w:type="default" w:linePitch="360" w:charSpace="4294965247"/>
        </w:sectPr>
      </w:pPr>
    </w:p>
    <w:p>
      <w:pPr>
        <w:pStyle w:val="NormalWeb"/>
        <w:shd w:val="clear" w:color="auto" w:fill="FFFFFF"/>
        <w:bidi w:val="0"/>
        <w:spacing w:lineRule="auto" w:line="240" w:before="0" w:after="0"/>
        <w:jc w:val="both"/>
        <w:rPr>
          <w:rFonts w:ascii="Times New Roman" w:hAnsi="Times New Roman"/>
          <w:b/>
          <w:b/>
          <w:bCs/>
          <w:sz w:val="20"/>
          <w:szCs w:val="20"/>
        </w:rPr>
      </w:pPr>
      <w:r>
        <w:rPr>
          <w:rFonts w:ascii="Times New Roman" w:hAnsi="Times New Roman"/>
          <w:b/>
          <w:bCs/>
          <w:color w:val="000000"/>
          <w:sz w:val="20"/>
          <w:szCs w:val="20"/>
        </w:rPr>
        <w:t xml:space="preserve">Resumen: </w:t>
      </w:r>
      <w:r>
        <w:rPr>
          <w:rFonts w:cs="Times New Roman" w:ascii="Times New Roman" w:hAnsi="Times New Roman"/>
          <w:b/>
          <w:bCs/>
          <w:color w:val="000000"/>
          <w:sz w:val="20"/>
          <w:szCs w:val="20"/>
          <w:shd w:fill="FFFFFF" w:val="clear"/>
        </w:rPr>
        <w:t xml:space="preserve">El objetivo del presente escrito es identificar </w:t>
      </w:r>
      <w:r>
        <w:rPr>
          <w:rFonts w:cs="Times New Roman" w:ascii="Times New Roman" w:hAnsi="Times New Roman"/>
          <w:b/>
          <w:bCs/>
          <w:color w:val="000000"/>
          <w:sz w:val="20"/>
          <w:szCs w:val="20"/>
        </w:rPr>
        <w:t xml:space="preserve">aquellas variables </w:t>
      </w:r>
      <w:r>
        <w:rPr>
          <w:rFonts w:eastAsia="Times New Roman" w:cs="Times New Roman" w:ascii="Times New Roman" w:hAnsi="Times New Roman"/>
          <w:b/>
          <w:bCs/>
          <w:color w:val="000000"/>
          <w:sz w:val="20"/>
          <w:szCs w:val="20"/>
        </w:rPr>
        <w:t>que afectan la disposición a pagar</w:t>
      </w:r>
      <w:r>
        <w:rPr>
          <w:rFonts w:cs="Times New Roman" w:ascii="Times New Roman" w:hAnsi="Times New Roman"/>
          <w:b/>
          <w:bCs/>
          <w:color w:val="000000"/>
          <w:sz w:val="20"/>
          <w:szCs w:val="20"/>
        </w:rPr>
        <w:t xml:space="preserve"> de los usuarios del agua potable, para ofrecer información que sugiera el diseño de acciones que permitan recuperar estos adeudos. </w:t>
      </w:r>
      <w:r>
        <w:rPr>
          <w:rFonts w:cs="Times New Roman" w:ascii="Times New Roman" w:hAnsi="Times New Roman"/>
          <w:b/>
          <w:bCs/>
          <w:sz w:val="20"/>
          <w:szCs w:val="20"/>
        </w:rPr>
        <w:t>La investigación se basó en un sistema de sustentación documental y en el uso de la técnica de entrevista. La selección de los documentos bibliográficos para el estudio se realizó en el período comprendido de septiembre del 2019 a octubre del 2020.  Las principales fuentes documentales utilizadas fueron: libros y artículos de revistas electrónicas, así como consulta a páginas web. Se encontraron diez variables siendo la más mencionada el nivel de ingresos.</w:t>
      </w:r>
    </w:p>
    <w:p>
      <w:pPr>
        <w:pStyle w:val="Normal"/>
        <w:bidi w:val="0"/>
        <w:spacing w:lineRule="auto" w:line="240" w:before="0" w:after="0"/>
        <w:jc w:val="both"/>
        <w:rPr>
          <w:rFonts w:cs="Times New Roman"/>
        </w:rPr>
      </w:pPr>
      <w:r>
        <w:rPr>
          <w:rFonts w:ascii="Times New Roman" w:hAnsi="Times New Roman"/>
          <w:b/>
          <w:bCs/>
          <w:sz w:val="20"/>
          <w:szCs w:val="20"/>
        </w:rPr>
      </w:r>
    </w:p>
    <w:p>
      <w:pPr>
        <w:pStyle w:val="Normal"/>
        <w:bidi w:val="0"/>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Palabras clave: morosidad en el pago del agua, cobro del agua, disposición a pagar, pago de servicios públicos.</w:t>
      </w:r>
    </w:p>
    <w:p>
      <w:pPr>
        <w:pStyle w:val="Normal"/>
        <w:bidi w:val="0"/>
        <w:spacing w:lineRule="auto" w:line="240" w:before="0" w:after="0"/>
        <w:jc w:val="both"/>
        <w:rPr>
          <w:rFonts w:ascii="Times New Roman" w:hAnsi="Times New Roman" w:cs="Times New Roman"/>
          <w:b/>
          <w:b/>
          <w:bCs/>
          <w:sz w:val="20"/>
          <w:szCs w:val="20"/>
        </w:rPr>
      </w:pPr>
      <w:r>
        <w:rPr>
          <w:rFonts w:cs="Times New Roman" w:ascii="Times New Roman" w:hAnsi="Times New Roman"/>
          <w:b/>
          <w:bCs/>
          <w:sz w:val="20"/>
          <w:szCs w:val="20"/>
        </w:rPr>
      </w:r>
    </w:p>
    <w:p>
      <w:pPr>
        <w:pStyle w:val="Normal"/>
        <w:bidi w:val="0"/>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Abstract: The objective of this document is to identify those variables that affect the willingness to pay of users of tap drinking water, to offer information that suggests the design of actions to recover these debts. The research was based on a documentary support system and the use of the interview technique. The selection of bibliographic documents for the study was carried out in the period from September 2019 to October 2020. The main documentary sources used were: books and articles from electronic journals, as well as consultation of web pages. Ten variables were found, the income level being the most mentioned.</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b/>
          <w:bCs/>
          <w:sz w:val="20"/>
          <w:szCs w:val="20"/>
        </w:rPr>
        <w:t xml:space="preserve"> </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b/>
          <w:bCs/>
          <w:sz w:val="20"/>
          <w:szCs w:val="20"/>
        </w:rPr>
        <w:t>Keywords: late payment of water, receipt of tap water, willingness to pay, payment of public services.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Ttulo1"/>
        <w:bidi w:val="0"/>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I</w:t>
      </w:r>
      <w:bookmarkEnd w:id="0"/>
      <w:r>
        <w:rPr>
          <w:rFonts w:cs="Times New Roman" w:ascii="Times New Roman" w:hAnsi="Times New Roman"/>
          <w:b/>
          <w:bCs/>
          <w:sz w:val="20"/>
          <w:szCs w:val="20"/>
        </w:rPr>
        <w:t>. ANTECEDENTES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El agua es un recurso natural imprescindible para el bienestar de las personas y el desarrollo de las comunidades. A pesar de que el agua es un recurso presente de forma gratuita en el planeta, se requiere de inversión en infraestructura y tecnología de diversas índoles para hacerla llegar a los usuarios.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En los países del mundo se avanza en conseguir llevar el servicio de agua potable a todos los hogares. En el documento “Los servicios de agua potable y saneamiento en el umbral del siglo XXI” publicado por la Comisión Económica para América Latina y el Caribe menciona que, en México, la población urbana conectada a sistemas de alcantarillado supera al 70%” (citado por Jouravlev, 2004, p. 14). Esta misma publicación presenta el diagnóstico realizado por la Organización Panamericana de la Salud en el 2001, donde indica que en México, para esa fecha, el acceso a los servicios de agua potable por parte de la población urbana y rural era de un 94% y de un 65% respectivamente. Al 2015, la cobertura nacional de acceso al agua entubada era de 95.3% (97.8% urbana, 87.0% rural), en tanto que la cobertura nacional de agua entubada en la vivienda o predio era de 94.4% (97.2% urbana, 85.0% rural). (Comisión nacional del agua, 2018, p. 113)</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México ha recibido un promedio ligeramente mayor a 821 milímetros anuales de precipitación anual entre 2004 y 2016, con fuertes variaciones de tipo temporal y espacial a lo largo del año y del territorio nacional, lo que provoca grandes desigualdades en su distribución, pues el 67% de la lluvia cae entre junio y septiembre, sobre todo en la región sur-sureste que recibe el 49.6% de la lluvia y es la zona más despoblada del país. En el norte llueve poco y la densidad poblacional es mayor. Del total de lluvia que cae en México, el 72.5% se evapotranspira y regresa a la atmósfera; el 21.2% escurre por los ríos o arroyos, y el 6.4% recarga los acuíferos al infiltrarse en el subsuelo en forma natural. (Fondo para la comunicación y educación ambiental, A.C., 2017)</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Durante el 2013, “en Yucatán la cobertura del agua potable fue del orden del 92.7%. Sin embargo, en el 2016, el porcentaje de agua suministrada y desinfectada para consumo humano en litros por segundo para el estado fue de 88.5%, con lo que el estado se situó en el penúltimo lugar por debajo del promedio nacional de 97.3%. En este mismo año, 2016, Yucatán suministró 6,876 litros de agua por segundo del total nacional de 348,306 litros por segundo, lo que lo ubicó en el lugar 20 entre las entidades que más suministraron este recurso a su población. (Plan Estatal de Desarrollo (Yucatán), 2018-2024) </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Es incluso, intuitivo, que prácticamente cualquier acción que se ejerza para hacer llegar el agua potable al lugar de su consumo final requerirá de fuertes inversiones de dinero. Estas inversiones deberán ser cubiertas por la sociedad de diferentes formas.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Por ejemplo, “el creciente uso de tarifas volumétricas puede mejorar la eficiencia económica a través del cobro de los costos por unidad al usuario e incluir objetivos de equidad mediante cargos a los consumidores de acuerdo con su localización y nivel de consumo. Similarmente, la reducción de subsidios puede derivar en una mayor estabilidad financiera en el suministro del servicio de agua, así como estimular el ahorro del líquido por parte de los consumidores. El uso creciente de tarifas asociado a bloques volumétricos también tiene la ventaja de que promueve la conservación del agua —el que más usa más paga— y contribuye a facilitar la disponibilidad del servicio a familias de bajos ingresos” (Solis, 2005, p.26).</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En algunas fuentes consultadas para la construcción de este artículo se encontró con evidencia de una discusión acerca de que quién o quiénes deben de pagar el servicio del agua potable. Al respecto la </w:t>
      </w:r>
      <w:r>
        <w:rPr>
          <w:rFonts w:cs="Times New Roman" w:ascii="Times New Roman" w:hAnsi="Times New Roman"/>
          <w:color w:val="222222"/>
          <w:sz w:val="20"/>
          <w:szCs w:val="20"/>
          <w:shd w:fill="FFFFFF" w:val="clear"/>
        </w:rPr>
        <w:t>Organización para la Cooperación y Desarrollo Económicos</w:t>
      </w:r>
      <w:r>
        <w:rPr>
          <w:rFonts w:cs="Times New Roman" w:ascii="Times New Roman" w:hAnsi="Times New Roman"/>
          <w:sz w:val="20"/>
          <w:szCs w:val="20"/>
        </w:rPr>
        <w:t xml:space="preserve"> (OCDE, 2016) recomienda:</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w:t>
      </w:r>
      <w:r>
        <w:rPr>
          <w:rFonts w:cs="Times New Roman" w:ascii="Times New Roman" w:hAnsi="Times New Roman"/>
          <w:sz w:val="20"/>
          <w:szCs w:val="20"/>
        </w:rPr>
        <w:t>A los países adherentes, que establezcan medidas para la financiación sostenible de servicios de aguas, infraestructuras hídricas, la gestión de recursos hídricos y la protección de ecosistemas relacionados con el agua. Un primer paso podría ser combinar los ingresos provenientes de las tarifas del agua, las transferencias de presupuestos públicos y las transferencias de la comunidad internacional (esto es, las 3 T) para recuperar, cuanto sea posible y donde sea eficiente, los costes de inversión, funcionamiento y mantenimiento de las infraestructuras hídricas.” (p.159)</w:t>
      </w:r>
    </w:p>
    <w:p>
      <w:pPr>
        <w:pStyle w:val="Normal"/>
        <w:bidi w:val="0"/>
        <w:spacing w:lineRule="auto" w:line="240" w:before="0" w:after="0"/>
        <w:ind w:left="709" w:hanging="1"/>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color w:val="000000"/>
          <w:sz w:val="20"/>
          <w:szCs w:val="20"/>
          <w:highlight w:val="white"/>
        </w:rPr>
      </w:pPr>
      <w:r>
        <w:rPr>
          <w:rFonts w:cs="Times New Roman" w:ascii="Times New Roman" w:hAnsi="Times New Roman"/>
          <w:sz w:val="20"/>
          <w:szCs w:val="20"/>
        </w:rPr>
        <w:t>Este enfoque de sustentabilidad de los organismos que administran los servicios de agua contrasta con que en México existe un porcentaje elevado de morosidad en el pago del servicio del agua potable, como evidencia de esto el Fondo para la comunicación y educación ambiental, A.C. cita en su portal Agua.com.mx (2020) diversas noticias al respecto, por ejemplo, e</w:t>
      </w:r>
      <w:r>
        <w:rPr>
          <w:rFonts w:cs="Times New Roman" w:ascii="Times New Roman" w:hAnsi="Times New Roman"/>
          <w:color w:val="000000"/>
          <w:sz w:val="20"/>
          <w:szCs w:val="20"/>
          <w:shd w:fill="FFFFFF" w:val="clear"/>
        </w:rPr>
        <w:t>n el municipio de Durango se tiene una morosidad en el pago del servicio de agua potable del 13 al 16%, cifra que es manejable si se toma en cuenta que la media nacional es del 26%</w:t>
      </w:r>
      <w:r>
        <w:rPr>
          <w:rFonts w:cs="Times New Roman" w:ascii="Times New Roman" w:hAnsi="Times New Roman"/>
          <w:sz w:val="20"/>
          <w:szCs w:val="20"/>
        </w:rPr>
        <w:t xml:space="preserve"> (El sol de durango, 2018).  Por su parte, </w:t>
      </w:r>
      <w:r>
        <w:rPr>
          <w:rFonts w:cs="Times New Roman" w:ascii="Times New Roman" w:hAnsi="Times New Roman"/>
          <w:color w:val="000000"/>
          <w:sz w:val="20"/>
          <w:szCs w:val="20"/>
          <w:shd w:fill="FFFFFF" w:val="clear"/>
        </w:rPr>
        <w:t>Pérez (2017) menciona que en Puebla el 40 por ciento de los usuarios (200 mil) no están al corriente con sus pagos.</w:t>
      </w:r>
    </w:p>
    <w:p>
      <w:pPr>
        <w:pStyle w:val="Normal"/>
        <w:bidi w:val="0"/>
        <w:spacing w:lineRule="auto" w:line="240" w:before="0" w:after="0"/>
        <w:jc w:val="both"/>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Normal"/>
        <w:bidi w:val="0"/>
        <w:spacing w:lineRule="auto" w:line="240" w:before="0" w:after="0"/>
        <w:jc w:val="both"/>
        <w:rPr>
          <w:rFonts w:ascii="Times New Roman" w:hAnsi="Times New Roman" w:cs="Times New Roman"/>
          <w:color w:val="000000"/>
          <w:sz w:val="20"/>
          <w:szCs w:val="20"/>
          <w:highlight w:val="white"/>
        </w:rPr>
      </w:pPr>
      <w:r>
        <w:rPr>
          <w:rFonts w:cs="Times New Roman" w:ascii="Times New Roman" w:hAnsi="Times New Roman"/>
          <w:color w:val="000000"/>
          <w:sz w:val="20"/>
          <w:szCs w:val="20"/>
          <w:shd w:fill="FFFFFF" w:val="clear"/>
        </w:rPr>
        <w:t xml:space="preserve">En Progreso, Yucatán, </w:t>
      </w:r>
      <w:r>
        <w:rPr>
          <w:rFonts w:cs="Times New Roman" w:ascii="Times New Roman" w:hAnsi="Times New Roman"/>
          <w:color w:val="000000"/>
          <w:sz w:val="20"/>
          <w:szCs w:val="20"/>
          <w:shd w:fill="FFFFFF" w:val="clear"/>
        </w:rPr>
        <w:t>México,</w:t>
      </w:r>
      <w:r>
        <w:rPr>
          <w:rFonts w:cs="Times New Roman" w:ascii="Times New Roman" w:hAnsi="Times New Roman"/>
          <w:color w:val="000000"/>
          <w:sz w:val="20"/>
          <w:szCs w:val="20"/>
          <w:shd w:fill="FFFFFF" w:val="clear"/>
        </w:rPr>
        <w:t xml:space="preserve"> se han realizado diferentes acciones para promover el pago del servicio de agua potable entre sus pobladores, según entrevista otorgado por el personal a cargo del Sistema Municipal de Agua Potable y Alcantarillado de Progreso (SMAPAP) a los autores de este escrito, no obstante, estas acciones, la respuesta en el incremento de recaudación de ingresos no siempre ha sido la deseada. Todavía se requiere el diseño de estrategias que incentiven el pago constante y puntual de los servicios de agua potable.</w:t>
      </w:r>
    </w:p>
    <w:p>
      <w:pPr>
        <w:pStyle w:val="Normal"/>
        <w:bidi w:val="0"/>
        <w:spacing w:lineRule="auto" w:line="240" w:before="0" w:after="0"/>
        <w:jc w:val="both"/>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color w:val="000000"/>
          <w:sz w:val="20"/>
          <w:szCs w:val="20"/>
          <w:shd w:fill="FFFFFF" w:val="clear"/>
        </w:rPr>
        <w:t xml:space="preserve">La importancia de diseñar acciones para motivar el pago por parte de los usuarios radica en que este </w:t>
      </w:r>
      <w:r>
        <w:rPr>
          <w:rFonts w:cs="Times New Roman" w:ascii="Times New Roman" w:hAnsi="Times New Roman"/>
          <w:sz w:val="20"/>
          <w:szCs w:val="20"/>
        </w:rPr>
        <w:t>rezago en la actualización y el cobro de tarifas en el país se ve reflejado en un bajo mantenimiento de la infraestructura hidráulica, lo cual provoca fugas en las que se pierde casi el 45% del agua que se transporta en todo el país. También contribuye a que no se dé un tratamiento adecuado a las aguas residuales que se vierten directamente en ríos, lagos o barrancas y contaminan los ecosistemas” (Fondo para la comunicación y educación ambiental, A.C., 2017)</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color w:val="000000"/>
          <w:sz w:val="20"/>
          <w:szCs w:val="20"/>
        </w:rPr>
      </w:pPr>
      <w:r>
        <w:rPr>
          <w:rFonts w:cs="Times New Roman" w:ascii="Times New Roman" w:hAnsi="Times New Roman"/>
          <w:color w:val="000000"/>
          <w:sz w:val="20"/>
          <w:szCs w:val="20"/>
          <w:shd w:fill="FFFFFF" w:val="clear"/>
        </w:rPr>
        <w:t xml:space="preserve">Con la perspectiva de ofrecer información útil que promuevan el pago puntual de los usuarios del agua potable se plantea como finalidad de presente escrito, identificar </w:t>
      </w:r>
      <w:r>
        <w:rPr>
          <w:rFonts w:cs="Times New Roman" w:ascii="Times New Roman" w:hAnsi="Times New Roman"/>
          <w:color w:val="000000"/>
          <w:sz w:val="20"/>
          <w:szCs w:val="20"/>
        </w:rPr>
        <w:t xml:space="preserve">aquellas variables </w:t>
      </w:r>
      <w:r>
        <w:rPr>
          <w:rFonts w:eastAsia="Times New Roman" w:cs="Times New Roman" w:ascii="Times New Roman" w:hAnsi="Times New Roman"/>
          <w:color w:val="000000"/>
          <w:sz w:val="20"/>
          <w:szCs w:val="20"/>
        </w:rPr>
        <w:t>que afectan la disposición a pagar</w:t>
      </w:r>
      <w:r>
        <w:rPr>
          <w:rFonts w:cs="Times New Roman" w:ascii="Times New Roman" w:hAnsi="Times New Roman"/>
          <w:color w:val="000000"/>
          <w:sz w:val="20"/>
          <w:szCs w:val="20"/>
        </w:rPr>
        <w:t xml:space="preserve"> de los usuarios del agua potable, mediante investigación documental, para ofrecer información que sugiera el diseño de acciones en Progreso, Yucatán.</w:t>
      </w:r>
    </w:p>
    <w:p>
      <w:pPr>
        <w:pStyle w:val="Normal"/>
        <w:bidi w:val="0"/>
        <w:spacing w:lineRule="auto" w:line="240" w:before="0" w:after="0"/>
        <w:jc w:val="both"/>
        <w:rPr>
          <w:rFonts w:ascii="Times New Roman" w:hAnsi="Times New Roman" w:cs="Times New Roman"/>
          <w:sz w:val="20"/>
          <w:szCs w:val="20"/>
        </w:rPr>
      </w:pPr>
      <w:bookmarkStart w:id="1" w:name="_5qevznxdln6l"/>
      <w:bookmarkStart w:id="2" w:name="_5qevznxdln6l"/>
      <w:bookmarkEnd w:id="2"/>
      <w:r>
        <w:rPr>
          <w:rFonts w:cs="Times New Roman" w:ascii="Times New Roman" w:hAnsi="Times New Roman"/>
          <w:sz w:val="20"/>
          <w:szCs w:val="20"/>
        </w:rPr>
      </w:r>
    </w:p>
    <w:p>
      <w:pPr>
        <w:pStyle w:val="Normal"/>
        <w:bidi w:val="0"/>
        <w:spacing w:lineRule="auto" w:line="240" w:before="0" w:after="0"/>
        <w:jc w:val="both"/>
        <w:rPr>
          <w:rFonts w:cs="Times New Roman"/>
        </w:rPr>
      </w:pPr>
      <w:r>
        <w:rPr>
          <w:rFonts w:ascii="Times New Roman" w:hAnsi="Times New Roman"/>
          <w:b/>
          <w:bCs/>
          <w:sz w:val="20"/>
          <w:szCs w:val="20"/>
        </w:rPr>
      </w:r>
    </w:p>
    <w:p>
      <w:pPr>
        <w:pStyle w:val="Normal"/>
        <w:bidi w:val="0"/>
        <w:spacing w:lineRule="auto" w:line="240" w:before="0" w:after="0"/>
        <w:jc w:val="both"/>
        <w:rPr>
          <w:rFonts w:cs="Times New Roman"/>
        </w:rPr>
      </w:pPr>
      <w:r>
        <w:rPr>
          <w:rFonts w:ascii="Times New Roman" w:hAnsi="Times New Roman"/>
          <w:b/>
          <w:bCs/>
          <w:sz w:val="20"/>
          <w:szCs w:val="20"/>
        </w:rPr>
      </w:r>
    </w:p>
    <w:p>
      <w:pPr>
        <w:pStyle w:val="Normal"/>
        <w:bidi w:val="0"/>
        <w:spacing w:lineRule="auto" w:line="240" w:before="0" w:after="0"/>
        <w:jc w:val="both"/>
        <w:rPr>
          <w:rFonts w:ascii="Times New Roman" w:hAnsi="Times New Roman"/>
          <w:b/>
          <w:b/>
          <w:bCs/>
          <w:sz w:val="20"/>
          <w:szCs w:val="20"/>
        </w:rPr>
      </w:pPr>
      <w:r>
        <w:rPr>
          <w:rFonts w:cs="Times New Roman" w:ascii="Times New Roman" w:hAnsi="Times New Roman"/>
          <w:b/>
          <w:bCs/>
          <w:sz w:val="20"/>
          <w:szCs w:val="20"/>
        </w:rPr>
        <w:t xml:space="preserve">II. METODOLOGÍA </w:t>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La investigación para la construcción de este escrito se basó en un sistema de sustentación documental, misma que fue complementada con información obtenida en una de entrevista realizada al personal directivo del Sistema de Agua Potable y Alcantarillado de Progreso. </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La selección de los documentos bibliográficos para el estudio se realizó en el período comprendido de septiembre del 2019 a octubre del 2020.  Las principales fuentes documentales utilizadas fueron: libros y artículos de revistas electrónicas, así como consulta a páginas web del gobierno. </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Los motores de búsqueda fueron: Morosidad en pagos de servicios públicos, motivos de pago puntual, pago de agua potable, factores de pago, entre otros. La intención fue la de describir las variables encontradas en estudios previos relacionados con el comportamiento de pago del servicio de agua potable. Para posteriormente obtener una lista de variables a considerar en las acciones para motivar el pago puntual del mencionado servicio.</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b/>
          <w:b/>
          <w:bCs/>
          <w:sz w:val="20"/>
          <w:szCs w:val="20"/>
        </w:rPr>
      </w:pPr>
      <w:r>
        <w:rPr>
          <w:rFonts w:eastAsia="Times New Roman" w:cs="Times New Roman" w:ascii="Times New Roman" w:hAnsi="Times New Roman"/>
          <w:b/>
          <w:bCs/>
          <w:sz w:val="20"/>
          <w:szCs w:val="20"/>
        </w:rPr>
        <w:t>III. RESULTADOS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Los documentos consultados para la realización de este documento resultaron escasos, y los encontrados se refieren a estudios de motivos de pago de la población en general, de forma que se asume estudios de consumo doméstico del agua potable.  Para iniciar con esta exposición  se presenta información relativa a la fijación de las tarifas del mencionado servicio, seguida de la descripción de diferentes enfoques de estudio para la problemática planteada, finalizando con mención de las variables identificadas.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Las tarifas de agua potable son fijadas de diferente manera en cada municipio, dependiendo de lo que establece la legislación de cada entidad federativa. En algunas entidades federativas, las tarifas son aprobadas por el congreso local de la entidad, mientras que en otras las aprueba el órgano de gobierno o consejo directivo del organismo operador de agua potable del municipio o localidad o de la comisión estatal de aguas. El nivel tarifario, o pago debido, se expresa en una estructura tarifaria, la mayoría de las veces diferenciada por los tipos de usuario (domésticos, comerciales e industriales, ente otros). (Comisión nacional del agua, 2018, p. 159)</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El estudio de los motivos de la morosidad en el pago de los servicios públicos puede realizar desde diferentes enfoques.  Nuñez (2011) propone tres visiones. A) Visión desde la economía, la morosidad del pago de los servicios públicos está atado al nivel de ingresos de largo plazo de las familias. Esto parece ser propio de economías con mercados laborales informales. B) Visión desde la sociología y la antropología; existe una relación entre estructuras (instituciones) y prácticas de los usuarios (morosidad). </w:t>
      </w:r>
    </w:p>
    <w:p>
      <w:pPr>
        <w:pStyle w:val="Normal"/>
        <w:bidi w:val="0"/>
        <w:spacing w:lineRule="auto" w:line="240" w:before="0" w:after="0"/>
        <w:jc w:val="both"/>
        <w:rPr>
          <w:rFonts w:cs="Times New Roman"/>
        </w:rPr>
      </w:pPr>
      <w:r>
        <w:rPr>
          <w:rFonts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Esta relación es consecuencia de procesos sociales e históricos en los que la cultura interviene. Por ejemplo, quienes lo ven como un derecho o un servicio. C) Visión desde la psicología; las investigaciones relacionados con el tema de la morosidad, tratan de concentrarse en los antecedentes del moroso y buscan trazar el recorrido y la forma en que la persona llega a serlo. Este mismo autor también propone como determinantes de la morosidad del pago de servicios públicos, las categorías de i) social económica (por ejemplo: desempleo y estrato social), ii) social familiar (como número de miembros de la familia, aportes económicos), iii) cultural educativa (falta de ahorros, deudas, etc.) y psicológica (ejemplo: percepciones hacia la empresa).</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Otros enfoques para el estudio del comportamiento de los usuarios del agua potable son: i) estudios psicológicos de la sustentabilidad. Los conceptos esenciales de este enfoque se articulan en una estructura de factores temporales, situacionales, económicos, culturales y psicológicos predictores del comportamiento que extrae, procesa, distribuye, consume, procesa y recicla los recursos naturales en función de sus necesidades actuales y las necesidades de sus generaciones posteriores. Y ii) Estudios actitudinales. El análisis de las actitudes hacia el Desarrollo Sustentable puede llevarse a cabo considerando los planteamientos de diferentes teorías tales como la Teoría de la Acción Razonada (TAR) de Icek Ajzen y Martín Fishbein, entre otras. Cada teoría abona conceptos y relaciones causales entre variables socio demográficas, cognitivas y comportamentales para la construcción de una teoría actitudinal relativa al Desarrollo Sustentable.  Las actitudes han sido definidas como evaluaciones negativas o positivas, desfavorables o favorables, implícitas o explícitas, emotivas o deliberadas, improvisadas o planificadas, heurísticas o sistemáticas hacia objetos, personas o procesos al momento de ser aprendidas por la influencia de un grupo o sistema persuasivo y organizadas para responder eficiente, eficaz y efectivamente ante una situación imponderable, impredecible e incontrolable. (García, Carreón, Hernandez, Montero y Bustos, 2013).</w:t>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A pesar de que en México el abastecimiento de agua potable a los hogares es un monopolio administrado por el gobierno por razones políticas, económicos y de bienestar social que no se exponen este documento por diferir del objetivo principal de éste, si se considera conveniente describir los factores que influyen en la toma de decisiones de compra por parte del consumidor. Esto en aras de identificar las variables presentes en diferentes evaluaciones de lo posibles motivos de la renuencia de pago puntual y constante por parte de los usuarios domésticos de este servicio.</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i/>
          <w:iCs/>
          <w:sz w:val="20"/>
          <w:szCs w:val="20"/>
        </w:rPr>
        <w:t xml:space="preserve">A. </w:t>
      </w:r>
      <w:r>
        <w:rPr>
          <w:rFonts w:cs="Times New Roman" w:ascii="Times New Roman" w:hAnsi="Times New Roman"/>
          <w:i/>
          <w:iCs/>
          <w:sz w:val="20"/>
          <w:szCs w:val="20"/>
        </w:rPr>
        <w:t>Modelos de toma de decisiones del consumidor</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Existen varios factores que influyen en la toma de decisiones de compra de los consumidores, Colet y Polío (2014) mencionan que el primero de éstos se refiere a los a) factores culturales que a su vez se dividen en: 1) </w:t>
      </w:r>
      <w:r>
        <w:rPr>
          <w:rFonts w:cs="Times New Roman" w:ascii="Times New Roman" w:hAnsi="Times New Roman"/>
          <w:color w:val="231F20"/>
          <w:sz w:val="20"/>
          <w:szCs w:val="20"/>
        </w:rPr>
        <w:t>las subculturas, en</w:t>
      </w:r>
      <w:r>
        <w:rPr>
          <w:rFonts w:cs="Times New Roman" w:ascii="Times New Roman" w:hAnsi="Times New Roman"/>
          <w:color w:val="231F20"/>
          <w:spacing w:val="-37"/>
          <w:sz w:val="20"/>
          <w:szCs w:val="20"/>
        </w:rPr>
        <w:t xml:space="preserve"> </w:t>
      </w:r>
      <w:r>
        <w:rPr>
          <w:rFonts w:cs="Times New Roman" w:ascii="Times New Roman" w:hAnsi="Times New Roman"/>
          <w:color w:val="231F20"/>
          <w:sz w:val="20"/>
          <w:szCs w:val="20"/>
        </w:rPr>
        <w:t>un</w:t>
      </w:r>
      <w:r>
        <w:rPr>
          <w:rFonts w:cs="Times New Roman" w:ascii="Times New Roman" w:hAnsi="Times New Roman"/>
          <w:color w:val="231F20"/>
          <w:spacing w:val="-38"/>
          <w:sz w:val="20"/>
          <w:szCs w:val="20"/>
        </w:rPr>
        <w:t xml:space="preserve"> </w:t>
      </w:r>
      <w:r>
        <w:rPr>
          <w:rFonts w:cs="Times New Roman" w:ascii="Times New Roman" w:hAnsi="Times New Roman"/>
          <w:color w:val="231F20"/>
          <w:sz w:val="20"/>
          <w:szCs w:val="20"/>
        </w:rPr>
        <w:t>mismo</w:t>
      </w:r>
      <w:r>
        <w:rPr>
          <w:rFonts w:cs="Times New Roman" w:ascii="Times New Roman" w:hAnsi="Times New Roman"/>
          <w:color w:val="231F20"/>
          <w:spacing w:val="-38"/>
          <w:sz w:val="20"/>
          <w:szCs w:val="20"/>
        </w:rPr>
        <w:t xml:space="preserve"> </w:t>
      </w:r>
      <w:r>
        <w:rPr>
          <w:rFonts w:cs="Times New Roman" w:ascii="Times New Roman" w:hAnsi="Times New Roman"/>
          <w:color w:val="231F20"/>
          <w:sz w:val="20"/>
          <w:szCs w:val="20"/>
        </w:rPr>
        <w:t>país</w:t>
      </w:r>
      <w:r>
        <w:rPr>
          <w:rFonts w:cs="Times New Roman" w:ascii="Times New Roman" w:hAnsi="Times New Roman"/>
          <w:color w:val="231F20"/>
          <w:spacing w:val="-38"/>
          <w:sz w:val="20"/>
          <w:szCs w:val="20"/>
        </w:rPr>
        <w:t xml:space="preserve"> </w:t>
      </w:r>
      <w:r>
        <w:rPr>
          <w:rFonts w:cs="Times New Roman" w:ascii="Times New Roman" w:hAnsi="Times New Roman"/>
          <w:color w:val="231F20"/>
          <w:sz w:val="20"/>
          <w:szCs w:val="20"/>
        </w:rPr>
        <w:t>o</w:t>
      </w:r>
      <w:r>
        <w:rPr>
          <w:rFonts w:cs="Times New Roman" w:ascii="Times New Roman" w:hAnsi="Times New Roman"/>
          <w:color w:val="231F20"/>
          <w:spacing w:val="-38"/>
          <w:sz w:val="20"/>
          <w:szCs w:val="20"/>
        </w:rPr>
        <w:t xml:space="preserve"> </w:t>
      </w:r>
      <w:r>
        <w:rPr>
          <w:rFonts w:cs="Times New Roman" w:ascii="Times New Roman" w:hAnsi="Times New Roman"/>
          <w:color w:val="231F20"/>
          <w:spacing w:val="-3"/>
          <w:sz w:val="20"/>
          <w:szCs w:val="20"/>
        </w:rPr>
        <w:t>ciudad</w:t>
      </w:r>
      <w:r>
        <w:rPr>
          <w:rFonts w:cs="Times New Roman" w:ascii="Times New Roman" w:hAnsi="Times New Roman"/>
          <w:color w:val="231F20"/>
          <w:spacing w:val="-38"/>
          <w:sz w:val="20"/>
          <w:szCs w:val="20"/>
        </w:rPr>
        <w:t xml:space="preserve"> </w:t>
      </w:r>
      <w:r>
        <w:rPr>
          <w:rFonts w:cs="Times New Roman" w:ascii="Times New Roman" w:hAnsi="Times New Roman"/>
          <w:color w:val="231F20"/>
          <w:sz w:val="20"/>
          <w:szCs w:val="20"/>
        </w:rPr>
        <w:t>conviven</w:t>
      </w:r>
      <w:r>
        <w:rPr>
          <w:rFonts w:cs="Times New Roman" w:ascii="Times New Roman" w:hAnsi="Times New Roman"/>
          <w:color w:val="231F20"/>
          <w:spacing w:val="-38"/>
          <w:sz w:val="20"/>
          <w:szCs w:val="20"/>
        </w:rPr>
        <w:t xml:space="preserve"> </w:t>
      </w:r>
      <w:r>
        <w:rPr>
          <w:rFonts w:cs="Times New Roman" w:ascii="Times New Roman" w:hAnsi="Times New Roman"/>
          <w:color w:val="231F20"/>
          <w:sz w:val="20"/>
          <w:szCs w:val="20"/>
        </w:rPr>
        <w:t>individuos</w:t>
      </w:r>
      <w:r>
        <w:rPr>
          <w:rFonts w:cs="Times New Roman" w:ascii="Times New Roman" w:hAnsi="Times New Roman"/>
          <w:color w:val="231F20"/>
          <w:spacing w:val="-38"/>
          <w:sz w:val="20"/>
          <w:szCs w:val="20"/>
        </w:rPr>
        <w:t xml:space="preserve"> </w:t>
      </w:r>
      <w:r>
        <w:rPr>
          <w:rFonts w:cs="Times New Roman" w:ascii="Times New Roman" w:hAnsi="Times New Roman"/>
          <w:color w:val="231F20"/>
          <w:spacing w:val="-3"/>
          <w:sz w:val="20"/>
          <w:szCs w:val="20"/>
        </w:rPr>
        <w:t>que</w:t>
      </w:r>
      <w:r>
        <w:rPr>
          <w:rFonts w:cs="Times New Roman" w:ascii="Times New Roman" w:hAnsi="Times New Roman"/>
          <w:color w:val="231F20"/>
          <w:spacing w:val="-38"/>
          <w:sz w:val="20"/>
          <w:szCs w:val="20"/>
        </w:rPr>
        <w:t xml:space="preserve"> </w:t>
      </w:r>
      <w:r>
        <w:rPr>
          <w:rFonts w:cs="Times New Roman" w:ascii="Times New Roman" w:hAnsi="Times New Roman"/>
          <w:color w:val="231F20"/>
          <w:sz w:val="20"/>
          <w:szCs w:val="20"/>
        </w:rPr>
        <w:t>pertenecen</w:t>
      </w:r>
      <w:r>
        <w:rPr>
          <w:rFonts w:cs="Times New Roman" w:ascii="Times New Roman" w:hAnsi="Times New Roman"/>
          <w:color w:val="231F20"/>
          <w:spacing w:val="-38"/>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37"/>
          <w:sz w:val="20"/>
          <w:szCs w:val="20"/>
        </w:rPr>
        <w:t xml:space="preserve"> </w:t>
      </w:r>
      <w:r>
        <w:rPr>
          <w:rFonts w:cs="Times New Roman" w:ascii="Times New Roman" w:hAnsi="Times New Roman"/>
          <w:color w:val="231F20"/>
          <w:sz w:val="20"/>
          <w:szCs w:val="20"/>
        </w:rPr>
        <w:t>cul</w:t>
      </w:r>
      <w:r>
        <w:rPr>
          <w:rFonts w:cs="Times New Roman" w:ascii="Times New Roman" w:hAnsi="Times New Roman"/>
          <w:color w:val="231F20"/>
          <w:w w:val="95"/>
          <w:sz w:val="20"/>
          <w:szCs w:val="20"/>
        </w:rPr>
        <w:t>turas</w:t>
      </w:r>
      <w:r>
        <w:rPr>
          <w:rFonts w:cs="Times New Roman" w:ascii="Times New Roman" w:hAnsi="Times New Roman"/>
          <w:color w:val="231F20"/>
          <w:spacing w:val="-11"/>
          <w:w w:val="95"/>
          <w:sz w:val="20"/>
          <w:szCs w:val="20"/>
        </w:rPr>
        <w:t xml:space="preserve"> </w:t>
      </w:r>
      <w:r>
        <w:rPr>
          <w:rFonts w:cs="Times New Roman" w:ascii="Times New Roman" w:hAnsi="Times New Roman"/>
          <w:color w:val="231F20"/>
          <w:w w:val="95"/>
          <w:sz w:val="20"/>
          <w:szCs w:val="20"/>
        </w:rPr>
        <w:t xml:space="preserve">distintas. 2) </w:t>
      </w:r>
      <w:r>
        <w:rPr>
          <w:rFonts w:cs="Times New Roman" w:ascii="Times New Roman" w:hAnsi="Times New Roman"/>
          <w:color w:val="231F20"/>
          <w:sz w:val="20"/>
          <w:szCs w:val="20"/>
        </w:rPr>
        <w:t>La</w:t>
      </w:r>
      <w:r>
        <w:rPr>
          <w:rFonts w:cs="Times New Roman" w:ascii="Times New Roman" w:hAnsi="Times New Roman"/>
          <w:color w:val="231F20"/>
          <w:spacing w:val="-21"/>
          <w:sz w:val="20"/>
          <w:szCs w:val="20"/>
        </w:rPr>
        <w:t xml:space="preserve"> </w:t>
      </w:r>
      <w:r>
        <w:rPr>
          <w:rFonts w:cs="Times New Roman" w:ascii="Times New Roman" w:hAnsi="Times New Roman"/>
          <w:color w:val="231F20"/>
          <w:sz w:val="20"/>
          <w:szCs w:val="20"/>
        </w:rPr>
        <w:t>clase</w:t>
      </w:r>
      <w:r>
        <w:rPr>
          <w:rFonts w:cs="Times New Roman" w:ascii="Times New Roman" w:hAnsi="Times New Roman"/>
          <w:color w:val="231F20"/>
          <w:spacing w:val="-20"/>
          <w:sz w:val="20"/>
          <w:szCs w:val="20"/>
        </w:rPr>
        <w:t xml:space="preserve"> </w:t>
      </w:r>
      <w:r>
        <w:rPr>
          <w:rFonts w:cs="Times New Roman" w:ascii="Times New Roman" w:hAnsi="Times New Roman"/>
          <w:color w:val="231F20"/>
          <w:sz w:val="20"/>
          <w:szCs w:val="20"/>
        </w:rPr>
        <w:t>social.</w:t>
      </w:r>
      <w:r>
        <w:rPr>
          <w:rFonts w:cs="Times New Roman" w:ascii="Times New Roman" w:hAnsi="Times New Roman"/>
          <w:color w:val="231F20"/>
          <w:spacing w:val="-20"/>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toda</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sociedad</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los</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individuos</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se</w:t>
      </w:r>
      <w:r>
        <w:rPr>
          <w:rFonts w:cs="Times New Roman" w:ascii="Times New Roman" w:hAnsi="Times New Roman"/>
          <w:color w:val="231F20"/>
          <w:spacing w:val="-9"/>
          <w:sz w:val="20"/>
          <w:szCs w:val="20"/>
        </w:rPr>
        <w:t xml:space="preserve"> </w:t>
      </w:r>
      <w:r>
        <w:rPr>
          <w:rFonts w:cs="Times New Roman" w:ascii="Times New Roman" w:hAnsi="Times New Roman"/>
          <w:color w:val="231F20"/>
          <w:spacing w:val="-3"/>
          <w:sz w:val="20"/>
          <w:szCs w:val="20"/>
        </w:rPr>
        <w:t>dividen</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en</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grupos</w:t>
      </w:r>
      <w:r>
        <w:rPr>
          <w:rFonts w:cs="Times New Roman" w:ascii="Times New Roman" w:hAnsi="Times New Roman"/>
          <w:color w:val="231F20"/>
          <w:spacing w:val="-9"/>
          <w:sz w:val="20"/>
          <w:szCs w:val="20"/>
        </w:rPr>
        <w:t xml:space="preserve"> </w:t>
      </w:r>
      <w:r>
        <w:rPr>
          <w:rFonts w:cs="Times New Roman" w:ascii="Times New Roman" w:hAnsi="Times New Roman"/>
          <w:color w:val="231F20"/>
          <w:sz w:val="20"/>
          <w:szCs w:val="20"/>
        </w:rPr>
        <w:t>relativamente homogéneos</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y</w:t>
      </w:r>
      <w:r>
        <w:rPr>
          <w:rFonts w:cs="Times New Roman" w:ascii="Times New Roman" w:hAnsi="Times New Roman"/>
          <w:color w:val="231F20"/>
          <w:spacing w:val="-16"/>
          <w:sz w:val="20"/>
          <w:szCs w:val="20"/>
        </w:rPr>
        <w:t xml:space="preserve"> </w:t>
      </w:r>
      <w:r>
        <w:rPr>
          <w:rFonts w:cs="Times New Roman" w:ascii="Times New Roman" w:hAnsi="Times New Roman"/>
          <w:color w:val="231F20"/>
          <w:spacing w:val="-3"/>
          <w:sz w:val="20"/>
          <w:szCs w:val="20"/>
        </w:rPr>
        <w:t>tienen</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un</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estatus</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y</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una</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jerarquía</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dados</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por</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su</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nivel</w:t>
      </w:r>
      <w:r>
        <w:rPr>
          <w:rFonts w:cs="Times New Roman" w:ascii="Times New Roman" w:hAnsi="Times New Roman"/>
          <w:color w:val="231F20"/>
          <w:spacing w:val="-15"/>
          <w:sz w:val="20"/>
          <w:szCs w:val="20"/>
        </w:rPr>
        <w:t xml:space="preserve"> </w:t>
      </w:r>
      <w:r>
        <w:rPr>
          <w:rFonts w:cs="Times New Roman" w:ascii="Times New Roman" w:hAnsi="Times New Roman"/>
          <w:color w:val="231F20"/>
          <w:sz w:val="20"/>
          <w:szCs w:val="20"/>
        </w:rPr>
        <w:t>económico,</w:t>
      </w:r>
      <w:r>
        <w:rPr>
          <w:rFonts w:cs="Times New Roman" w:ascii="Times New Roman" w:hAnsi="Times New Roman"/>
          <w:color w:val="231F20"/>
          <w:spacing w:val="-16"/>
          <w:sz w:val="20"/>
          <w:szCs w:val="20"/>
        </w:rPr>
        <w:t xml:space="preserve"> </w:t>
      </w:r>
      <w:r>
        <w:rPr>
          <w:rFonts w:cs="Times New Roman" w:ascii="Times New Roman" w:hAnsi="Times New Roman"/>
          <w:color w:val="231F20"/>
          <w:sz w:val="20"/>
          <w:szCs w:val="20"/>
        </w:rPr>
        <w:t>estudios,</w:t>
      </w:r>
      <w:r>
        <w:rPr>
          <w:rFonts w:cs="Times New Roman" w:ascii="Times New Roman" w:hAnsi="Times New Roman"/>
          <w:color w:val="231F20"/>
          <w:spacing w:val="-41"/>
          <w:sz w:val="20"/>
          <w:szCs w:val="20"/>
        </w:rPr>
        <w:t xml:space="preserve"> </w:t>
      </w:r>
      <w:r>
        <w:rPr>
          <w:rFonts w:cs="Times New Roman" w:ascii="Times New Roman" w:hAnsi="Times New Roman"/>
          <w:color w:val="231F20"/>
          <w:sz w:val="20"/>
          <w:szCs w:val="20"/>
        </w:rPr>
        <w:t>tipo de trabajo,</w:t>
      </w:r>
      <w:r>
        <w:rPr>
          <w:rFonts w:cs="Times New Roman" w:ascii="Times New Roman" w:hAnsi="Times New Roman"/>
          <w:color w:val="231F20"/>
          <w:spacing w:val="-40"/>
          <w:sz w:val="20"/>
          <w:szCs w:val="20"/>
        </w:rPr>
        <w:t xml:space="preserve"> </w:t>
      </w:r>
      <w:r>
        <w:rPr>
          <w:rFonts w:cs="Times New Roman" w:ascii="Times New Roman" w:hAnsi="Times New Roman"/>
          <w:color w:val="231F20"/>
          <w:sz w:val="20"/>
          <w:szCs w:val="20"/>
        </w:rPr>
        <w:t>etc.</w:t>
      </w:r>
      <w:r>
        <w:rPr>
          <w:rFonts w:cs="Times New Roman" w:ascii="Times New Roman" w:hAnsi="Times New Roman"/>
          <w:color w:val="231F20"/>
          <w:spacing w:val="-41"/>
          <w:sz w:val="20"/>
          <w:szCs w:val="20"/>
        </w:rPr>
        <w:t xml:space="preserve">  </w:t>
      </w:r>
      <w:r>
        <w:rPr>
          <w:rFonts w:cs="Times New Roman" w:ascii="Times New Roman" w:hAnsi="Times New Roman"/>
          <w:color w:val="231F20"/>
          <w:spacing w:val="-3"/>
          <w:sz w:val="20"/>
          <w:szCs w:val="20"/>
        </w:rPr>
        <w:t xml:space="preserve">El siguiente factor se refiere a los </w:t>
      </w:r>
      <w:r>
        <w:rPr>
          <w:rFonts w:cs="Times New Roman" w:ascii="Times New Roman" w:hAnsi="Times New Roman"/>
          <w:sz w:val="20"/>
          <w:szCs w:val="20"/>
        </w:rPr>
        <w:t>b) Factores sociales. Diversos hechos sociales determinan también el comportamiento del consumidor: la familia y los grupos a los que pertenezca, así como el rol y estatus que tenga en esos grupos. El tercero describe a los c) f</w:t>
      </w:r>
      <w:r>
        <w:rPr>
          <w:rFonts w:cs="Times New Roman" w:ascii="Times New Roman" w:hAnsi="Times New Roman"/>
          <w:color w:val="231F20"/>
          <w:spacing w:val="-3"/>
          <w:sz w:val="20"/>
          <w:szCs w:val="20"/>
        </w:rPr>
        <w:t xml:space="preserve">actores </w:t>
      </w:r>
      <w:r>
        <w:rPr>
          <w:rFonts w:cs="Times New Roman" w:ascii="Times New Roman" w:hAnsi="Times New Roman"/>
          <w:color w:val="231F20"/>
          <w:spacing w:val="-53"/>
          <w:sz w:val="20"/>
          <w:szCs w:val="20"/>
        </w:rPr>
        <w:t xml:space="preserve">  </w:t>
      </w:r>
      <w:r>
        <w:rPr>
          <w:rFonts w:cs="Times New Roman" w:ascii="Times New Roman" w:hAnsi="Times New Roman"/>
          <w:color w:val="231F20"/>
          <w:sz w:val="20"/>
          <w:szCs w:val="20"/>
        </w:rPr>
        <w:t xml:space="preserve">personales que incluyen a la i) </w:t>
      </w:r>
      <w:r>
        <w:rPr>
          <w:rFonts w:cs="Times New Roman" w:ascii="Times New Roman" w:hAnsi="Times New Roman"/>
          <w:color w:val="231F20"/>
          <w:spacing w:val="-3"/>
          <w:sz w:val="20"/>
          <w:szCs w:val="20"/>
        </w:rPr>
        <w:t>Edad</w:t>
      </w:r>
      <w:r>
        <w:rPr>
          <w:rFonts w:cs="Times New Roman" w:ascii="Times New Roman" w:hAnsi="Times New Roman"/>
          <w:color w:val="231F20"/>
          <w:spacing w:val="-32"/>
          <w:sz w:val="20"/>
          <w:szCs w:val="20"/>
        </w:rPr>
        <w:t xml:space="preserve"> </w:t>
      </w:r>
      <w:r>
        <w:rPr>
          <w:rFonts w:cs="Times New Roman" w:ascii="Times New Roman" w:hAnsi="Times New Roman"/>
          <w:color w:val="231F20"/>
          <w:sz w:val="20"/>
          <w:szCs w:val="20"/>
        </w:rPr>
        <w:t>y</w:t>
      </w:r>
      <w:r>
        <w:rPr>
          <w:rFonts w:cs="Times New Roman" w:ascii="Times New Roman" w:hAnsi="Times New Roman"/>
          <w:color w:val="231F20"/>
          <w:spacing w:val="-31"/>
          <w:sz w:val="20"/>
          <w:szCs w:val="20"/>
        </w:rPr>
        <w:t xml:space="preserve"> </w:t>
      </w:r>
      <w:r>
        <w:rPr>
          <w:rFonts w:cs="Times New Roman" w:ascii="Times New Roman" w:hAnsi="Times New Roman"/>
          <w:color w:val="231F20"/>
          <w:spacing w:val="-3"/>
          <w:sz w:val="20"/>
          <w:szCs w:val="20"/>
        </w:rPr>
        <w:t>fase</w:t>
      </w:r>
      <w:r>
        <w:rPr>
          <w:rFonts w:cs="Times New Roman" w:ascii="Times New Roman" w:hAnsi="Times New Roman"/>
          <w:color w:val="231F20"/>
          <w:spacing w:val="-31"/>
          <w:sz w:val="20"/>
          <w:szCs w:val="20"/>
        </w:rPr>
        <w:t xml:space="preserve"> </w:t>
      </w:r>
      <w:r>
        <w:rPr>
          <w:rFonts w:cs="Times New Roman" w:ascii="Times New Roman" w:hAnsi="Times New Roman"/>
          <w:color w:val="231F20"/>
          <w:sz w:val="20"/>
          <w:szCs w:val="20"/>
        </w:rPr>
        <w:t>del</w:t>
      </w:r>
      <w:r>
        <w:rPr>
          <w:rFonts w:cs="Times New Roman" w:ascii="Times New Roman" w:hAnsi="Times New Roman"/>
          <w:color w:val="231F20"/>
          <w:spacing w:val="-31"/>
          <w:sz w:val="20"/>
          <w:szCs w:val="20"/>
        </w:rPr>
        <w:t xml:space="preserve"> </w:t>
      </w:r>
      <w:r>
        <w:rPr>
          <w:rFonts w:cs="Times New Roman" w:ascii="Times New Roman" w:hAnsi="Times New Roman"/>
          <w:color w:val="231F20"/>
          <w:sz w:val="20"/>
          <w:szCs w:val="20"/>
        </w:rPr>
        <w:t>ciclo</w:t>
      </w:r>
      <w:r>
        <w:rPr>
          <w:rFonts w:cs="Times New Roman" w:ascii="Times New Roman" w:hAnsi="Times New Roman"/>
          <w:color w:val="231F20"/>
          <w:spacing w:val="-31"/>
          <w:sz w:val="20"/>
          <w:szCs w:val="20"/>
        </w:rPr>
        <w:t xml:space="preserve"> </w:t>
      </w:r>
      <w:r>
        <w:rPr>
          <w:rFonts w:cs="Times New Roman" w:ascii="Times New Roman" w:hAnsi="Times New Roman"/>
          <w:color w:val="231F20"/>
          <w:sz w:val="20"/>
          <w:szCs w:val="20"/>
        </w:rPr>
        <w:t>de</w:t>
      </w:r>
      <w:r>
        <w:rPr>
          <w:rFonts w:cs="Times New Roman" w:ascii="Times New Roman" w:hAnsi="Times New Roman"/>
          <w:color w:val="231F20"/>
          <w:spacing w:val="-32"/>
          <w:sz w:val="20"/>
          <w:szCs w:val="20"/>
        </w:rPr>
        <w:t xml:space="preserve"> </w:t>
      </w:r>
      <w:r>
        <w:rPr>
          <w:rFonts w:cs="Times New Roman" w:ascii="Times New Roman" w:hAnsi="Times New Roman"/>
          <w:color w:val="231F20"/>
          <w:sz w:val="20"/>
          <w:szCs w:val="20"/>
        </w:rPr>
        <w:t xml:space="preserve">vida, igual que a la ii) Ocupación, el iii) estilo de vida, iiii) </w:t>
      </w:r>
      <w:r>
        <w:rPr>
          <w:rFonts w:cs="Times New Roman" w:ascii="Times New Roman" w:hAnsi="Times New Roman"/>
          <w:color w:val="231F20"/>
          <w:w w:val="95"/>
          <w:sz w:val="20"/>
          <w:szCs w:val="20"/>
        </w:rPr>
        <w:t>Circunstancias</w:t>
      </w:r>
      <w:r>
        <w:rPr>
          <w:rFonts w:cs="Times New Roman" w:ascii="Times New Roman" w:hAnsi="Times New Roman"/>
          <w:color w:val="231F20"/>
          <w:spacing w:val="-34"/>
          <w:w w:val="95"/>
          <w:sz w:val="20"/>
          <w:szCs w:val="20"/>
        </w:rPr>
        <w:t xml:space="preserve"> </w:t>
      </w:r>
      <w:r>
        <w:rPr>
          <w:rFonts w:cs="Times New Roman" w:ascii="Times New Roman" w:hAnsi="Times New Roman"/>
          <w:color w:val="231F20"/>
          <w:w w:val="95"/>
          <w:sz w:val="20"/>
          <w:szCs w:val="20"/>
        </w:rPr>
        <w:t>económicas y la iiiii) Personalidad. Y el último factor contempla los d) f</w:t>
      </w:r>
      <w:r>
        <w:rPr>
          <w:rFonts w:cs="Times New Roman" w:ascii="Times New Roman" w:hAnsi="Times New Roman"/>
          <w:color w:val="231F20"/>
          <w:spacing w:val="-3"/>
          <w:w w:val="95"/>
          <w:sz w:val="20"/>
          <w:szCs w:val="20"/>
        </w:rPr>
        <w:t>actores</w:t>
      </w:r>
      <w:r>
        <w:rPr>
          <w:rFonts w:cs="Times New Roman" w:ascii="Times New Roman" w:hAnsi="Times New Roman"/>
          <w:color w:val="231F20"/>
          <w:spacing w:val="-31"/>
          <w:w w:val="95"/>
          <w:sz w:val="20"/>
          <w:szCs w:val="20"/>
        </w:rPr>
        <w:t xml:space="preserve"> </w:t>
      </w:r>
      <w:r>
        <w:rPr>
          <w:rFonts w:cs="Times New Roman" w:ascii="Times New Roman" w:hAnsi="Times New Roman"/>
          <w:color w:val="231F20"/>
          <w:w w:val="95"/>
          <w:sz w:val="20"/>
          <w:szCs w:val="20"/>
        </w:rPr>
        <w:t xml:space="preserve">psicológicos. Los factores psicológicos se integra por la i) motivación. </w:t>
      </w:r>
      <w:r>
        <w:rPr>
          <w:rFonts w:cs="Times New Roman" w:ascii="Times New Roman" w:hAnsi="Times New Roman"/>
          <w:color w:val="231F20"/>
          <w:spacing w:val="-3"/>
          <w:w w:val="95"/>
          <w:sz w:val="20"/>
          <w:szCs w:val="20"/>
        </w:rPr>
        <w:t xml:space="preserve">Generalmente </w:t>
      </w:r>
      <w:r>
        <w:rPr>
          <w:rFonts w:cs="Times New Roman" w:ascii="Times New Roman" w:hAnsi="Times New Roman"/>
          <w:color w:val="231F20"/>
          <w:w w:val="95"/>
          <w:sz w:val="20"/>
          <w:szCs w:val="20"/>
        </w:rPr>
        <w:t xml:space="preserve">compramos para satisfacer </w:t>
      </w:r>
      <w:r>
        <w:rPr>
          <w:rFonts w:cs="Times New Roman" w:ascii="Times New Roman" w:hAnsi="Times New Roman"/>
          <w:color w:val="231F20"/>
          <w:spacing w:val="-3"/>
          <w:w w:val="95"/>
          <w:sz w:val="20"/>
          <w:szCs w:val="20"/>
        </w:rPr>
        <w:t xml:space="preserve">necesidades de </w:t>
      </w:r>
      <w:r>
        <w:rPr>
          <w:rFonts w:cs="Times New Roman" w:ascii="Times New Roman" w:hAnsi="Times New Roman"/>
          <w:color w:val="231F20"/>
          <w:w w:val="95"/>
          <w:sz w:val="20"/>
          <w:szCs w:val="20"/>
        </w:rPr>
        <w:t xml:space="preserve">distinta </w:t>
      </w:r>
      <w:r>
        <w:rPr>
          <w:rFonts w:cs="Times New Roman" w:ascii="Times New Roman" w:hAnsi="Times New Roman"/>
          <w:color w:val="231F20"/>
          <w:spacing w:val="-3"/>
          <w:w w:val="95"/>
          <w:sz w:val="20"/>
          <w:szCs w:val="20"/>
        </w:rPr>
        <w:t xml:space="preserve">índole </w:t>
      </w:r>
      <w:r>
        <w:rPr>
          <w:rFonts w:cs="Times New Roman" w:ascii="Times New Roman" w:hAnsi="Times New Roman"/>
          <w:color w:val="231F20"/>
          <w:w w:val="95"/>
          <w:sz w:val="20"/>
          <w:szCs w:val="20"/>
        </w:rPr>
        <w:t xml:space="preserve">y </w:t>
      </w:r>
      <w:r>
        <w:rPr>
          <w:rFonts w:cs="Times New Roman" w:ascii="Times New Roman" w:hAnsi="Times New Roman"/>
          <w:color w:val="231F20"/>
          <w:sz w:val="20"/>
          <w:szCs w:val="20"/>
        </w:rPr>
        <w:t>porque</w:t>
      </w:r>
      <w:r>
        <w:rPr>
          <w:rFonts w:cs="Times New Roman" w:ascii="Times New Roman" w:hAnsi="Times New Roman"/>
          <w:color w:val="231F20"/>
          <w:spacing w:val="-25"/>
          <w:sz w:val="20"/>
          <w:szCs w:val="20"/>
        </w:rPr>
        <w:t xml:space="preserve"> </w:t>
      </w:r>
      <w:r>
        <w:rPr>
          <w:rFonts w:cs="Times New Roman" w:ascii="Times New Roman" w:hAnsi="Times New Roman"/>
          <w:color w:val="231F20"/>
          <w:spacing w:val="-3"/>
          <w:sz w:val="20"/>
          <w:szCs w:val="20"/>
        </w:rPr>
        <w:t>tenemos</w:t>
      </w:r>
      <w:r>
        <w:rPr>
          <w:rFonts w:cs="Times New Roman" w:ascii="Times New Roman" w:hAnsi="Times New Roman"/>
          <w:color w:val="231F20"/>
          <w:spacing w:val="-25"/>
          <w:sz w:val="20"/>
          <w:szCs w:val="20"/>
        </w:rPr>
        <w:t xml:space="preserve"> </w:t>
      </w:r>
      <w:r>
        <w:rPr>
          <w:rFonts w:cs="Times New Roman" w:ascii="Times New Roman" w:hAnsi="Times New Roman"/>
          <w:color w:val="231F20"/>
          <w:sz w:val="20"/>
          <w:szCs w:val="20"/>
        </w:rPr>
        <w:t>un</w:t>
      </w:r>
      <w:r>
        <w:rPr>
          <w:rFonts w:cs="Times New Roman" w:ascii="Times New Roman" w:hAnsi="Times New Roman"/>
          <w:color w:val="231F20"/>
          <w:spacing w:val="-25"/>
          <w:sz w:val="20"/>
          <w:szCs w:val="20"/>
        </w:rPr>
        <w:t xml:space="preserve"> </w:t>
      </w:r>
      <w:r>
        <w:rPr>
          <w:rFonts w:cs="Times New Roman" w:ascii="Times New Roman" w:hAnsi="Times New Roman"/>
          <w:color w:val="231F20"/>
          <w:sz w:val="20"/>
          <w:szCs w:val="20"/>
        </w:rPr>
        <w:t xml:space="preserve">motivo, seguido por el ii) </w:t>
      </w:r>
      <w:r>
        <w:rPr>
          <w:rFonts w:cs="Times New Roman" w:ascii="Times New Roman" w:hAnsi="Times New Roman"/>
          <w:color w:val="231F20"/>
          <w:w w:val="95"/>
          <w:sz w:val="20"/>
          <w:szCs w:val="20"/>
        </w:rPr>
        <w:t>aprendizaje.</w:t>
      </w:r>
      <w:r>
        <w:rPr>
          <w:rFonts w:cs="Times New Roman" w:ascii="Times New Roman" w:hAnsi="Times New Roman"/>
          <w:color w:val="231F20"/>
          <w:spacing w:val="-6"/>
          <w:w w:val="95"/>
          <w:sz w:val="20"/>
          <w:szCs w:val="20"/>
        </w:rPr>
        <w:t xml:space="preserve"> </w:t>
      </w:r>
      <w:r>
        <w:rPr>
          <w:rFonts w:cs="Times New Roman" w:ascii="Times New Roman" w:hAnsi="Times New Roman"/>
          <w:color w:val="231F20"/>
          <w:w w:val="95"/>
          <w:sz w:val="20"/>
          <w:szCs w:val="20"/>
        </w:rPr>
        <w:t>El</w:t>
      </w:r>
      <w:r>
        <w:rPr>
          <w:rFonts w:cs="Times New Roman" w:ascii="Times New Roman" w:hAnsi="Times New Roman"/>
          <w:color w:val="231F20"/>
          <w:spacing w:val="-5"/>
          <w:w w:val="95"/>
          <w:sz w:val="20"/>
          <w:szCs w:val="20"/>
        </w:rPr>
        <w:t xml:space="preserve"> </w:t>
      </w:r>
      <w:r>
        <w:rPr>
          <w:rFonts w:cs="Times New Roman" w:ascii="Times New Roman" w:hAnsi="Times New Roman"/>
          <w:color w:val="231F20"/>
          <w:w w:val="95"/>
          <w:sz w:val="20"/>
          <w:szCs w:val="20"/>
        </w:rPr>
        <w:t>comportamiento</w:t>
      </w:r>
      <w:r>
        <w:rPr>
          <w:rFonts w:cs="Times New Roman" w:ascii="Times New Roman" w:hAnsi="Times New Roman"/>
          <w:color w:val="231F20"/>
          <w:spacing w:val="-5"/>
          <w:w w:val="95"/>
          <w:sz w:val="20"/>
          <w:szCs w:val="20"/>
        </w:rPr>
        <w:t xml:space="preserve"> </w:t>
      </w:r>
      <w:r>
        <w:rPr>
          <w:rFonts w:cs="Times New Roman" w:ascii="Times New Roman" w:hAnsi="Times New Roman"/>
          <w:color w:val="231F20"/>
          <w:w w:val="95"/>
          <w:sz w:val="20"/>
          <w:szCs w:val="20"/>
        </w:rPr>
        <w:t>y</w:t>
      </w:r>
      <w:r>
        <w:rPr>
          <w:rFonts w:cs="Times New Roman" w:ascii="Times New Roman" w:hAnsi="Times New Roman"/>
          <w:color w:val="231F20"/>
          <w:spacing w:val="-5"/>
          <w:w w:val="95"/>
          <w:sz w:val="20"/>
          <w:szCs w:val="20"/>
        </w:rPr>
        <w:t xml:space="preserve"> </w:t>
      </w:r>
      <w:r>
        <w:rPr>
          <w:rFonts w:cs="Times New Roman" w:ascii="Times New Roman" w:hAnsi="Times New Roman"/>
          <w:color w:val="231F20"/>
          <w:w w:val="95"/>
          <w:sz w:val="20"/>
          <w:szCs w:val="20"/>
        </w:rPr>
        <w:t>los</w:t>
      </w:r>
      <w:r>
        <w:rPr>
          <w:rFonts w:cs="Times New Roman" w:ascii="Times New Roman" w:hAnsi="Times New Roman"/>
          <w:color w:val="231F20"/>
          <w:spacing w:val="-5"/>
          <w:w w:val="95"/>
          <w:sz w:val="20"/>
          <w:szCs w:val="20"/>
        </w:rPr>
        <w:t xml:space="preserve"> </w:t>
      </w:r>
      <w:r>
        <w:rPr>
          <w:rFonts w:cs="Times New Roman" w:ascii="Times New Roman" w:hAnsi="Times New Roman"/>
          <w:color w:val="231F20"/>
          <w:w w:val="95"/>
          <w:sz w:val="20"/>
          <w:szCs w:val="20"/>
        </w:rPr>
        <w:t>intereses</w:t>
      </w:r>
      <w:r>
        <w:rPr>
          <w:rFonts w:cs="Times New Roman" w:ascii="Times New Roman" w:hAnsi="Times New Roman"/>
          <w:color w:val="231F20"/>
          <w:spacing w:val="-5"/>
          <w:w w:val="95"/>
          <w:sz w:val="20"/>
          <w:szCs w:val="20"/>
        </w:rPr>
        <w:t xml:space="preserve"> </w:t>
      </w:r>
      <w:r>
        <w:rPr>
          <w:rFonts w:cs="Times New Roman" w:ascii="Times New Roman" w:hAnsi="Times New Roman"/>
          <w:color w:val="231F20"/>
          <w:spacing w:val="-3"/>
          <w:w w:val="95"/>
          <w:sz w:val="20"/>
          <w:szCs w:val="20"/>
        </w:rPr>
        <w:t>de</w:t>
      </w:r>
      <w:r>
        <w:rPr>
          <w:rFonts w:cs="Times New Roman" w:ascii="Times New Roman" w:hAnsi="Times New Roman"/>
          <w:color w:val="231F20"/>
          <w:spacing w:val="-5"/>
          <w:w w:val="95"/>
          <w:sz w:val="20"/>
          <w:szCs w:val="20"/>
        </w:rPr>
        <w:t xml:space="preserve"> </w:t>
      </w:r>
      <w:r>
        <w:rPr>
          <w:rFonts w:cs="Times New Roman" w:ascii="Times New Roman" w:hAnsi="Times New Roman"/>
          <w:color w:val="231F20"/>
          <w:w w:val="95"/>
          <w:sz w:val="20"/>
          <w:szCs w:val="20"/>
        </w:rPr>
        <w:t>consumo</w:t>
      </w:r>
      <w:r>
        <w:rPr>
          <w:rFonts w:cs="Times New Roman" w:ascii="Times New Roman" w:hAnsi="Times New Roman"/>
          <w:color w:val="231F20"/>
          <w:spacing w:val="-5"/>
          <w:w w:val="95"/>
          <w:sz w:val="20"/>
          <w:szCs w:val="20"/>
        </w:rPr>
        <w:t xml:space="preserve"> </w:t>
      </w:r>
      <w:r>
        <w:rPr>
          <w:rFonts w:cs="Times New Roman" w:ascii="Times New Roman" w:hAnsi="Times New Roman"/>
          <w:color w:val="231F20"/>
          <w:spacing w:val="-3"/>
          <w:w w:val="95"/>
          <w:sz w:val="20"/>
          <w:szCs w:val="20"/>
        </w:rPr>
        <w:t>de</w:t>
      </w:r>
      <w:r>
        <w:rPr>
          <w:rFonts w:cs="Times New Roman" w:ascii="Times New Roman" w:hAnsi="Times New Roman"/>
          <w:color w:val="231F20"/>
          <w:spacing w:val="-6"/>
          <w:w w:val="95"/>
          <w:sz w:val="20"/>
          <w:szCs w:val="20"/>
        </w:rPr>
        <w:t xml:space="preserve"> </w:t>
      </w:r>
      <w:r>
        <w:rPr>
          <w:rFonts w:cs="Times New Roman" w:ascii="Times New Roman" w:hAnsi="Times New Roman"/>
          <w:color w:val="231F20"/>
          <w:w w:val="95"/>
          <w:sz w:val="20"/>
          <w:szCs w:val="20"/>
        </w:rPr>
        <w:t>las</w:t>
      </w:r>
      <w:r>
        <w:rPr>
          <w:rFonts w:cs="Times New Roman" w:ascii="Times New Roman" w:hAnsi="Times New Roman"/>
          <w:color w:val="231F20"/>
          <w:spacing w:val="-5"/>
          <w:w w:val="95"/>
          <w:sz w:val="20"/>
          <w:szCs w:val="20"/>
        </w:rPr>
        <w:t xml:space="preserve"> </w:t>
      </w:r>
      <w:r>
        <w:rPr>
          <w:rFonts w:cs="Times New Roman" w:ascii="Times New Roman" w:hAnsi="Times New Roman"/>
          <w:color w:val="231F20"/>
          <w:w w:val="95"/>
          <w:sz w:val="20"/>
          <w:szCs w:val="20"/>
        </w:rPr>
        <w:t>personas</w:t>
      </w:r>
      <w:r>
        <w:rPr>
          <w:rFonts w:cs="Times New Roman" w:ascii="Times New Roman" w:hAnsi="Times New Roman"/>
          <w:color w:val="231F20"/>
          <w:spacing w:val="-5"/>
          <w:w w:val="95"/>
          <w:sz w:val="20"/>
          <w:szCs w:val="20"/>
        </w:rPr>
        <w:t xml:space="preserve"> </w:t>
      </w:r>
      <w:r>
        <w:rPr>
          <w:rFonts w:cs="Times New Roman" w:ascii="Times New Roman" w:hAnsi="Times New Roman"/>
          <w:color w:val="231F20"/>
          <w:w w:val="95"/>
          <w:sz w:val="20"/>
          <w:szCs w:val="20"/>
        </w:rPr>
        <w:t>se</w:t>
      </w:r>
      <w:r>
        <w:rPr>
          <w:rFonts w:cs="Times New Roman" w:ascii="Times New Roman" w:hAnsi="Times New Roman"/>
          <w:color w:val="231F20"/>
          <w:spacing w:val="-5"/>
          <w:w w:val="95"/>
          <w:sz w:val="20"/>
          <w:szCs w:val="20"/>
        </w:rPr>
        <w:t xml:space="preserve"> </w:t>
      </w:r>
      <w:r>
        <w:rPr>
          <w:rFonts w:cs="Times New Roman" w:ascii="Times New Roman" w:hAnsi="Times New Roman"/>
          <w:color w:val="231F20"/>
          <w:w w:val="95"/>
          <w:sz w:val="20"/>
          <w:szCs w:val="20"/>
        </w:rPr>
        <w:t>modifi</w:t>
      </w:r>
      <w:r>
        <w:rPr>
          <w:rFonts w:cs="Times New Roman" w:ascii="Times New Roman" w:hAnsi="Times New Roman"/>
          <w:color w:val="231F20"/>
          <w:sz w:val="20"/>
          <w:szCs w:val="20"/>
        </w:rPr>
        <w:t>can</w:t>
      </w:r>
      <w:r>
        <w:rPr>
          <w:rFonts w:cs="Times New Roman" w:ascii="Times New Roman" w:hAnsi="Times New Roman"/>
          <w:color w:val="231F20"/>
          <w:spacing w:val="-12"/>
          <w:sz w:val="20"/>
          <w:szCs w:val="20"/>
        </w:rPr>
        <w:t xml:space="preserve"> </w:t>
      </w:r>
      <w:r>
        <w:rPr>
          <w:rFonts w:cs="Times New Roman" w:ascii="Times New Roman" w:hAnsi="Times New Roman"/>
          <w:color w:val="231F20"/>
          <w:sz w:val="20"/>
          <w:szCs w:val="20"/>
        </w:rPr>
        <w:t>a</w:t>
      </w:r>
      <w:r>
        <w:rPr>
          <w:rFonts w:cs="Times New Roman" w:ascii="Times New Roman" w:hAnsi="Times New Roman"/>
          <w:color w:val="231F20"/>
          <w:spacing w:val="-11"/>
          <w:sz w:val="20"/>
          <w:szCs w:val="20"/>
        </w:rPr>
        <w:t xml:space="preserve"> </w:t>
      </w:r>
      <w:r>
        <w:rPr>
          <w:rFonts w:cs="Times New Roman" w:ascii="Times New Roman" w:hAnsi="Times New Roman"/>
          <w:color w:val="231F20"/>
          <w:spacing w:val="-3"/>
          <w:sz w:val="20"/>
          <w:szCs w:val="20"/>
        </w:rPr>
        <w:t>medida</w:t>
      </w:r>
      <w:r>
        <w:rPr>
          <w:rFonts w:cs="Times New Roman" w:ascii="Times New Roman" w:hAnsi="Times New Roman"/>
          <w:color w:val="231F20"/>
          <w:spacing w:val="-11"/>
          <w:sz w:val="20"/>
          <w:szCs w:val="20"/>
        </w:rPr>
        <w:t xml:space="preserve"> </w:t>
      </w:r>
      <w:r>
        <w:rPr>
          <w:rFonts w:cs="Times New Roman" w:ascii="Times New Roman" w:hAnsi="Times New Roman"/>
          <w:color w:val="231F20"/>
          <w:spacing w:val="-3"/>
          <w:sz w:val="20"/>
          <w:szCs w:val="20"/>
        </w:rPr>
        <w:t>que</w:t>
      </w:r>
      <w:r>
        <w:rPr>
          <w:rFonts w:cs="Times New Roman" w:ascii="Times New Roman" w:hAnsi="Times New Roman"/>
          <w:color w:val="231F20"/>
          <w:spacing w:val="-11"/>
          <w:sz w:val="20"/>
          <w:szCs w:val="20"/>
        </w:rPr>
        <w:t xml:space="preserve"> </w:t>
      </w:r>
      <w:r>
        <w:rPr>
          <w:rFonts w:cs="Times New Roman" w:ascii="Times New Roman" w:hAnsi="Times New Roman"/>
          <w:color w:val="231F20"/>
          <w:spacing w:val="-3"/>
          <w:sz w:val="20"/>
          <w:szCs w:val="20"/>
        </w:rPr>
        <w:t>aprenden</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porque</w:t>
      </w:r>
      <w:r>
        <w:rPr>
          <w:rFonts w:cs="Times New Roman" w:ascii="Times New Roman" w:hAnsi="Times New Roman"/>
          <w:color w:val="231F20"/>
          <w:spacing w:val="-11"/>
          <w:sz w:val="20"/>
          <w:szCs w:val="20"/>
        </w:rPr>
        <w:t xml:space="preserve"> </w:t>
      </w:r>
      <w:r>
        <w:rPr>
          <w:rFonts w:cs="Times New Roman" w:ascii="Times New Roman" w:hAnsi="Times New Roman"/>
          <w:color w:val="231F20"/>
          <w:spacing w:val="-3"/>
          <w:sz w:val="20"/>
          <w:szCs w:val="20"/>
        </w:rPr>
        <w:t>adquieren</w:t>
      </w:r>
      <w:r>
        <w:rPr>
          <w:rFonts w:cs="Times New Roman" w:ascii="Times New Roman" w:hAnsi="Times New Roman"/>
          <w:color w:val="231F20"/>
          <w:spacing w:val="-11"/>
          <w:sz w:val="20"/>
          <w:szCs w:val="20"/>
        </w:rPr>
        <w:t xml:space="preserve"> </w:t>
      </w:r>
      <w:r>
        <w:rPr>
          <w:rFonts w:cs="Times New Roman" w:ascii="Times New Roman" w:hAnsi="Times New Roman"/>
          <w:color w:val="231F20"/>
          <w:sz w:val="20"/>
          <w:szCs w:val="20"/>
        </w:rPr>
        <w:t>experiencia, y por las iii) c</w:t>
      </w:r>
      <w:r>
        <w:rPr>
          <w:rFonts w:cs="Times New Roman" w:ascii="Times New Roman" w:hAnsi="Times New Roman"/>
          <w:color w:val="231F20"/>
          <w:w w:val="95"/>
          <w:sz w:val="20"/>
          <w:szCs w:val="20"/>
        </w:rPr>
        <w:t>onvicciones</w:t>
      </w:r>
      <w:r>
        <w:rPr>
          <w:rFonts w:cs="Times New Roman" w:ascii="Times New Roman" w:hAnsi="Times New Roman"/>
          <w:color w:val="231F20"/>
          <w:spacing w:val="-28"/>
          <w:w w:val="95"/>
          <w:sz w:val="20"/>
          <w:szCs w:val="20"/>
        </w:rPr>
        <w:t xml:space="preserve"> </w:t>
      </w:r>
      <w:r>
        <w:rPr>
          <w:rFonts w:cs="Times New Roman" w:ascii="Times New Roman" w:hAnsi="Times New Roman"/>
          <w:color w:val="231F20"/>
          <w:w w:val="95"/>
          <w:sz w:val="20"/>
          <w:szCs w:val="20"/>
        </w:rPr>
        <w:t>y</w:t>
      </w:r>
      <w:r>
        <w:rPr>
          <w:rFonts w:cs="Times New Roman" w:ascii="Times New Roman" w:hAnsi="Times New Roman"/>
          <w:color w:val="231F20"/>
          <w:spacing w:val="-28"/>
          <w:w w:val="95"/>
          <w:sz w:val="20"/>
          <w:szCs w:val="20"/>
        </w:rPr>
        <w:t xml:space="preserve"> </w:t>
      </w:r>
      <w:r>
        <w:rPr>
          <w:rFonts w:cs="Times New Roman" w:ascii="Times New Roman" w:hAnsi="Times New Roman"/>
          <w:color w:val="231F20"/>
          <w:w w:val="95"/>
          <w:sz w:val="20"/>
          <w:szCs w:val="20"/>
        </w:rPr>
        <w:t>actitudes.</w:t>
      </w:r>
      <w:r>
        <w:rPr>
          <w:rFonts w:cs="Times New Roman" w:ascii="Times New Roman" w:hAnsi="Times New Roman"/>
          <w:color w:val="231F20"/>
          <w:spacing w:val="-27"/>
          <w:w w:val="95"/>
          <w:sz w:val="20"/>
          <w:szCs w:val="20"/>
        </w:rPr>
        <w:t xml:space="preserve"> </w:t>
      </w:r>
      <w:r>
        <w:rPr>
          <w:rFonts w:cs="Times New Roman" w:ascii="Times New Roman" w:hAnsi="Times New Roman"/>
          <w:color w:val="231F20"/>
          <w:w w:val="95"/>
          <w:sz w:val="20"/>
          <w:szCs w:val="20"/>
        </w:rPr>
        <w:t>Con</w:t>
      </w:r>
      <w:r>
        <w:rPr>
          <w:rFonts w:cs="Times New Roman" w:ascii="Times New Roman" w:hAnsi="Times New Roman"/>
          <w:color w:val="231F20"/>
          <w:spacing w:val="-20"/>
          <w:w w:val="95"/>
          <w:sz w:val="20"/>
          <w:szCs w:val="20"/>
        </w:rPr>
        <w:t xml:space="preserve"> </w:t>
      </w:r>
      <w:r>
        <w:rPr>
          <w:rFonts w:cs="Times New Roman" w:ascii="Times New Roman" w:hAnsi="Times New Roman"/>
          <w:color w:val="231F20"/>
          <w:w w:val="95"/>
          <w:sz w:val="20"/>
          <w:szCs w:val="20"/>
        </w:rPr>
        <w:t>el</w:t>
      </w:r>
      <w:r>
        <w:rPr>
          <w:rFonts w:cs="Times New Roman" w:ascii="Times New Roman" w:hAnsi="Times New Roman"/>
          <w:color w:val="231F20"/>
          <w:spacing w:val="-20"/>
          <w:w w:val="95"/>
          <w:sz w:val="20"/>
          <w:szCs w:val="20"/>
        </w:rPr>
        <w:t xml:space="preserve"> </w:t>
      </w:r>
      <w:r>
        <w:rPr>
          <w:rFonts w:cs="Times New Roman" w:ascii="Times New Roman" w:hAnsi="Times New Roman"/>
          <w:color w:val="231F20"/>
          <w:spacing w:val="-3"/>
          <w:w w:val="95"/>
          <w:sz w:val="20"/>
          <w:szCs w:val="20"/>
        </w:rPr>
        <w:t>aprendizaje</w:t>
      </w:r>
      <w:r>
        <w:rPr>
          <w:rFonts w:cs="Times New Roman" w:ascii="Times New Roman" w:hAnsi="Times New Roman"/>
          <w:color w:val="231F20"/>
          <w:spacing w:val="-20"/>
          <w:w w:val="95"/>
          <w:sz w:val="20"/>
          <w:szCs w:val="20"/>
        </w:rPr>
        <w:t xml:space="preserve"> </w:t>
      </w:r>
      <w:r>
        <w:rPr>
          <w:rFonts w:cs="Times New Roman" w:ascii="Times New Roman" w:hAnsi="Times New Roman"/>
          <w:color w:val="231F20"/>
          <w:w w:val="95"/>
          <w:sz w:val="20"/>
          <w:szCs w:val="20"/>
        </w:rPr>
        <w:t>los</w:t>
      </w:r>
      <w:r>
        <w:rPr>
          <w:rFonts w:cs="Times New Roman" w:ascii="Times New Roman" w:hAnsi="Times New Roman"/>
          <w:color w:val="231F20"/>
          <w:spacing w:val="-20"/>
          <w:w w:val="95"/>
          <w:sz w:val="20"/>
          <w:szCs w:val="20"/>
        </w:rPr>
        <w:t xml:space="preserve"> </w:t>
      </w:r>
      <w:r>
        <w:rPr>
          <w:rFonts w:cs="Times New Roman" w:ascii="Times New Roman" w:hAnsi="Times New Roman"/>
          <w:color w:val="231F20"/>
          <w:w w:val="95"/>
          <w:sz w:val="20"/>
          <w:szCs w:val="20"/>
        </w:rPr>
        <w:t>individuos</w:t>
      </w:r>
      <w:r>
        <w:rPr>
          <w:rFonts w:cs="Times New Roman" w:ascii="Times New Roman" w:hAnsi="Times New Roman"/>
          <w:color w:val="231F20"/>
          <w:spacing w:val="-20"/>
          <w:w w:val="95"/>
          <w:sz w:val="20"/>
          <w:szCs w:val="20"/>
        </w:rPr>
        <w:t xml:space="preserve"> </w:t>
      </w:r>
      <w:r>
        <w:rPr>
          <w:rFonts w:cs="Times New Roman" w:ascii="Times New Roman" w:hAnsi="Times New Roman"/>
          <w:color w:val="231F20"/>
          <w:w w:val="95"/>
          <w:sz w:val="20"/>
          <w:szCs w:val="20"/>
        </w:rPr>
        <w:t>adoptan</w:t>
      </w:r>
      <w:r>
        <w:rPr>
          <w:rFonts w:cs="Times New Roman" w:ascii="Times New Roman" w:hAnsi="Times New Roman"/>
          <w:color w:val="231F20"/>
          <w:spacing w:val="-20"/>
          <w:w w:val="95"/>
          <w:sz w:val="20"/>
          <w:szCs w:val="20"/>
        </w:rPr>
        <w:t xml:space="preserve"> </w:t>
      </w:r>
      <w:r>
        <w:rPr>
          <w:rFonts w:cs="Times New Roman" w:ascii="Times New Roman" w:hAnsi="Times New Roman"/>
          <w:color w:val="231F20"/>
          <w:w w:val="95"/>
          <w:sz w:val="20"/>
          <w:szCs w:val="20"/>
        </w:rPr>
        <w:t>nuevas</w:t>
      </w:r>
      <w:r>
        <w:rPr>
          <w:rFonts w:cs="Times New Roman" w:ascii="Times New Roman" w:hAnsi="Times New Roman"/>
          <w:color w:val="231F20"/>
          <w:spacing w:val="-20"/>
          <w:w w:val="95"/>
          <w:sz w:val="20"/>
          <w:szCs w:val="20"/>
        </w:rPr>
        <w:t xml:space="preserve"> </w:t>
      </w:r>
      <w:r>
        <w:rPr>
          <w:rFonts w:cs="Times New Roman" w:ascii="Times New Roman" w:hAnsi="Times New Roman"/>
          <w:color w:val="231F20"/>
          <w:w w:val="95"/>
          <w:sz w:val="20"/>
          <w:szCs w:val="20"/>
        </w:rPr>
        <w:t>creencias</w:t>
      </w:r>
      <w:r>
        <w:rPr>
          <w:rFonts w:cs="Times New Roman" w:ascii="Times New Roman" w:hAnsi="Times New Roman"/>
          <w:color w:val="231F20"/>
          <w:spacing w:val="-20"/>
          <w:w w:val="95"/>
          <w:sz w:val="20"/>
          <w:szCs w:val="20"/>
        </w:rPr>
        <w:t xml:space="preserve"> </w:t>
      </w:r>
      <w:r>
        <w:rPr>
          <w:rFonts w:cs="Times New Roman" w:ascii="Times New Roman" w:hAnsi="Times New Roman"/>
          <w:color w:val="231F20"/>
          <w:w w:val="95"/>
          <w:sz w:val="20"/>
          <w:szCs w:val="20"/>
        </w:rPr>
        <w:t xml:space="preserve">y </w:t>
      </w:r>
      <w:r>
        <w:rPr>
          <w:rFonts w:cs="Times New Roman" w:ascii="Times New Roman" w:hAnsi="Times New Roman"/>
          <w:color w:val="231F20"/>
          <w:sz w:val="20"/>
          <w:szCs w:val="20"/>
        </w:rPr>
        <w:t>comportamientos</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respecto</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al</w:t>
      </w:r>
      <w:r>
        <w:rPr>
          <w:rFonts w:cs="Times New Roman" w:ascii="Times New Roman" w:hAnsi="Times New Roman"/>
          <w:color w:val="231F20"/>
          <w:spacing w:val="-10"/>
          <w:sz w:val="20"/>
          <w:szCs w:val="20"/>
        </w:rPr>
        <w:t xml:space="preserve"> </w:t>
      </w:r>
      <w:r>
        <w:rPr>
          <w:rFonts w:cs="Times New Roman" w:ascii="Times New Roman" w:hAnsi="Times New Roman"/>
          <w:color w:val="231F20"/>
          <w:sz w:val="20"/>
          <w:szCs w:val="20"/>
        </w:rPr>
        <w:t>hecho</w:t>
      </w:r>
      <w:r>
        <w:rPr>
          <w:rFonts w:cs="Times New Roman" w:ascii="Times New Roman" w:hAnsi="Times New Roman"/>
          <w:color w:val="231F20"/>
          <w:spacing w:val="-10"/>
          <w:sz w:val="20"/>
          <w:szCs w:val="20"/>
        </w:rPr>
        <w:t xml:space="preserve"> </w:t>
      </w:r>
      <w:r>
        <w:rPr>
          <w:rFonts w:cs="Times New Roman" w:ascii="Times New Roman" w:hAnsi="Times New Roman"/>
          <w:color w:val="231F20"/>
          <w:spacing w:val="-3"/>
          <w:sz w:val="20"/>
          <w:szCs w:val="20"/>
        </w:rPr>
        <w:t>de</w:t>
      </w:r>
      <w:r>
        <w:rPr>
          <w:rFonts w:cs="Times New Roman" w:ascii="Times New Roman" w:hAnsi="Times New Roman"/>
          <w:color w:val="231F20"/>
          <w:spacing w:val="-10"/>
          <w:sz w:val="20"/>
          <w:szCs w:val="20"/>
        </w:rPr>
        <w:t xml:space="preserve"> </w:t>
      </w:r>
      <w:r>
        <w:rPr>
          <w:rFonts w:cs="Times New Roman" w:ascii="Times New Roman" w:hAnsi="Times New Roman"/>
          <w:color w:val="231F20"/>
          <w:spacing w:val="-3"/>
          <w:sz w:val="20"/>
          <w:szCs w:val="20"/>
        </w:rPr>
        <w:t>comprar.</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Para Schiffman y Lazar (2010) el proceso de toma de decisión del consumidor se visualiza en tres fases distintas, aunque entrelazadas: las fases de entrada, de proceso y de salida. Tales etapas se representan en el modelo de toma de decisiones del consumidor de la </w:t>
      </w:r>
      <w:r>
        <w:rPr>
          <w:rFonts w:cs="Times New Roman" w:ascii="Times New Roman" w:hAnsi="Times New Roman"/>
          <w:sz w:val="20"/>
          <w:szCs w:val="20"/>
        </w:rPr>
        <w:t>F</w:t>
      </w:r>
      <w:r>
        <w:rPr>
          <w:rFonts w:cs="Times New Roman" w:ascii="Times New Roman" w:hAnsi="Times New Roman"/>
          <w:sz w:val="20"/>
          <w:szCs w:val="20"/>
        </w:rPr>
        <w:t>igura 1.</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center"/>
        <w:rPr>
          <w:rFonts w:ascii="Times New Roman" w:hAnsi="Times New Roman"/>
          <w:sz w:val="20"/>
          <w:szCs w:val="20"/>
        </w:rPr>
      </w:pPr>
      <w:r>
        <w:rPr>
          <w:rFonts w:ascii="Times New Roman" w:hAnsi="Times New Roman"/>
          <w:sz w:val="20"/>
          <w:szCs w:val="20"/>
        </w:rPr>
        <w:drawing>
          <wp:inline distT="0" distB="8255" distL="0" distR="0">
            <wp:extent cx="3065145" cy="3200400"/>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8"/>
                    <a:stretch>
                      <a:fillRect/>
                    </a:stretch>
                  </pic:blipFill>
                  <pic:spPr bwMode="auto">
                    <a:xfrm>
                      <a:off x="0" y="0"/>
                      <a:ext cx="3065145" cy="3200400"/>
                    </a:xfrm>
                    <a:prstGeom prst="rect">
                      <a:avLst/>
                    </a:prstGeom>
                  </pic:spPr>
                </pic:pic>
              </a:graphicData>
            </a:graphic>
          </wp:inline>
        </w:drawing>
      </w:r>
    </w:p>
    <w:p>
      <w:pPr>
        <w:pStyle w:val="Normal"/>
        <w:bidi w:val="0"/>
        <w:spacing w:lineRule="auto" w:line="240" w:before="0" w:after="0"/>
        <w:jc w:val="center"/>
        <w:rPr>
          <w:rFonts w:ascii="Times New Roman" w:hAnsi="Times New Roman"/>
          <w:i/>
          <w:i/>
          <w:iCs/>
          <w:sz w:val="20"/>
          <w:szCs w:val="20"/>
        </w:rPr>
      </w:pPr>
      <w:r>
        <w:rPr>
          <w:rFonts w:cs="Times New Roman" w:ascii="Times New Roman" w:hAnsi="Times New Roman"/>
          <w:i/>
          <w:iCs/>
          <w:sz w:val="20"/>
          <w:szCs w:val="20"/>
        </w:rPr>
        <w:t>Figura 1. Modelo de toma de decisiones del consumidor. Fuente: Schiffman y Lazar (2010).</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La fase de entrada influye en el consumidor para que reconozca que tiene la necesidad de un producto, y consiste en dos fuentes de información principales: las campañas de marketing de la empresa (el producto mismo, su precio, su promoción y el lugar donde se vende) y las influencias sociológicas externas sobre el consumidor (familia, amigos, vecinos, otras fuentes informales y no comerciales, clase social y pertenencia a grupos culturales y subculturales).  La fase de proceso del modelo se centra en la forma en que los consumidores toman decisiones. Y </w:t>
      </w:r>
      <w:r>
        <w:rPr>
          <w:rFonts w:cs="Times New Roman" w:ascii="Times New Roman" w:hAnsi="Times New Roman"/>
          <w:sz w:val="20"/>
          <w:szCs w:val="20"/>
        </w:rPr>
        <w:t>l</w:t>
      </w:r>
      <w:r>
        <w:rPr>
          <w:rFonts w:cs="Times New Roman" w:ascii="Times New Roman" w:hAnsi="Times New Roman"/>
          <w:sz w:val="20"/>
          <w:szCs w:val="20"/>
        </w:rPr>
        <w:t xml:space="preserve">a fase de salida en el modelo de toma de decisiones del consumidor se compone de dos actividades, después de la decisión, estrechamente relacionadas: el comportamiento de compra y la evaluación posterior a la compra. La prueba es la fase exploratoria del comportamiento de compra, en la cual el consumidor evalúa el producto al usarlo en forma directa. Una compra repetida normalmente significa la adopción del producto. </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i/>
          <w:iCs/>
          <w:sz w:val="20"/>
          <w:szCs w:val="20"/>
        </w:rPr>
        <w:t xml:space="preserve">B. </w:t>
      </w:r>
      <w:r>
        <w:rPr>
          <w:rFonts w:cs="Times New Roman" w:ascii="Times New Roman" w:hAnsi="Times New Roman"/>
          <w:i/>
          <w:iCs/>
          <w:sz w:val="20"/>
          <w:szCs w:val="20"/>
        </w:rPr>
        <w:t>Variables medidas identificadas</w:t>
      </w:r>
    </w:p>
    <w:p>
      <w:pPr>
        <w:pStyle w:val="ListBullet"/>
        <w:numPr>
          <w:ilvl w:val="0"/>
          <w:numId w:val="0"/>
        </w:numPr>
        <w:bidi w:val="0"/>
        <w:spacing w:lineRule="auto" w:line="240" w:before="0" w:after="0"/>
        <w:jc w:val="both"/>
        <w:rPr>
          <w:rFonts w:ascii="Times New Roman" w:hAnsi="Times New Roman" w:cs="Times New Roman"/>
          <w:sz w:val="20"/>
          <w:szCs w:val="20"/>
          <w:lang w:eastAsia="es-MX"/>
        </w:rPr>
      </w:pPr>
      <w:r>
        <w:rPr>
          <w:rFonts w:cs="Times New Roman" w:ascii="Times New Roman" w:hAnsi="Times New Roman"/>
          <w:sz w:val="20"/>
          <w:szCs w:val="20"/>
        </w:rPr>
        <w:t>En el entonces Distrito Federal, Montes de Oca (citado por Gonzalez, Aguirre y Lartigue, 2016) estimó la disposición a un mayor pago por el servicio de agua entubada y encontró una relación significativa entre nivel de ingreso, consumo de agua y disposición a un aumento de pago por el servicio. El grupo de menor ingreso y con menos consumo manifestó su disposición a pagar un poco más del triple de su pago actual; el de ingreso y consumo medios, cerca de cuatro veces su pago actual; y el de mayor ingreso y consumo señaló estar dispuesto a pagar un poco más de cinco veces de lo que gasta en la actualidad.</w:t>
      </w:r>
      <w:r>
        <w:rPr>
          <w:rFonts w:cs="Times New Roman" w:ascii="Times New Roman" w:hAnsi="Times New Roman"/>
          <w:sz w:val="20"/>
          <w:szCs w:val="20"/>
          <w:lang w:eastAsia="es-MX"/>
        </w:rPr>
        <w:t xml:space="preserve"> </w:t>
      </w:r>
    </w:p>
    <w:p>
      <w:pPr>
        <w:pStyle w:val="Normal"/>
        <w:bidi w:val="0"/>
        <w:spacing w:lineRule="auto" w:line="240" w:before="0" w:after="0"/>
        <w:jc w:val="both"/>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Normal"/>
        <w:bidi w:val="0"/>
        <w:spacing w:lineRule="auto" w:line="240" w:before="0" w:after="0"/>
        <w:jc w:val="both"/>
        <w:rPr>
          <w:rFonts w:ascii="Times New Roman" w:hAnsi="Times New Roman" w:cs="Times New Roman"/>
          <w:color w:val="000000"/>
          <w:sz w:val="20"/>
          <w:szCs w:val="20"/>
          <w:highlight w:val="white"/>
        </w:rPr>
      </w:pPr>
      <w:r>
        <w:rPr>
          <w:rFonts w:cs="Times New Roman" w:ascii="Times New Roman" w:hAnsi="Times New Roman"/>
          <w:color w:val="000000"/>
          <w:sz w:val="20"/>
          <w:szCs w:val="20"/>
          <w:shd w:fill="FFFFFF" w:val="clear"/>
        </w:rPr>
        <w:t>Aguilar y Saphores (2008) encontraron que, en Nuevo Laredo, Tamaulipas los motivos de la morosidad en los pagos de agua son: 1) Los usuarios son prevenidos sobre una posible desconexión un mes después de la fecha de pago de su factura, si se toma en cuenta que el proceso de facturación tarda alrededor de un mes, entonces la advertencia de corte de servicio se recibe dos meses después del uso de los servicios. 2) Existe una alta posibilidad de que un usuario moroso obtenga hasta el 100% de descuento de los recargos durante las campañas de promoción de pago. 3) Parece razonable pensar que el corto periodo para pagar, las limitadas opciones de lugares para realizar el pago y los inconvenientes asociados con éste influyen de forma negativa en la tasa de pago de los servicios de agua en Nuevo Laredo. Y 4) Algunos hogares perciben que no reciben una facturación justa.</w:t>
      </w:r>
    </w:p>
    <w:p>
      <w:pPr>
        <w:pStyle w:val="Normal"/>
        <w:bidi w:val="0"/>
        <w:spacing w:lineRule="auto" w:line="240" w:before="0" w:after="0"/>
        <w:jc w:val="both"/>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color w:val="000000"/>
          <w:sz w:val="20"/>
          <w:szCs w:val="20"/>
          <w:shd w:fill="FFFFFF" w:val="clear"/>
        </w:rPr>
        <w:t xml:space="preserve">Por su parte Gonzalez, Leal y Díaz (2016) estudiaron mediante un modelo de regresión las variables independientes; sexo, edad, número de integrantes, si conocen el monto del recibo de agua, ingreso y ocupación de los hogares de la ciudad de Aguas calientes. Contrastando estas variables con la variable dependiente Disposición a pagar el agua (DAP) para mejorar el servicio. Los resultados de la regresión muestran que casi todos los parámetros estimados resultaron estadísticamente significativos a un nivel del 5 por ciento, con excepción de la variable recibo de agua. Sin embargo, al aplicar la prueba de razón de verosimilitud, para comprobar la significancia global, resulta que todos los coeficientes estimados de manera conjunta son significativos. </w:t>
      </w:r>
    </w:p>
    <w:p>
      <w:pPr>
        <w:pStyle w:val="Normal"/>
        <w:bidi w:val="0"/>
        <w:spacing w:lineRule="auto" w:line="240" w:before="0" w:after="0"/>
        <w:jc w:val="both"/>
        <w:rPr>
          <w:rFonts w:cs="Times New Roman"/>
          <w:color w:val="000000"/>
          <w:highlight w:val="white"/>
        </w:rPr>
      </w:pPr>
      <w:r>
        <w:rPr>
          <w:rFonts w:ascii="Times New Roman" w:hAnsi="Times New Roman"/>
          <w:sz w:val="20"/>
          <w:szCs w:val="20"/>
        </w:rPr>
      </w:r>
    </w:p>
    <w:p>
      <w:pPr>
        <w:pStyle w:val="Normal"/>
        <w:bidi w:val="0"/>
        <w:spacing w:lineRule="auto" w:line="240" w:before="0" w:after="0"/>
        <w:jc w:val="both"/>
        <w:rPr>
          <w:rFonts w:ascii="Times New Roman" w:hAnsi="Times New Roman" w:cs="Times New Roman"/>
          <w:color w:val="000000"/>
          <w:sz w:val="20"/>
          <w:szCs w:val="20"/>
          <w:highlight w:val="white"/>
        </w:rPr>
      </w:pPr>
      <w:r>
        <w:rPr>
          <w:rFonts w:cs="Times New Roman" w:ascii="Times New Roman" w:hAnsi="Times New Roman"/>
          <w:color w:val="000000"/>
          <w:sz w:val="20"/>
          <w:szCs w:val="20"/>
          <w:shd w:fill="FFFFFF" w:val="clear"/>
        </w:rPr>
        <w:t>Las conclusiones a las que llegaron indican que para los habitantes de la ciudad el monto a pagar por un mejor servicio del agua expresa la valoración social y económica de este vital recurso, sobre todo por parte de las mujeres, la proporción de familias que respondieron con un sí en su DAP es mayor en el rango de ingresos bajos y los jóvenes tienen una mayor DAP que las personas maduras.</w:t>
      </w:r>
    </w:p>
    <w:p>
      <w:pPr>
        <w:pStyle w:val="Normal"/>
        <w:bidi w:val="0"/>
        <w:spacing w:lineRule="auto" w:line="240" w:before="0" w:after="0"/>
        <w:jc w:val="both"/>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ListBullet"/>
        <w:numPr>
          <w:ilvl w:val="0"/>
          <w:numId w:val="0"/>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lang w:eastAsia="es-MX"/>
        </w:rPr>
        <w:t xml:space="preserve">En el estudio, </w:t>
      </w:r>
      <w:r>
        <w:rPr>
          <w:rFonts w:cs="Times New Roman" w:ascii="Times New Roman" w:hAnsi="Times New Roman"/>
          <w:sz w:val="20"/>
          <w:szCs w:val="20"/>
        </w:rPr>
        <w:t>Percepciones, actitudes y conductas respecto al servicio de agua potable en la Ciudad de México,</w:t>
      </w:r>
      <w:r>
        <w:rPr>
          <w:rFonts w:cs="Times New Roman" w:ascii="Times New Roman" w:hAnsi="Times New Roman"/>
          <w:sz w:val="20"/>
          <w:szCs w:val="20"/>
          <w:lang w:eastAsia="es-MX"/>
        </w:rPr>
        <w:t xml:space="preserve"> realizado por </w:t>
      </w:r>
      <w:r>
        <w:rPr>
          <w:rFonts w:cs="Times New Roman" w:ascii="Times New Roman" w:hAnsi="Times New Roman"/>
          <w:sz w:val="20"/>
          <w:szCs w:val="20"/>
        </w:rPr>
        <w:t>Gonzalez, Aguirre y Lartigue (2016) se menciona con relación al pago puntual de los sujetos entrevistados que: tres cuartas partes de ellos afirman pagar su recibo a tiempo y del restante las causas principales para no hacerlo es la falta de dinero, seguida por la falta de tiempo. De las personas morosas, 73% señaló que pagarían a tiempo si existiera un incentivo económico por dicha conducta.</w:t>
      </w:r>
    </w:p>
    <w:p>
      <w:pPr>
        <w:pStyle w:val="ListBullet"/>
        <w:numPr>
          <w:ilvl w:val="0"/>
          <w:numId w:val="0"/>
        </w:numPr>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ListBullet"/>
        <w:numPr>
          <w:ilvl w:val="0"/>
          <w:numId w:val="0"/>
        </w:numPr>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A principios de año 2020 se realizó una entrevista al personal a cargo del Smapap el organismo que administra el servicio de agua en Progreso, Yucatán. Para ese entonces la institución comentó que tenían altos índices de rezago de pagos entre usuarios de sus servicios, lo que los llevó a implementar algunas medidas para motivar el pago de estos adeudos.  </w:t>
      </w:r>
    </w:p>
    <w:p>
      <w:pPr>
        <w:pStyle w:val="ListBullet"/>
        <w:numPr>
          <w:ilvl w:val="0"/>
          <w:numId w:val="0"/>
        </w:numPr>
        <w:bidi w:val="0"/>
        <w:spacing w:lineRule="auto" w:line="240" w:before="0" w:after="0"/>
        <w:jc w:val="both"/>
        <w:rPr>
          <w:rFonts w:cs="Times New Roman"/>
        </w:rPr>
      </w:pPr>
      <w:r>
        <w:rPr>
          <w:rFonts w:ascii="Times New Roman" w:hAnsi="Times New Roman"/>
          <w:sz w:val="20"/>
          <w:szCs w:val="20"/>
        </w:rPr>
      </w:r>
    </w:p>
    <w:p>
      <w:pPr>
        <w:pStyle w:val="ListBullet"/>
        <w:numPr>
          <w:ilvl w:val="0"/>
          <w:numId w:val="0"/>
        </w:numPr>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La acción que resultó ser la más efectiva a corto plazo fue una campaña de descuento de los recargos a los que se habían hecho acreedores los usuarios morosos. A pesar de esta inicial buena respuesta, al avanzar en el tiempo los comportamientos de falta de pago se hacían presentes de nuevo. Con base en los resultados de las investigaciones previas presentadas en este apartado se identificaron en la </w:t>
      </w:r>
      <w:r>
        <w:rPr>
          <w:rFonts w:cs="Times New Roman" w:ascii="Times New Roman" w:hAnsi="Times New Roman"/>
          <w:sz w:val="20"/>
          <w:szCs w:val="20"/>
        </w:rPr>
        <w:t>T</w:t>
      </w:r>
      <w:r>
        <w:rPr>
          <w:rFonts w:cs="Times New Roman" w:ascii="Times New Roman" w:hAnsi="Times New Roman"/>
          <w:sz w:val="20"/>
          <w:szCs w:val="20"/>
        </w:rPr>
        <w:t>abla 1, aquellas variables que han resultado de estos estudios.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center"/>
        <w:rPr>
          <w:rFonts w:ascii="Times New Roman" w:hAnsi="Times New Roman"/>
          <w:b/>
          <w:b/>
          <w:bCs/>
          <w:sz w:val="20"/>
          <w:szCs w:val="20"/>
        </w:rPr>
      </w:pPr>
      <w:r>
        <w:rPr>
          <w:rFonts w:cs="Times New Roman" w:ascii="Times New Roman" w:hAnsi="Times New Roman"/>
          <w:b/>
          <w:bCs/>
          <w:sz w:val="20"/>
          <w:szCs w:val="20"/>
        </w:rPr>
        <w:t xml:space="preserve">Tabla 1. </w:t>
      </w:r>
      <w:r>
        <w:rPr>
          <w:rFonts w:eastAsia="Times New Roman" w:cs="Times New Roman" w:ascii="Times New Roman" w:hAnsi="Times New Roman"/>
          <w:b/>
          <w:bCs/>
          <w:color w:val="000000"/>
          <w:sz w:val="20"/>
          <w:szCs w:val="20"/>
        </w:rPr>
        <w:t xml:space="preserve">Variables que afectan la disposición a pagar. Fuente: elaboración propia con datos de </w:t>
      </w:r>
      <w:r>
        <w:rPr>
          <w:rFonts w:cs="Times New Roman" w:ascii="Times New Roman" w:hAnsi="Times New Roman"/>
          <w:b/>
          <w:bCs/>
          <w:sz w:val="20"/>
          <w:szCs w:val="20"/>
        </w:rPr>
        <w:t xml:space="preserve">Montes de Oca (citado por Gonzalez, Aguirre y Lartigue, 2016), </w:t>
      </w:r>
      <w:r>
        <w:rPr>
          <w:rFonts w:cs="Times New Roman" w:ascii="Times New Roman" w:hAnsi="Times New Roman"/>
          <w:b/>
          <w:bCs/>
          <w:color w:val="000000"/>
          <w:sz w:val="20"/>
          <w:szCs w:val="20"/>
          <w:shd w:fill="FFFFFF" w:val="clear"/>
        </w:rPr>
        <w:t xml:space="preserve">Aguilar y Saphores (2008) Gonzalez, Leal y Díaz (2016) y </w:t>
      </w:r>
      <w:r>
        <w:rPr>
          <w:rFonts w:cs="Times New Roman" w:ascii="Times New Roman" w:hAnsi="Times New Roman"/>
          <w:b/>
          <w:bCs/>
          <w:sz w:val="20"/>
          <w:szCs w:val="20"/>
        </w:rPr>
        <w:t>Gonzalez, Aguirre y Lartigue (2016).</w:t>
      </w:r>
    </w:p>
    <w:p>
      <w:pPr>
        <w:pStyle w:val="Normal"/>
        <w:bidi w:val="0"/>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bl>
      <w:tblPr>
        <w:tblW w:w="4365"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0" w:type="dxa"/>
        </w:tblCellMar>
        <w:tblLook w:val="04a0" w:noVBand="1" w:noHBand="0" w:lastColumn="0" w:firstColumn="1" w:lastRow="0" w:firstRow="1"/>
      </w:tblPr>
      <w:tblGrid>
        <w:gridCol w:w="340"/>
        <w:gridCol w:w="2330"/>
        <w:gridCol w:w="1695"/>
      </w:tblGrid>
      <w:tr>
        <w:trPr>
          <w:trHeight w:val="290" w:hRule="atLeast"/>
        </w:trPr>
        <w:tc>
          <w:tcPr>
            <w:tcW w:w="3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eastAsia="Times New Roman" w:cs="Times New Roman"/>
                <w:color w:val="000000"/>
              </w:rPr>
            </w:pPr>
            <w:r>
              <w:rPr>
                <w:rFonts w:ascii="Times New Roman" w:hAnsi="Times New Roman"/>
                <w:b/>
                <w:bCs/>
                <w:sz w:val="16"/>
                <w:szCs w:val="16"/>
              </w:rPr>
            </w:r>
          </w:p>
        </w:tc>
        <w:tc>
          <w:tcPr>
            <w:tcW w:w="2330"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b/>
                <w:bCs/>
                <w:color w:val="000000"/>
                <w:sz w:val="16"/>
                <w:szCs w:val="16"/>
              </w:rPr>
              <w:t>Variables independientes</w:t>
            </w:r>
          </w:p>
        </w:tc>
        <w:tc>
          <w:tcPr>
            <w:tcW w:w="1695"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b/>
                <w:bCs/>
                <w:color w:val="000000"/>
                <w:sz w:val="16"/>
                <w:szCs w:val="16"/>
              </w:rPr>
              <w:t>Variable dependiente</w:t>
            </w:r>
          </w:p>
        </w:tc>
      </w:tr>
      <w:tr>
        <w:trPr>
          <w:trHeight w:val="290" w:hRule="atLeast"/>
        </w:trPr>
        <w:tc>
          <w:tcPr>
            <w:tcW w:w="34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1</w:t>
            </w:r>
          </w:p>
        </w:tc>
        <w:tc>
          <w:tcPr>
            <w:tcW w:w="233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Nivel de ingreso (3)</w:t>
            </w:r>
          </w:p>
        </w:tc>
        <w:tc>
          <w:tcPr>
            <w:tcW w:w="1695"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Disposición a pagar</w:t>
            </w:r>
          </w:p>
        </w:tc>
      </w:tr>
      <w:tr>
        <w:trPr>
          <w:trHeight w:val="290" w:hRule="atLeast"/>
        </w:trPr>
        <w:tc>
          <w:tcPr>
            <w:tcW w:w="34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2</w:t>
            </w:r>
          </w:p>
        </w:tc>
        <w:tc>
          <w:tcPr>
            <w:tcW w:w="233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Cantidad de consumo</w:t>
            </w:r>
          </w:p>
        </w:tc>
        <w:tc>
          <w:tcPr>
            <w:tcW w:w="169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bidi w:val="0"/>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90" w:hRule="atLeast"/>
        </w:trPr>
        <w:tc>
          <w:tcPr>
            <w:tcW w:w="34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3</w:t>
            </w:r>
          </w:p>
        </w:tc>
        <w:tc>
          <w:tcPr>
            <w:tcW w:w="233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Tiempo de interrupción por mora</w:t>
            </w:r>
          </w:p>
        </w:tc>
        <w:tc>
          <w:tcPr>
            <w:tcW w:w="169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bidi w:val="0"/>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90" w:hRule="atLeast"/>
        </w:trPr>
        <w:tc>
          <w:tcPr>
            <w:tcW w:w="34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4</w:t>
            </w:r>
          </w:p>
        </w:tc>
        <w:tc>
          <w:tcPr>
            <w:tcW w:w="233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Existencia de descuentos en recargos (2)</w:t>
            </w:r>
          </w:p>
        </w:tc>
        <w:tc>
          <w:tcPr>
            <w:tcW w:w="169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bidi w:val="0"/>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104" w:hRule="atLeast"/>
        </w:trPr>
        <w:tc>
          <w:tcPr>
            <w:tcW w:w="34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5</w:t>
            </w:r>
          </w:p>
        </w:tc>
        <w:tc>
          <w:tcPr>
            <w:tcW w:w="233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Limitadas opciones de pagos (2)</w:t>
            </w:r>
          </w:p>
        </w:tc>
        <w:tc>
          <w:tcPr>
            <w:tcW w:w="169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bidi w:val="0"/>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90" w:hRule="atLeast"/>
        </w:trPr>
        <w:tc>
          <w:tcPr>
            <w:tcW w:w="34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6</w:t>
            </w:r>
          </w:p>
        </w:tc>
        <w:tc>
          <w:tcPr>
            <w:tcW w:w="233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Percepción de facturación justa</w:t>
            </w:r>
          </w:p>
        </w:tc>
        <w:tc>
          <w:tcPr>
            <w:tcW w:w="169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bidi w:val="0"/>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90" w:hRule="atLeast"/>
        </w:trPr>
        <w:tc>
          <w:tcPr>
            <w:tcW w:w="34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7</w:t>
            </w:r>
          </w:p>
        </w:tc>
        <w:tc>
          <w:tcPr>
            <w:tcW w:w="233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Sexo</w:t>
            </w:r>
          </w:p>
        </w:tc>
        <w:tc>
          <w:tcPr>
            <w:tcW w:w="169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bidi w:val="0"/>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90" w:hRule="atLeast"/>
        </w:trPr>
        <w:tc>
          <w:tcPr>
            <w:tcW w:w="34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8</w:t>
            </w:r>
          </w:p>
        </w:tc>
        <w:tc>
          <w:tcPr>
            <w:tcW w:w="233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Edad</w:t>
            </w:r>
          </w:p>
        </w:tc>
        <w:tc>
          <w:tcPr>
            <w:tcW w:w="169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bidi w:val="0"/>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90" w:hRule="atLeast"/>
        </w:trPr>
        <w:tc>
          <w:tcPr>
            <w:tcW w:w="34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9</w:t>
            </w:r>
          </w:p>
        </w:tc>
        <w:tc>
          <w:tcPr>
            <w:tcW w:w="233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Número de integrantes</w:t>
            </w:r>
          </w:p>
        </w:tc>
        <w:tc>
          <w:tcPr>
            <w:tcW w:w="169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bidi w:val="0"/>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90" w:hRule="atLeast"/>
        </w:trPr>
        <w:tc>
          <w:tcPr>
            <w:tcW w:w="34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10</w:t>
            </w:r>
          </w:p>
        </w:tc>
        <w:tc>
          <w:tcPr>
            <w:tcW w:w="233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16"/>
                <w:szCs w:val="16"/>
              </w:rPr>
              <w:t>Ocupación</w:t>
            </w:r>
          </w:p>
        </w:tc>
        <w:tc>
          <w:tcPr>
            <w:tcW w:w="1695"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bidi w:val="0"/>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bl>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Además, la </w:t>
      </w:r>
      <w:r>
        <w:rPr>
          <w:rFonts w:cs="Times New Roman" w:ascii="Times New Roman" w:hAnsi="Times New Roman"/>
          <w:sz w:val="20"/>
          <w:szCs w:val="20"/>
        </w:rPr>
        <w:t>T</w:t>
      </w:r>
      <w:r>
        <w:rPr>
          <w:rFonts w:cs="Times New Roman" w:ascii="Times New Roman" w:hAnsi="Times New Roman"/>
          <w:sz w:val="20"/>
          <w:szCs w:val="20"/>
        </w:rPr>
        <w:t>abla 1 muestra el número de veces que las variables fueron mencionadas como significativas o más relevantes en la bibliografía consultada para el desarrollo de este documento.  Dentro de la variable “nivel de ingreso” se consideró la mención de “falta de dinero”. En la variable “limitadas opciones de pago” se considero la variable “falta de tiempo”.</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b/>
          <w:b/>
          <w:bCs/>
          <w:sz w:val="20"/>
          <w:szCs w:val="20"/>
        </w:rPr>
      </w:pPr>
      <w:r>
        <w:rPr>
          <w:rFonts w:eastAsia="Times New Roman" w:cs="Times New Roman" w:ascii="Times New Roman" w:hAnsi="Times New Roman"/>
          <w:b/>
          <w:bCs/>
          <w:sz w:val="20"/>
          <w:szCs w:val="20"/>
        </w:rPr>
        <w:t>IV. DISCUSIÓN</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Siguiendo la recomendación de OCDE (2016) de buscar la recuperación de los costos de inversión del servicio de agua potable, a través de una financiación sostenible y considerando la importancia</w:t>
      </w:r>
      <w:r>
        <w:rPr>
          <w:rFonts w:cs="Times New Roman" w:ascii="Times New Roman" w:hAnsi="Times New Roman"/>
          <w:color w:val="000000"/>
          <w:sz w:val="20"/>
          <w:szCs w:val="20"/>
          <w:shd w:fill="FFFFFF" w:val="clear"/>
        </w:rPr>
        <w:t xml:space="preserve"> de diseñar acciones para motivar el pago por parte de los usuarios erradicándose el </w:t>
      </w:r>
      <w:r>
        <w:rPr>
          <w:rFonts w:cs="Times New Roman" w:ascii="Times New Roman" w:hAnsi="Times New Roman"/>
          <w:sz w:val="20"/>
          <w:szCs w:val="20"/>
        </w:rPr>
        <w:t xml:space="preserve">rezago en la actualización y el cobro de tarifas (Fondo para la comunicación y educación ambiental, A.C., 2017), buscáremos encausar esta discusión desde el comportamiento del consumidor. </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 xml:space="preserve">El modelo de toma de decisiones de Schiffman y Lazar (2010) inicia con el producto, en este caso el servicio de agua potable es un servicio. </w:t>
      </w:r>
      <w:r>
        <w:rPr>
          <w:rFonts w:cs="Times New Roman" w:ascii="Times New Roman" w:hAnsi="Times New Roman"/>
          <w:color w:val="000000"/>
          <w:sz w:val="20"/>
          <w:szCs w:val="20"/>
        </w:rPr>
        <w:t>Los servicios de agua potable y saneamiento se toman como un ejemplo típico de monopolio natural, dado que la competencia es técnicamente imposible, pues implicaría la superposición de redes de agua y alcantarillado en una ciudad. Por otro lado, se suele identificar a los servicios del agua como un “bien público”. un bien público debe cumplir con dos condiciones necesarias: la no exclusividad y la no rivalidad. Sin embargo, el uso de servicios de agua potable y saneamiento por un usuario sí disminuye la disponibilidad del servicio para otros usuarios (por ejemplo, para nuevas viviendas). También es posible excluir a usuarios de los beneficios de los servicios del agua simplemente mediante la no conexión a las redes de distribución de agua potable o al sistema de recolección de aguas residuales. Por lo tanto, desde la perspectiva de la teoría económica, los servicios del agua no se consideran un bien público. (Aguilar y Monforte, 2018)</w:t>
      </w:r>
      <w:r>
        <w:rPr>
          <w:rFonts w:cs="Times New Roman" w:ascii="Times New Roman" w:hAnsi="Times New Roman"/>
          <w:color w:val="000000"/>
          <w:sz w:val="20"/>
          <w:szCs w:val="20"/>
        </w:rPr>
        <w:t>.</w:t>
      </w:r>
    </w:p>
    <w:p>
      <w:pPr>
        <w:pStyle w:val="Normal"/>
        <w:bidi w:val="0"/>
        <w:spacing w:lineRule="auto" w:line="240" w:before="0" w:after="0"/>
        <w:jc w:val="both"/>
        <w:rPr>
          <w:rFonts w:ascii="Times New Roman" w:hAnsi="Times New Roman" w:cs="Times New Roman"/>
          <w:color w:val="000000"/>
        </w:rPr>
      </w:pPr>
      <w:r>
        <w:rPr>
          <w:rFonts w:ascii="Times New Roman" w:hAnsi="Times New Roman"/>
          <w:sz w:val="20"/>
          <w:szCs w:val="20"/>
        </w:rPr>
      </w:r>
    </w:p>
    <w:p>
      <w:pPr>
        <w:pStyle w:val="NormalWeb"/>
        <w:shd w:val="clear" w:color="auto" w:fill="FFFFFF"/>
        <w:bidi w:val="0"/>
        <w:spacing w:lineRule="auto" w:line="240" w:before="0" w:after="0"/>
        <w:jc w:val="both"/>
        <w:rPr>
          <w:rFonts w:ascii="Times New Roman" w:hAnsi="Times New Roman"/>
          <w:sz w:val="20"/>
          <w:szCs w:val="20"/>
        </w:rPr>
      </w:pPr>
      <w:r>
        <w:rPr>
          <w:rFonts w:ascii="Times New Roman" w:hAnsi="Times New Roman"/>
          <w:color w:val="000000"/>
          <w:sz w:val="20"/>
          <w:szCs w:val="20"/>
        </w:rPr>
        <w:t xml:space="preserve">Continuando con este análisis ya que el agua potable no es un bien común y si un servicio demandado, es importante tomar en cuenta que para que un servicio ingrese al mercado es necesario que represente una necesidad deseable por un mercado que esté dispuesto a pagar por él. </w:t>
      </w:r>
      <w:r>
        <w:rPr>
          <w:rFonts w:ascii="Times New Roman" w:hAnsi="Times New Roman"/>
          <w:sz w:val="20"/>
          <w:szCs w:val="20"/>
        </w:rPr>
        <w:t xml:space="preserve">Abraham Maslow trató de explicar por qué las personas son impulsadas por necesidades particulares en momentos determinados. </w:t>
      </w:r>
      <w:r>
        <w:rPr>
          <w:rFonts w:ascii="Times New Roman" w:hAnsi="Times New Roman"/>
          <w:color w:val="000000"/>
          <w:sz w:val="20"/>
          <w:szCs w:val="20"/>
        </w:rPr>
        <w:t>Dentro la jerarquía de las necesidades se i</w:t>
      </w:r>
      <w:r>
        <w:rPr>
          <w:rFonts w:ascii="Times New Roman" w:hAnsi="Times New Roman"/>
          <w:sz w:val="20"/>
          <w:szCs w:val="20"/>
        </w:rPr>
        <w:t xml:space="preserve">ncluyen las necesidades fisiológicas, necesidades de seguridad, las necesidades sociales, las necesidades de estima y las necesidades de autorrealización. Siendo la primera las más apremiante. (Kotler y Amrstrong, 2013). </w:t>
      </w:r>
    </w:p>
    <w:p>
      <w:pPr>
        <w:pStyle w:val="NormalWeb"/>
        <w:shd w:val="clear" w:color="auto" w:fill="FFFFFF"/>
        <w:bidi w:val="0"/>
        <w:spacing w:lineRule="auto" w:line="240" w:before="0" w:after="0"/>
        <w:jc w:val="both"/>
        <w:rPr>
          <w:sz w:val="20"/>
          <w:szCs w:val="20"/>
        </w:rPr>
      </w:pPr>
      <w:r>
        <w:rPr>
          <w:rFonts w:ascii="Times New Roman" w:hAnsi="Times New Roman"/>
          <w:sz w:val="20"/>
          <w:szCs w:val="20"/>
        </w:rPr>
      </w:r>
    </w:p>
    <w:p>
      <w:pPr>
        <w:pStyle w:val="NormalWeb"/>
        <w:shd w:val="clear" w:color="auto" w:fill="FFFFFF"/>
        <w:bidi w:val="0"/>
        <w:spacing w:lineRule="auto" w:line="240" w:before="0" w:after="0"/>
        <w:jc w:val="both"/>
        <w:rPr>
          <w:rFonts w:ascii="Times New Roman" w:hAnsi="Times New Roman"/>
          <w:sz w:val="20"/>
          <w:szCs w:val="20"/>
        </w:rPr>
      </w:pPr>
      <w:r>
        <w:rPr>
          <w:rFonts w:ascii="Times New Roman" w:hAnsi="Times New Roman"/>
          <w:sz w:val="20"/>
          <w:szCs w:val="20"/>
        </w:rPr>
        <w:t>De manera equivalente el agua potable es una necesidad básica que requiere ser satisfecha de manera predominante, sin embargo, a pesar de ello sorprende el hecho de que exista una gran demora en el pago. Esta situación puede ser explicado al observar que en el estudio realizado por (</w:t>
      </w:r>
      <w:r>
        <w:rPr>
          <w:rFonts w:ascii="Times New Roman" w:hAnsi="Times New Roman"/>
          <w:color w:val="000000"/>
          <w:sz w:val="20"/>
          <w:szCs w:val="20"/>
          <w:shd w:fill="FFFFFF" w:val="clear"/>
        </w:rPr>
        <w:t>Aguilar y Saphores, 2008</w:t>
      </w:r>
      <w:r>
        <w:rPr>
          <w:rFonts w:ascii="Times New Roman" w:hAnsi="Times New Roman"/>
          <w:sz w:val="20"/>
          <w:szCs w:val="20"/>
        </w:rPr>
        <w:t xml:space="preserve">) el usuario no reciente la falta del servicio hasta dos meses después de no haber realizado el su pago, (si es que se llega a dar la suspensión). </w:t>
      </w:r>
    </w:p>
    <w:p>
      <w:pPr>
        <w:pStyle w:val="NormalWeb"/>
        <w:shd w:val="clear" w:color="auto" w:fill="FFFFFF"/>
        <w:bidi w:val="0"/>
        <w:spacing w:lineRule="auto" w:line="240" w:before="0" w:after="0"/>
        <w:jc w:val="both"/>
        <w:rPr>
          <w:sz w:val="20"/>
          <w:szCs w:val="20"/>
        </w:rPr>
      </w:pPr>
      <w:r>
        <w:rPr>
          <w:rFonts w:ascii="Times New Roman" w:hAnsi="Times New Roman"/>
          <w:sz w:val="20"/>
          <w:szCs w:val="20"/>
        </w:rPr>
      </w:r>
    </w:p>
    <w:p>
      <w:pPr>
        <w:pStyle w:val="NormalWeb"/>
        <w:shd w:val="clear" w:color="auto" w:fill="FFFFFF"/>
        <w:bidi w:val="0"/>
        <w:spacing w:lineRule="auto" w:line="240" w:before="0" w:after="0"/>
        <w:jc w:val="both"/>
        <w:rPr>
          <w:rFonts w:ascii="Times New Roman" w:hAnsi="Times New Roman"/>
          <w:sz w:val="20"/>
          <w:szCs w:val="20"/>
        </w:rPr>
      </w:pPr>
      <w:r>
        <w:rPr>
          <w:rFonts w:ascii="Times New Roman" w:hAnsi="Times New Roman"/>
          <w:sz w:val="20"/>
          <w:szCs w:val="20"/>
        </w:rPr>
        <w:t>La otra característica ya mencionada para que un servicio triunfe en el mercado, es la disposición de pagar del mercado. El diseño de producto implica tomar en consideración la capacidad de pago de los clientes. Las estrategias que implica el cobro de tarifas por zonas responden de alguna manera a este criterio. A pesar de que según la tabla 1, el nivel de ingresos fue la variable más mencionada como condicionante al pago del servicio de agua potable, resultado que contrasta con que el año 2016, México se convirtió en el principal consumidor de agua embotellada a nivel mundial y en 2017 ocupó esa posición en América Latina. El año pasado, el 98 por ciento de los hogares mexicanos compraron agua embotellada, aproximadamente mil 385 litros por hogar, que se traduce en un gasto monetario anual de mil 315 pesos. Mientras que países como Chile y Colombia, compran alrededor de 37 y 39 litros en promedio, respectivamente. (aguas.com.mx, 2020).</w:t>
      </w:r>
    </w:p>
    <w:p>
      <w:pPr>
        <w:pStyle w:val="NormalWeb"/>
        <w:shd w:val="clear" w:color="auto" w:fill="FFFFFF"/>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Web"/>
        <w:shd w:val="clear" w:color="auto" w:fill="FFFFFF"/>
        <w:bidi w:val="0"/>
        <w:spacing w:lineRule="auto" w:line="240" w:before="0" w:after="0"/>
        <w:jc w:val="both"/>
        <w:rPr>
          <w:rFonts w:ascii="Times New Roman" w:hAnsi="Times New Roman"/>
          <w:sz w:val="20"/>
          <w:szCs w:val="20"/>
        </w:rPr>
      </w:pPr>
      <w:r>
        <w:rPr>
          <w:rFonts w:ascii="Times New Roman" w:hAnsi="Times New Roman"/>
          <w:sz w:val="20"/>
          <w:szCs w:val="20"/>
        </w:rPr>
        <w:t>Entre los aspectos del ambiente sociocultural pareciera que se está reforzando la cultura de no pago al no haber una consecuencia grave por ello, pues inclusive existe la posibilidad de obtener el 100% de condonación de recargos por no pagar a tiempo (</w:t>
      </w:r>
      <w:r>
        <w:rPr>
          <w:rFonts w:ascii="Times New Roman" w:hAnsi="Times New Roman"/>
          <w:color w:val="000000"/>
          <w:sz w:val="20"/>
          <w:szCs w:val="20"/>
          <w:shd w:fill="FFFFFF" w:val="clear"/>
        </w:rPr>
        <w:t>Aguilar y Saphores, 2008). Y que incluso el descuento sea el motivador para el pago, como mencionan, Gonzalez</w:t>
      </w:r>
      <w:r>
        <w:rPr>
          <w:rFonts w:ascii="Times New Roman" w:hAnsi="Times New Roman"/>
          <w:sz w:val="20"/>
          <w:szCs w:val="20"/>
        </w:rPr>
        <w:t>, Aguirre y Lartigue (2016)</w:t>
      </w:r>
      <w:r>
        <w:rPr>
          <w:rFonts w:ascii="Times New Roman" w:hAnsi="Times New Roman"/>
          <w:color w:val="000000"/>
          <w:sz w:val="20"/>
          <w:szCs w:val="20"/>
          <w:shd w:fill="FFFFFF" w:val="clear"/>
        </w:rPr>
        <w:t>.</w:t>
      </w:r>
    </w:p>
    <w:p>
      <w:pPr>
        <w:pStyle w:val="NormalWeb"/>
        <w:shd w:val="clear" w:color="auto" w:fill="FFFFFF"/>
        <w:bidi w:val="0"/>
        <w:spacing w:lineRule="auto" w:line="240" w:before="0" w:after="0"/>
        <w:jc w:val="both"/>
        <w:rPr>
          <w:color w:val="000000"/>
          <w:highlight w:val="white"/>
        </w:rPr>
      </w:pPr>
      <w:r>
        <w:rPr>
          <w:rFonts w:ascii="Times New Roman" w:hAnsi="Times New Roman"/>
          <w:sz w:val="20"/>
          <w:szCs w:val="20"/>
        </w:rPr>
      </w:r>
    </w:p>
    <w:p>
      <w:pPr>
        <w:pStyle w:val="NormalWeb"/>
        <w:shd w:val="clear" w:color="auto" w:fill="FFFFFF"/>
        <w:bidi w:val="0"/>
        <w:spacing w:lineRule="auto" w:line="240" w:before="0" w:after="0"/>
        <w:jc w:val="both"/>
        <w:rPr>
          <w:rFonts w:ascii="Times New Roman" w:hAnsi="Times New Roman"/>
          <w:sz w:val="20"/>
          <w:szCs w:val="20"/>
        </w:rPr>
      </w:pPr>
      <w:r>
        <w:rPr>
          <w:rFonts w:ascii="Times New Roman" w:hAnsi="Times New Roman"/>
          <w:color w:val="000000"/>
          <w:sz w:val="20"/>
          <w:szCs w:val="20"/>
          <w:shd w:fill="FFFFFF" w:val="clear"/>
        </w:rPr>
        <w:t>La investigación de Gonzalez, Leal y Díaz (2016) concluyo que, para los habitantes de Aguascalientes, la valoración social y económica de este vital recurso depende de la edad, sexo y ocupación que ellos tengan. A la luz de lo anterior, es importante que el consumidor del agua potable se concientice de la necesidad de este servicio, ya que no existe esta idea de forma generalizada.</w:t>
      </w:r>
    </w:p>
    <w:p>
      <w:pPr>
        <w:pStyle w:val="NormalWeb"/>
        <w:shd w:val="clear" w:color="auto" w:fill="FFFFFF"/>
        <w:bidi w:val="0"/>
        <w:spacing w:lineRule="auto" w:line="240" w:before="0" w:after="0"/>
        <w:jc w:val="both"/>
        <w:rPr>
          <w:color w:val="000000"/>
          <w:sz w:val="20"/>
          <w:szCs w:val="20"/>
          <w:highlight w:val="white"/>
        </w:rPr>
      </w:pPr>
      <w:r>
        <w:rPr>
          <w:rFonts w:ascii="Times New Roman" w:hAnsi="Times New Roman"/>
          <w:sz w:val="20"/>
          <w:szCs w:val="20"/>
        </w:rPr>
      </w:r>
    </w:p>
    <w:p>
      <w:pPr>
        <w:pStyle w:val="NormalWeb"/>
        <w:shd w:val="clear" w:color="auto" w:fill="FFFFFF"/>
        <w:bidi w:val="0"/>
        <w:spacing w:lineRule="auto" w:line="240" w:before="0" w:after="0"/>
        <w:jc w:val="both"/>
        <w:rPr>
          <w:rFonts w:ascii="Times New Roman" w:hAnsi="Times New Roman"/>
          <w:sz w:val="20"/>
          <w:szCs w:val="20"/>
        </w:rPr>
      </w:pPr>
      <w:r>
        <w:rPr>
          <w:rFonts w:ascii="Times New Roman" w:hAnsi="Times New Roman"/>
          <w:color w:val="000000"/>
          <w:sz w:val="20"/>
          <w:szCs w:val="20"/>
          <w:shd w:fill="FFFFFF" w:val="clear"/>
        </w:rPr>
        <w:t>A pesar de que el nivel de ingresos resulto ser la variable más mencionada, obviando que la mayor cantidad de usuarios morosos sea consistente con los niveles más bajos de esta variable, y que en el país para el año 2018, la población con ingreso inferior a la línea de pobreza por ingresos era del 48.8 % del total de los habitantes de México (Coneval, 2020), no debe considerarse como una amenaza a las estrategias que busquen el incremento de la recaudación de ingresos por concepto de servicios de agua potable. Hoy se sabe que los mercados de clase baja pueden ser rentables para las empresas. (L</w:t>
      </w:r>
      <w:r>
        <w:rPr>
          <w:rFonts w:ascii="Times New Roman" w:hAnsi="Times New Roman"/>
          <w:color w:val="000000"/>
          <w:sz w:val="20"/>
          <w:szCs w:val="20"/>
          <w:shd w:fill="FFFFFF" w:val="clear"/>
        </w:rPr>
        <w:t>ó</w:t>
      </w:r>
      <w:r>
        <w:rPr>
          <w:rFonts w:ascii="Times New Roman" w:hAnsi="Times New Roman"/>
          <w:color w:val="000000"/>
          <w:sz w:val="20"/>
          <w:szCs w:val="20"/>
          <w:shd w:fill="FFFFFF" w:val="clear"/>
        </w:rPr>
        <w:t>p</w:t>
      </w:r>
      <w:r>
        <w:rPr>
          <w:rFonts w:ascii="Times New Roman" w:hAnsi="Times New Roman"/>
          <w:color w:val="000000"/>
          <w:sz w:val="20"/>
          <w:szCs w:val="20"/>
          <w:shd w:fill="FFFFFF" w:val="clear"/>
        </w:rPr>
        <w:t>e</w:t>
      </w:r>
      <w:r>
        <w:rPr>
          <w:rFonts w:ascii="Times New Roman" w:hAnsi="Times New Roman"/>
          <w:color w:val="000000"/>
          <w:sz w:val="20"/>
          <w:szCs w:val="20"/>
          <w:shd w:fill="FFFFFF" w:val="clear"/>
        </w:rPr>
        <w:t>z, 2017)</w:t>
      </w:r>
    </w:p>
    <w:p>
      <w:pPr>
        <w:pStyle w:val="Normal"/>
        <w:bidi w:val="0"/>
        <w:spacing w:lineRule="auto" w:line="240" w:before="0" w:after="0"/>
        <w:rPr>
          <w:rFonts w:eastAsia="Times New Roman" w:cs="Times New Roman"/>
        </w:rPr>
      </w:pPr>
      <w:r>
        <w:rPr>
          <w:rFonts w:ascii="Times New Roman" w:hAnsi="Times New Roman"/>
          <w:sz w:val="20"/>
          <w:szCs w:val="20"/>
        </w:rPr>
      </w:r>
    </w:p>
    <w:p>
      <w:pPr>
        <w:pStyle w:val="Normal"/>
        <w:bidi w:val="0"/>
        <w:spacing w:lineRule="auto" w:line="240" w:before="0" w:after="0"/>
        <w:rPr>
          <w:rFonts w:ascii="Times New Roman" w:hAnsi="Times New Roman"/>
          <w:b/>
          <w:b/>
          <w:bCs/>
          <w:sz w:val="20"/>
          <w:szCs w:val="20"/>
        </w:rPr>
      </w:pPr>
      <w:r>
        <w:rPr>
          <w:rFonts w:eastAsia="Times New Roman" w:cs="Times New Roman" w:ascii="Times New Roman" w:hAnsi="Times New Roman"/>
          <w:b/>
          <w:bCs/>
          <w:sz w:val="20"/>
          <w:szCs w:val="20"/>
        </w:rPr>
        <w:t>V. CONCLUSIONES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 lo largo de este documento se mostraron las variables que fueron mencionadas en investigaciones previas con el objetivo de identificar aquellas que más relevancia han tenido. Se identificaron diez variables, de la cuales la que más nombrada fue el nivel de ingreso, seguida de existencia de descuentos en recargos y limitadas opciones de formas de pago.</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Es importante que se construya una cultura de pronto pago entre los pobladores. En el caso de Progreso, Yucatán, la falta de esta cultura de pago podría ser el elemento que hace que la morosidad vuelva a presentarse una vez que las promociones de descuento en los recargos por mora terminan. Corroborar la existencia de esta cultura será un tema de estudios futuros.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requiere que el usuario del agua potable identifique que necesita de este servicio, y que no lo considere un bien común. Es importante, que al considerar la interrupción del servicio del agua como un motivador al pronto pago, sea acompañado de un sistema que permita, a su vez, la reinstalación de este servicio tan pronto como sea liquidado el monto de la factura correspondiente.</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Se recomienda reestructurar las zonas de servicio de la población desde un enfoque de mercado, cada zona es un nicho de mercado con necesidades especificas que requieren diseños del servicio, estructuras de precios y medios de pago de acuerdo con sus características específicas. Lo anterior no es una acción novedosa, ya que, en ocasiones la estructura tarifaria contiene algún mecanismo de redistribución de costos mediante subsidios cruzados, en que a los usuarios en malas condiciones socioeconómicas se les asignan tarifas menores que aquéllos considerados en buenas condiciones…Las estructuras tarifarias de servicio medido son generalmente de bloques incrementales, es decir, a mayor consumo de agua el precio por metro cúbico es mayor…existe una gran variedad de</w:t>
      </w:r>
      <w:r>
        <w:rPr>
          <w:rFonts w:ascii="Times New Roman" w:hAnsi="Times New Roman"/>
          <w:sz w:val="20"/>
          <w:szCs w:val="20"/>
        </w:rPr>
        <w:t xml:space="preserve"> </w:t>
      </w:r>
      <w:r>
        <w:rPr>
          <w:rFonts w:cs="Times New Roman" w:ascii="Times New Roman" w:hAnsi="Times New Roman"/>
          <w:sz w:val="20"/>
          <w:szCs w:val="20"/>
        </w:rPr>
        <w:t xml:space="preserve">mecanismos, incluyendo la cuota fija. (Comisión nacional del agua, 2018, p.160) </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Las mujeres parecen ser las más conscientes de la importancia del agua potable (</w:t>
      </w:r>
      <w:r>
        <w:rPr>
          <w:rFonts w:cs="Times New Roman" w:ascii="Times New Roman" w:hAnsi="Times New Roman"/>
          <w:color w:val="000000"/>
          <w:sz w:val="20"/>
          <w:szCs w:val="20"/>
          <w:shd w:fill="FFFFFF" w:val="clear"/>
        </w:rPr>
        <w:t>Gonzalez, Leal y Díaz 2016)</w:t>
      </w:r>
      <w:r>
        <w:rPr>
          <w:rFonts w:cs="Times New Roman" w:ascii="Times New Roman" w:hAnsi="Times New Roman"/>
          <w:sz w:val="20"/>
          <w:szCs w:val="20"/>
        </w:rPr>
        <w:t>. Se recomienda realizar acciones específicamente dirigidas a ellas. Actualmente no se encontró estudios que describan el perfil del usuario del agua potable en Progreso, Yucatán. Conocer este perfil permitiría el diseño de acciones específicas para esta población.</w:t>
      </w:r>
    </w:p>
    <w:p>
      <w:pPr>
        <w:pStyle w:val="Normal"/>
        <w:bidi w:val="0"/>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Se requiere ampliar esta investigación a un estudio de campo que incluya tanto las 10 variables identificadas como los factores del proceso de compra del consumidor, pues no todos los factores fueron encontrados como variables estudiadas en la bibliografía consultada.</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t>REFERENCIAS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Aguilar, I., Monforte, G. (2018). Servicios públicos del agua, valor público y sostenibilidad: El caso del área metropolitana de Monterrey.  Recuperado de http://www.scielo.org.mx/scielo.php?script=sci_arttext&amp;pid=S1405-10792018000100149</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pPr>
      <w:r>
        <w:rPr>
          <w:rFonts w:cs="Times New Roman" w:ascii="Times New Roman" w:hAnsi="Times New Roman"/>
          <w:color w:val="000000"/>
          <w:sz w:val="20"/>
          <w:szCs w:val="20"/>
          <w:shd w:fill="FFFFFF" w:val="clear"/>
        </w:rPr>
        <w:t xml:space="preserve">Aguilar, I. y Saphores, J. (2008) Aspectos institucionales y políticas para reforzar el pago de los servicios de agua en Nuevo Laredo, Tamaulipas, y Laredo, Texas. Recuperado de </w:t>
      </w:r>
      <w:hyperlink r:id="rId9">
        <w:r>
          <w:rPr>
            <w:rStyle w:val="EnlacedeInternet"/>
            <w:rFonts w:cs="Times New Roman" w:ascii="Times New Roman" w:hAnsi="Times New Roman"/>
            <w:sz w:val="20"/>
            <w:szCs w:val="20"/>
            <w:highlight w:val="white"/>
          </w:rPr>
          <w:t>http://www.scielo.org.mx/scielo.php?script=sci_arttext&amp;pid=S1405-10792009000200004</w:t>
        </w:r>
      </w:hyperlink>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b w:val="false"/>
          <w:i w:val="false"/>
          <w:caps w:val="false"/>
          <w:smallCaps w:val="false"/>
          <w:color w:val="222222"/>
          <w:spacing w:val="0"/>
          <w:sz w:val="20"/>
          <w:szCs w:val="20"/>
        </w:rPr>
        <w:t>Colet, R., &amp; Polío, J. (2014). Procesos de venta. </w:t>
      </w:r>
      <w:r>
        <w:rPr>
          <w:rFonts w:cs="Times New Roman" w:ascii="Times New Roman" w:hAnsi="Times New Roman"/>
          <w:b w:val="false"/>
          <w:i/>
          <w:color w:val="222222"/>
          <w:spacing w:val="0"/>
          <w:sz w:val="20"/>
          <w:szCs w:val="20"/>
        </w:rPr>
        <w:t>Madrid. Editorial Mac Graw Hill. Recuperado de: http://assets. mheducation. es/bcv/guide/capitulo/8448191633. pdf</w:t>
      </w:r>
      <w:r>
        <w:rPr>
          <w:rFonts w:cs="Times New Roman" w:ascii="Times New Roman" w:hAnsi="Times New Roman"/>
          <w:b w:val="false"/>
          <w:i w:val="false"/>
          <w:caps w:val="false"/>
          <w:smallCaps w:val="false"/>
          <w:color w:val="222222"/>
          <w:spacing w:val="0"/>
          <w:sz w:val="20"/>
          <w:szCs w:val="20"/>
        </w:rPr>
        <w:t>.</w:t>
      </w:r>
    </w:p>
    <w:p>
      <w:pPr>
        <w:pStyle w:val="Cuerpodetexto"/>
        <w:bidi w:val="0"/>
        <w:spacing w:lineRule="auto" w:line="240" w:before="0" w:after="0"/>
        <w:jc w:val="both"/>
        <w:rPr>
          <w:rFonts w:ascii="Times New Roman" w:hAnsi="Times New Roman" w:eastAsia="Times New Roman" w:cs="Times New Roman"/>
          <w:color w:val="333333"/>
          <w:sz w:val="20"/>
          <w:szCs w:val="20"/>
          <w:lang w:eastAsia="es-MX"/>
        </w:rPr>
      </w:pPr>
      <w:r>
        <w:rPr>
          <w:rFonts w:eastAsia="Times New Roman" w:cs="Times New Roman" w:ascii="Times New Roman" w:hAnsi="Times New Roman"/>
          <w:color w:val="333333"/>
          <w:sz w:val="20"/>
          <w:szCs w:val="20"/>
          <w:lang w:eastAsia="es-MX"/>
        </w:rPr>
      </w:r>
    </w:p>
    <w:p>
      <w:pPr>
        <w:pStyle w:val="Cuerpodetexto"/>
        <w:bidi w:val="0"/>
        <w:spacing w:lineRule="auto" w:line="240" w:before="0" w:after="0"/>
        <w:jc w:val="both"/>
        <w:rPr/>
      </w:pPr>
      <w:r>
        <w:rPr>
          <w:rFonts w:eastAsia="Times New Roman" w:cs="Times New Roman" w:ascii="Times New Roman" w:hAnsi="Times New Roman"/>
          <w:color w:val="333333"/>
          <w:sz w:val="20"/>
          <w:szCs w:val="20"/>
          <w:lang w:eastAsia="es-MX"/>
        </w:rPr>
        <w:t xml:space="preserve">Comisión nacional de agua, (2018). </w:t>
      </w:r>
      <w:r>
        <w:rPr>
          <w:rFonts w:cs="Times New Roman" w:ascii="Times New Roman" w:hAnsi="Times New Roman"/>
          <w:sz w:val="20"/>
          <w:szCs w:val="20"/>
        </w:rPr>
        <w:t xml:space="preserve">Estadísticas del agua en México. Recuperado de </w:t>
      </w:r>
      <w:hyperlink r:id="rId10">
        <w:r>
          <w:rPr>
            <w:rStyle w:val="EnlacedeInternet"/>
            <w:rFonts w:cs="Times New Roman" w:ascii="Times New Roman" w:hAnsi="Times New Roman"/>
            <w:sz w:val="20"/>
            <w:szCs w:val="20"/>
          </w:rPr>
          <w:t>http://sina.conagua.gob.mx/publicaciones/EAM_2018.pdf</w:t>
        </w:r>
      </w:hyperlink>
    </w:p>
    <w:p>
      <w:pPr>
        <w:pStyle w:val="Cuerpodetexto"/>
        <w:bidi w:val="0"/>
        <w:spacing w:lineRule="auto" w:line="240" w:before="0" w:after="0"/>
        <w:jc w:val="both"/>
        <w:rPr>
          <w:rFonts w:ascii="Times New Roman" w:hAnsi="Times New Roman" w:eastAsia="Times New Roman" w:cs="Times New Roman"/>
          <w:color w:val="333333"/>
          <w:sz w:val="20"/>
          <w:szCs w:val="20"/>
          <w:lang w:eastAsia="es-MX"/>
        </w:rPr>
      </w:pPr>
      <w:r>
        <w:rPr>
          <w:rFonts w:eastAsia="Times New Roman" w:cs="Times New Roman" w:ascii="Times New Roman" w:hAnsi="Times New Roman"/>
          <w:color w:val="333333"/>
          <w:sz w:val="20"/>
          <w:szCs w:val="20"/>
          <w:lang w:eastAsia="es-MX"/>
        </w:rPr>
      </w:r>
    </w:p>
    <w:p>
      <w:pPr>
        <w:pStyle w:val="Normal"/>
        <w:bidi w:val="0"/>
        <w:spacing w:lineRule="auto" w:line="240" w:before="0" w:after="0"/>
        <w:jc w:val="both"/>
        <w:rPr/>
      </w:pPr>
      <w:r>
        <w:rPr>
          <w:rFonts w:cs="Times New Roman" w:ascii="Times New Roman" w:hAnsi="Times New Roman"/>
          <w:sz w:val="20"/>
          <w:szCs w:val="20"/>
        </w:rPr>
        <w:t xml:space="preserve">Coneval, (2020). Medición de pobreza. Recuperado de </w:t>
      </w:r>
      <w:hyperlink r:id="rId11">
        <w:r>
          <w:rPr>
            <w:rStyle w:val="EnlacedeInternet"/>
            <w:rFonts w:cs="Times New Roman" w:ascii="Times New Roman" w:hAnsi="Times New Roman"/>
            <w:sz w:val="20"/>
            <w:szCs w:val="20"/>
          </w:rPr>
          <w:t>https://www.coneval.org.mx/Medicion/MP/Paginas/Pobreza-2018.aspx</w:t>
        </w:r>
      </w:hyperlink>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Cuerpodetexto"/>
        <w:bidi w:val="0"/>
        <w:spacing w:lineRule="auto" w:line="240" w:before="0" w:after="0"/>
        <w:jc w:val="both"/>
        <w:rPr/>
      </w:pPr>
      <w:r>
        <w:rPr>
          <w:rFonts w:eastAsia="Times New Roman" w:cs="Times New Roman" w:ascii="Times New Roman" w:hAnsi="Times New Roman"/>
          <w:color w:val="333333"/>
          <w:sz w:val="20"/>
          <w:szCs w:val="20"/>
          <w:lang w:eastAsia="es-MX"/>
        </w:rPr>
        <w:t xml:space="preserve">Consejo Consultivo del Agua A.C. (2011). Panorama del agua. Recuperado de </w:t>
      </w:r>
      <w:hyperlink r:id="rId12">
        <w:r>
          <w:rPr>
            <w:rStyle w:val="EnlacedeInternet"/>
            <w:rFonts w:cs="Times New Roman" w:ascii="Times New Roman" w:hAnsi="Times New Roman"/>
            <w:sz w:val="20"/>
            <w:szCs w:val="20"/>
          </w:rPr>
          <w:t>http://www.aguas.org.mx/sitio/index.php/panorama-del-agua/diagnosticos-del-agua</w:t>
        </w:r>
      </w:hyperlink>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pPr>
      <w:r>
        <w:rPr>
          <w:rFonts w:cs="Times New Roman" w:ascii="Times New Roman" w:hAnsi="Times New Roman"/>
          <w:color w:val="000000"/>
          <w:sz w:val="20"/>
          <w:szCs w:val="20"/>
          <w:shd w:fill="FFFFFF" w:val="clear"/>
        </w:rPr>
        <w:t>Cruz, L., Carreón, J., Hernandez, J., Montero, M. y Bustos, J. (2013). Actitudes, consumo de agua y sistema de tarifas del servicio de abastecimiento de agua potable. Revista Latinoamericana, (12)34, p. 363-401. Recuperado de</w:t>
      </w:r>
      <w:r>
        <w:rPr>
          <w:rFonts w:ascii="Times New Roman" w:hAnsi="Times New Roman"/>
          <w:sz w:val="20"/>
          <w:szCs w:val="20"/>
        </w:rPr>
        <w:t xml:space="preserve"> </w:t>
      </w:r>
      <w:hyperlink r:id="rId13">
        <w:r>
          <w:rPr>
            <w:rStyle w:val="EnlacedeInternet"/>
            <w:rFonts w:cs="Times New Roman" w:ascii="Times New Roman" w:hAnsi="Times New Roman"/>
            <w:sz w:val="20"/>
            <w:szCs w:val="20"/>
          </w:rPr>
          <w:t>https://scielo.conicyt.cl/scielo.php?script=sci_arttext&amp;pid=S0718-65682013000100019</w:t>
        </w:r>
      </w:hyperlink>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Fondo para la comunicación y educación ambiental, A.C. (2017). Agua en México: un prontuario para la correcta toma de decisiones. Recuperado de http://fcea.org.mx/wp-content/uploads/2020/08/Agua-en-Mexico-Un-prontuario-para-la-correcta-toma-de-decisiones-2017.pdf</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pPr>
      <w:r>
        <w:rPr>
          <w:rFonts w:cs="Times New Roman" w:ascii="Times New Roman" w:hAnsi="Times New Roman"/>
          <w:sz w:val="20"/>
          <w:szCs w:val="20"/>
        </w:rPr>
        <w:t xml:space="preserve">Fondo para la comunicación y educación ambiental, A.C. (2020). Acceso a la información. Recuperado de </w:t>
      </w:r>
      <w:hyperlink r:id="rId14">
        <w:r>
          <w:rPr>
            <w:rStyle w:val="EnlacedeInternet"/>
            <w:rFonts w:cs="Times New Roman" w:ascii="Times New Roman" w:hAnsi="Times New Roman"/>
            <w:sz w:val="20"/>
            <w:szCs w:val="20"/>
          </w:rPr>
          <w:t>https://agua.org.mx/tag/morosidad/</w:t>
        </w:r>
      </w:hyperlink>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pPr>
      <w:r>
        <w:rPr>
          <w:rFonts w:cs="Times New Roman" w:ascii="Times New Roman" w:hAnsi="Times New Roman"/>
          <w:sz w:val="20"/>
          <w:szCs w:val="20"/>
        </w:rPr>
        <w:t xml:space="preserve">Gonzalez, A. R., Leal, F. J. S., Díaz M. (2016). La disponibilidad a pagar de las familias por mejorar el servicio de agua potable en la ciudad de Aguascalientes. Gestión y Ambiente, (19)1, pp. 63-77. Recuperado de </w:t>
      </w:r>
      <w:hyperlink r:id="rId15">
        <w:r>
          <w:rPr>
            <w:rStyle w:val="EnlacedeInternet"/>
            <w:rFonts w:cs="Times New Roman" w:ascii="Times New Roman" w:hAnsi="Times New Roman"/>
            <w:sz w:val="20"/>
            <w:szCs w:val="20"/>
          </w:rPr>
          <w:t>https://www.redalyc.org/articulo.oa?id=169446378004</w:t>
        </w:r>
      </w:hyperlink>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pPr>
      <w:r>
        <w:rPr>
          <w:rFonts w:cs="Times New Roman" w:ascii="Times New Roman" w:hAnsi="Times New Roman"/>
          <w:sz w:val="20"/>
          <w:szCs w:val="20"/>
        </w:rPr>
        <w:t xml:space="preserve">Gonzalez, F., Aguirre, R. y Lartigue, C. (2016). Percepciones, actitudes y conductas respecto al servicio de agua potable en la Ciudad de México. Recuperado de </w:t>
      </w:r>
      <w:hyperlink r:id="rId16">
        <w:r>
          <w:rPr>
            <w:rStyle w:val="EnlacedeInternet"/>
            <w:rFonts w:cs="Times New Roman" w:ascii="Times New Roman" w:hAnsi="Times New Roman"/>
            <w:sz w:val="20"/>
            <w:szCs w:val="20"/>
          </w:rPr>
          <w:t>http://www.redalyc.org/pdf/3535/353549830003.pdf</w:t>
        </w:r>
      </w:hyperlink>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pPr>
      <w:r>
        <w:rPr>
          <w:rFonts w:cs="Times New Roman" w:ascii="Times New Roman" w:hAnsi="Times New Roman"/>
          <w:sz w:val="20"/>
          <w:szCs w:val="20"/>
        </w:rPr>
        <w:t xml:space="preserve">Jouravlev, A. (2004). </w:t>
      </w:r>
      <w:r>
        <w:rPr>
          <w:rFonts w:cs="Times New Roman" w:ascii="Times New Roman" w:hAnsi="Times New Roman"/>
          <w:i/>
          <w:sz w:val="20"/>
          <w:szCs w:val="20"/>
        </w:rPr>
        <w:t>Los servicios de agua potable y saneamiento en el umbral del siglo XXI</w:t>
      </w:r>
      <w:r>
        <w:rPr>
          <w:rFonts w:cs="Times New Roman" w:ascii="Times New Roman" w:hAnsi="Times New Roman"/>
          <w:sz w:val="20"/>
          <w:szCs w:val="20"/>
        </w:rPr>
        <w:t xml:space="preserve">. Recuperado de </w:t>
      </w:r>
      <w:hyperlink r:id="rId17">
        <w:r>
          <w:rPr>
            <w:rStyle w:val="EnlacedeInternet"/>
            <w:rFonts w:cs="Times New Roman" w:ascii="Times New Roman" w:hAnsi="Times New Roman"/>
            <w:color w:val="1155CC"/>
            <w:sz w:val="20"/>
            <w:szCs w:val="20"/>
            <w:u w:val="single"/>
          </w:rPr>
          <w:t>https://repositorio.cepal.org/handle/11362/6440</w:t>
        </w:r>
      </w:hyperlink>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Kotler y Armstrong (2013) Fundamentos de marketing. México: Pearson educación.</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cs="Times New Roman" w:ascii="Times New Roman" w:hAnsi="Times New Roman"/>
          <w:sz w:val="20"/>
          <w:szCs w:val="20"/>
        </w:rPr>
        <w:t>L</w:t>
      </w:r>
      <w:r>
        <w:rPr>
          <w:rFonts w:cs="Times New Roman" w:ascii="Times New Roman" w:hAnsi="Times New Roman"/>
          <w:sz w:val="20"/>
          <w:szCs w:val="20"/>
        </w:rPr>
        <w:t>ó</w:t>
      </w:r>
      <w:r>
        <w:rPr>
          <w:rFonts w:cs="Times New Roman" w:ascii="Times New Roman" w:hAnsi="Times New Roman"/>
          <w:sz w:val="20"/>
          <w:szCs w:val="20"/>
        </w:rPr>
        <w:t>pez (2017). Cinco empresas que realmente han cambiado la vida a millones de pobres. Recuperado de https://elpais.com/elpais/2017/01/30/planeta_futuro/1485774923_005780.html</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pPr>
      <w:r>
        <w:rPr>
          <w:rFonts w:cs="Times New Roman" w:ascii="Times New Roman" w:hAnsi="Times New Roman"/>
          <w:sz w:val="20"/>
          <w:szCs w:val="20"/>
        </w:rPr>
        <w:t xml:space="preserve">Nunez, J. (2011). Estudios de usuarios sin servicio por morosidad de los negocios de aguas, energía eléctrica y gas natural para identificar estrategias y políticas públicas de orden nacional, regional y local. Recuperado de </w:t>
      </w:r>
      <w:hyperlink r:id="rId18">
        <w:r>
          <w:rPr>
            <w:rStyle w:val="EnlacedeInternet"/>
            <w:rFonts w:cs="Times New Roman" w:ascii="Times New Roman" w:hAnsi="Times New Roman"/>
            <w:sz w:val="20"/>
            <w:szCs w:val="20"/>
          </w:rPr>
          <w:t>https://www.repository.fedesarrollo.org.co/handle/11445/352</w:t>
        </w:r>
      </w:hyperlink>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pPr>
      <w:r>
        <w:rPr>
          <w:rFonts w:cs="Times New Roman" w:ascii="Times New Roman" w:hAnsi="Times New Roman"/>
          <w:sz w:val="20"/>
          <w:szCs w:val="20"/>
        </w:rPr>
        <w:t xml:space="preserve">OCDE </w:t>
      </w:r>
      <w:r>
        <w:rPr>
          <w:rFonts w:cs="Times New Roman" w:ascii="Times New Roman" w:hAnsi="Times New Roman"/>
          <w:sz w:val="20"/>
          <w:szCs w:val="20"/>
        </w:rPr>
        <w:t>(</w:t>
      </w:r>
      <w:r>
        <w:rPr>
          <w:rFonts w:cs="Times New Roman" w:ascii="Times New Roman" w:hAnsi="Times New Roman"/>
          <w:sz w:val="20"/>
          <w:szCs w:val="20"/>
        </w:rPr>
        <w:t xml:space="preserve">2016). Recomendación del Consejo de la OCDE sobre el Agua. Recuperado de </w:t>
      </w:r>
      <w:hyperlink r:id="rId19">
        <w:r>
          <w:rPr>
            <w:rStyle w:val="EnlacedeInternet"/>
            <w:rFonts w:cs="Times New Roman" w:ascii="Times New Roman" w:hAnsi="Times New Roman"/>
            <w:sz w:val="20"/>
            <w:szCs w:val="20"/>
          </w:rPr>
          <w:t>https://www.oecd.org/water/Recomendacion-del-Consejo-sobre-el-agua.pdf</w:t>
        </w:r>
      </w:hyperlink>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Plan Municipal de Desarrollo </w:t>
      </w:r>
      <w:r>
        <w:rPr>
          <w:rFonts w:cs="Times New Roman" w:ascii="Times New Roman" w:hAnsi="Times New Roman"/>
          <w:sz w:val="20"/>
          <w:szCs w:val="20"/>
        </w:rPr>
        <w:t>(</w:t>
      </w:r>
      <w:r>
        <w:rPr>
          <w:rFonts w:cs="Times New Roman" w:ascii="Times New Roman" w:hAnsi="Times New Roman"/>
          <w:sz w:val="20"/>
          <w:szCs w:val="20"/>
        </w:rPr>
        <w:t>2018-2024). Diario Oficial del Gobierno del Estado de Yucatán. Recuperado de http://www.yucatan.gob.mx/docs/transparencia/ped/2018_2024/2019-03-30_2.pdf</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Schiffman L. y Lazar, L. (2010). Comportamiento del consumidor. México: Prentice Hall</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both"/>
        <w:rPr/>
      </w:pPr>
      <w:r>
        <w:rPr>
          <w:rFonts w:cs="Times New Roman" w:ascii="Times New Roman" w:hAnsi="Times New Roman"/>
          <w:sz w:val="20"/>
          <w:szCs w:val="20"/>
        </w:rPr>
        <w:t xml:space="preserve">Solis, L. (2005). </w:t>
      </w:r>
      <w:r>
        <w:rPr>
          <w:rFonts w:cs="Times New Roman" w:ascii="Times New Roman" w:hAnsi="Times New Roman"/>
          <w:i/>
          <w:sz w:val="20"/>
          <w:szCs w:val="20"/>
        </w:rPr>
        <w:t>La escasez, el costo y el precio del agua en México</w:t>
      </w:r>
      <w:r>
        <w:rPr>
          <w:rFonts w:cs="Times New Roman" w:ascii="Times New Roman" w:hAnsi="Times New Roman"/>
          <w:sz w:val="20"/>
          <w:szCs w:val="20"/>
        </w:rPr>
        <w:t xml:space="preserve">. Obtenido de Scielo: </w:t>
      </w:r>
      <w:hyperlink r:id="rId20">
        <w:r>
          <w:rPr>
            <w:rStyle w:val="EnlacedeInternet"/>
            <w:rFonts w:cs="Times New Roman" w:ascii="Times New Roman" w:hAnsi="Times New Roman"/>
            <w:color w:val="1155CC"/>
            <w:sz w:val="20"/>
            <w:szCs w:val="20"/>
            <w:u w:val="single"/>
          </w:rPr>
          <w:t>http://www.scielo.org.mx/scielo.php?script=sci_arttext&amp;pid=S1665-952X2005000300002</w:t>
        </w:r>
      </w:hyperlink>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sectPr>
      <w:type w:val="continuous"/>
      <w:pgSz w:w="12240" w:h="15840"/>
      <w:pgMar w:left="1417" w:right="1417" w:header="1417" w:top="1983" w:footer="1417" w:bottom="2004" w:gutter="0"/>
      <w:cols w:num="2" w:space="282" w:equalWidth="true" w:sep="false"/>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tabs>
        <w:tab w:val="left" w:pos="10440" w:leader="none"/>
      </w:tabs>
      <w:spacing w:before="120" w:after="60"/>
      <w:ind w:left="0" w:right="0" w:hanging="0"/>
      <w:jc w:val="center"/>
      <w:rPr/>
    </w:pPr>
    <w:r>
      <w:rPr>
        <w:rFonts w:ascii="Times new roman" w:hAnsi="Times new roman"/>
        <w:sz w:val="16"/>
        <w:szCs w:val="16"/>
        <w:lang w:val="es-ES"/>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tabs>
        <w:tab w:val="left" w:pos="10440" w:leader="none"/>
      </w:tabs>
      <w:spacing w:before="120" w:after="60"/>
      <w:ind w:left="0" w:right="0" w:hanging="0"/>
      <w:jc w:val="center"/>
      <w:rPr/>
    </w:pPr>
    <w:r>
      <w:rPr>
        <w:rFonts w:ascii="Times new roman" w:hAnsi="Times new roman"/>
        <w:sz w:val="16"/>
        <w:szCs w:val="16"/>
        <w:lang w:val="es-ES"/>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FFFFFF" w:val="clear"/>
        </w:tcPr>
        <w:p>
          <w:pPr>
            <w:pStyle w:val="Contenidodelatabla"/>
            <w:bidi w:val="0"/>
            <w:spacing w:before="0" w:after="0"/>
            <w:ind w:left="0" w:right="0" w:hanging="0"/>
            <w:jc w:val="left"/>
            <w:rPr/>
          </w:pPr>
          <w:r>
            <w:rPr>
              <w:rFonts w:ascii="Times new roman" w:hAnsi="Times new roman"/>
              <w:sz w:val="16"/>
              <w:szCs w:val="16"/>
            </w:rPr>
            <w:t>Recibido: 2</w:t>
          </w:r>
          <w:r>
            <w:rPr>
              <w:rFonts w:ascii="Times new roman" w:hAnsi="Times new roman"/>
              <w:sz w:val="16"/>
              <w:szCs w:val="16"/>
            </w:rPr>
            <w:t>5</w:t>
          </w:r>
          <w:r>
            <w:rPr>
              <w:rFonts w:ascii="Times new roman" w:hAnsi="Times new roman"/>
              <w:sz w:val="16"/>
              <w:szCs w:val="16"/>
            </w:rPr>
            <w:t>/Octubre/2020</w:t>
          </w:r>
        </w:p>
        <w:p>
          <w:pPr>
            <w:pStyle w:val="Contenidodelatabla"/>
            <w:bidi w:val="0"/>
            <w:spacing w:before="0" w:after="0"/>
            <w:ind w:left="0" w:right="0" w:hanging="0"/>
            <w:jc w:val="left"/>
            <w:rPr/>
          </w:pPr>
          <w:r>
            <w:rPr>
              <w:rFonts w:ascii="Times new roman" w:hAnsi="Times new roman"/>
              <w:sz w:val="16"/>
              <w:szCs w:val="16"/>
            </w:rPr>
            <w:t>Aceptado: 0</w:t>
          </w:r>
          <w:r>
            <w:rPr>
              <w:rFonts w:ascii="Times new roman" w:hAnsi="Times new roman"/>
              <w:sz w:val="16"/>
              <w:szCs w:val="16"/>
            </w:rPr>
            <w:t>3</w:t>
          </w:r>
          <w:r>
            <w:rPr>
              <w:rFonts w:ascii="Times new roman" w:hAnsi="Times new roman"/>
              <w:sz w:val="16"/>
              <w:szCs w:val="16"/>
            </w:rPr>
            <w:t>/Diciembre/2020</w:t>
          </w:r>
        </w:p>
      </w:tc>
      <w:tc>
        <w:tcPr>
          <w:tcW w:w="4140" w:type="dxa"/>
          <w:tcBorders/>
          <w:shd w:fill="FFFFFF" w:val="clear"/>
        </w:tcPr>
        <w:p>
          <w:pPr>
            <w:pStyle w:val="Contenidodelatabla"/>
            <w:spacing w:before="120" w:after="60"/>
            <w:ind w:left="0" w:right="0" w:hanging="0"/>
            <w:jc w:val="center"/>
            <w:rPr/>
          </w:pPr>
          <w:r>
            <w:rPr>
              <w:rFonts w:ascii="Times new roman" w:hAnsi="Times new roman"/>
              <w:sz w:val="16"/>
              <w:szCs w:val="16"/>
            </w:rPr>
            <w:t>TecNM – Instituto Tecnológico Superior Progreso</w:t>
          </w:r>
        </w:p>
      </w:tc>
      <w:tc>
        <w:tcPr>
          <w:tcW w:w="2777" w:type="dxa"/>
          <w:tcBorders/>
          <w:shd w:fill="FFFFFF" w:val="clear"/>
        </w:tcPr>
        <w:p>
          <w:pPr>
            <w:pStyle w:val="Contenidodelatabla"/>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5, No. 10, pp. 1</w:t>
    </w:r>
    <w:r>
      <w:rPr>
        <w:rFonts w:ascii="Times New Roman" w:hAnsi="Times New Roman"/>
        <w:b w:val="false"/>
        <w:i/>
        <w:iCs/>
        <w:caps w:val="false"/>
        <w:smallCaps w:val="false"/>
        <w:spacing w:val="0"/>
        <w:sz w:val="16"/>
        <w:szCs w:val="16"/>
      </w:rPr>
      <w:t>15</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23</w:t>
    </w:r>
    <w:r>
      <w:rPr>
        <w:rFonts w:ascii="Times New Roman" w:hAnsi="Times New Roman"/>
        <w:b w:val="false"/>
        <w:i/>
        <w:iCs/>
        <w:caps w:val="false"/>
        <w:smallCaps w:val="false"/>
        <w:spacing w:val="0"/>
        <w:sz w:val="16"/>
        <w:szCs w:val="16"/>
      </w:rPr>
      <w:t>, Julio-Diciembre 2020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5, No. 10, pp. 1</w:t>
    </w:r>
    <w:r>
      <w:rPr>
        <w:rFonts w:ascii="Times New Roman" w:hAnsi="Times New Roman"/>
        <w:b w:val="false"/>
        <w:i/>
        <w:iCs/>
        <w:caps w:val="false"/>
        <w:smallCaps w:val="false"/>
        <w:spacing w:val="0"/>
        <w:sz w:val="16"/>
        <w:szCs w:val="16"/>
      </w:rPr>
      <w:t>15</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23</w:t>
    </w:r>
    <w:r>
      <w:rPr>
        <w:rFonts w:ascii="Times New Roman" w:hAnsi="Times New Roman"/>
        <w:b w:val="false"/>
        <w:i/>
        <w:iCs/>
        <w:caps w:val="false"/>
        <w:smallCaps w:val="false"/>
        <w:spacing w:val="0"/>
        <w:sz w:val="16"/>
        <w:szCs w:val="16"/>
      </w:rPr>
      <w:t>, Julio-Diciembre 2020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W w:w="11131" w:type="dxa"/>
      <w:jc w:val="left"/>
      <w:tblInd w:w="-833" w:type="dxa"/>
      <w:tblBorders/>
      <w:tblCellMar>
        <w:top w:w="100" w:type="dxa"/>
        <w:left w:w="100" w:type="dxa"/>
        <w:bottom w:w="100" w:type="dxa"/>
        <w:right w:w="100" w:type="dxa"/>
      </w:tblCellMar>
    </w:tblPr>
    <w:tblGrid>
      <w:gridCol w:w="3331"/>
      <w:gridCol w:w="4111"/>
      <w:gridCol w:w="3689"/>
    </w:tblGrid>
    <w:tr>
      <w:trPr>
        <w:trHeight w:val="420" w:hRule="atLeast"/>
      </w:trPr>
      <w:tc>
        <w:tcPr>
          <w:tcW w:w="3331" w:type="dxa"/>
          <w:tcBorders/>
          <w:shd w:fill="FFFFFF"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FFFFFF" w:val="clear"/>
        </w:tcPr>
        <w:p>
          <w:pPr>
            <w:pStyle w:val="Normal"/>
            <w:tabs>
              <w:tab w:val="center" w:pos="4419" w:leader="none"/>
              <w:tab w:val="right" w:pos="8838" w:leader="none"/>
            </w:tabs>
            <w:bidi w:val="0"/>
            <w:spacing w:lineRule="auto" w:line="240" w:before="0" w:after="0"/>
            <w:ind w:left="0" w:right="0" w:hanging="0"/>
            <w:jc w:val="center"/>
            <w:rPr>
              <w:sz w:val="20"/>
              <w:szCs w:val="20"/>
            </w:rPr>
          </w:pPr>
          <w:r>
            <w:rPr>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5, No. 10, pp. 1</w:t>
          </w:r>
          <w:r>
            <w:rPr>
              <w:rFonts w:eastAsia="Times New Roman" w:cs="Times New Roman" w:ascii="Times New Roman" w:hAnsi="Times New Roman"/>
              <w:sz w:val="20"/>
              <w:szCs w:val="20"/>
            </w:rPr>
            <w:t>15</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23</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2020</w:t>
          </w:r>
        </w:p>
      </w:tc>
      <w:tc>
        <w:tcPr>
          <w:tcW w:w="3689" w:type="dxa"/>
          <w:tcBorders/>
          <w:shd w:fill="FFFFFF" w:val="clear"/>
        </w:tcPr>
        <w:p>
          <w:pPr>
            <w:pStyle w:val="Normal"/>
            <w:tabs>
              <w:tab w:val="center" w:pos="4419" w:leader="none"/>
              <w:tab w:val="right" w:pos="8838" w:leader="none"/>
            </w:tabs>
            <w:bidi w:val="0"/>
            <w:spacing w:lineRule="auto" w:line="240" w:before="0" w:after="0"/>
            <w:ind w:left="0" w:right="0" w:hanging="0"/>
            <w:jc w:val="right"/>
            <w:rPr/>
          </w:pPr>
          <w:r>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settings.xml><?xml version="1.0" encoding="utf-8"?>
<w:settings xmlns:w="http://schemas.openxmlformats.org/wordprocessingml/2006/main">
  <w:zoom w:percent="100"/>
  <w:defaultTabStop w:val="708"/>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454b"/>
    <w:pPr>
      <w:widowControl/>
      <w:bidi w:val="0"/>
      <w:spacing w:lineRule="auto" w:line="276" w:before="0" w:after="0"/>
      <w:jc w:val="left"/>
    </w:pPr>
    <w:rPr>
      <w:rFonts w:ascii="Arial" w:hAnsi="Arial" w:eastAsia="Arial" w:cs="Arial"/>
      <w:color w:val="auto"/>
      <w:sz w:val="22"/>
      <w:szCs w:val="22"/>
      <w:lang w:eastAsia="es-MX" w:val="es-MX" w:bidi="ar-SA"/>
    </w:rPr>
  </w:style>
  <w:style w:type="paragraph" w:styleId="Ttulo1">
    <w:name w:val="Heading 1"/>
    <w:basedOn w:val="Normal"/>
    <w:next w:val="Normal"/>
    <w:link w:val="Ttulo1Car"/>
    <w:qFormat/>
    <w:rsid w:val="00175b39"/>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4e1c2a"/>
    <w:pPr>
      <w:keepNext/>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Ttulo6">
    <w:name w:val="Heading 6"/>
    <w:basedOn w:val="Normal"/>
    <w:next w:val="Normal"/>
    <w:link w:val="Ttulo6Car"/>
    <w:uiPriority w:val="9"/>
    <w:semiHidden/>
    <w:unhideWhenUsed/>
    <w:qFormat/>
    <w:rsid w:val="00a1716a"/>
    <w:pPr>
      <w:keepNext/>
      <w:keepLines/>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175b39"/>
    <w:rPr>
      <w:rFonts w:ascii="Arial" w:hAnsi="Arial" w:eastAsia="Arial" w:cs="Arial"/>
      <w:sz w:val="40"/>
      <w:szCs w:val="40"/>
      <w:lang w:eastAsia="es-MX"/>
    </w:rPr>
  </w:style>
  <w:style w:type="character" w:styleId="EnlacedeInternet">
    <w:name w:val="Enlace de Internet"/>
    <w:basedOn w:val="DefaultParagraphFont"/>
    <w:uiPriority w:val="99"/>
    <w:unhideWhenUsed/>
    <w:rsid w:val="00e00397"/>
    <w:rPr>
      <w:color w:val="0563C1" w:themeColor="hyperlink"/>
      <w:u w:val="single"/>
    </w:rPr>
  </w:style>
  <w:style w:type="character" w:styleId="UnresolvedMention">
    <w:name w:val="Unresolved Mention"/>
    <w:basedOn w:val="DefaultParagraphFont"/>
    <w:uiPriority w:val="99"/>
    <w:semiHidden/>
    <w:unhideWhenUsed/>
    <w:qFormat/>
    <w:rsid w:val="00e00397"/>
    <w:rPr>
      <w:color w:val="605E5C"/>
      <w:shd w:fill="E1DFDD" w:val="clear"/>
    </w:rPr>
  </w:style>
  <w:style w:type="character" w:styleId="TextoindependienteCar" w:customStyle="1">
    <w:name w:val="Texto independiente Car"/>
    <w:basedOn w:val="DefaultParagraphFont"/>
    <w:link w:val="Textoindependiente"/>
    <w:uiPriority w:val="99"/>
    <w:qFormat/>
    <w:rsid w:val="008d56bd"/>
    <w:rPr/>
  </w:style>
  <w:style w:type="character" w:styleId="Ttulo6Car" w:customStyle="1">
    <w:name w:val="Título 6 Car"/>
    <w:basedOn w:val="DefaultParagraphFont"/>
    <w:link w:val="Ttulo6"/>
    <w:uiPriority w:val="9"/>
    <w:semiHidden/>
    <w:qFormat/>
    <w:rsid w:val="00a1716a"/>
    <w:rPr>
      <w:rFonts w:ascii="Calibri Light" w:hAnsi="Calibri Light" w:eastAsia="" w:cs="" w:asciiTheme="majorHAnsi" w:cstheme="majorBidi" w:eastAsiaTheme="majorEastAsia" w:hAnsiTheme="majorHAnsi"/>
      <w:color w:val="1F3763" w:themeColor="accent1" w:themeShade="7f"/>
      <w:lang w:eastAsia="es-MX"/>
    </w:rPr>
  </w:style>
  <w:style w:type="character" w:styleId="Ttulo2Car" w:customStyle="1">
    <w:name w:val="Título 2 Car"/>
    <w:basedOn w:val="DefaultParagraphFont"/>
    <w:link w:val="Ttulo2"/>
    <w:uiPriority w:val="9"/>
    <w:semiHidden/>
    <w:qFormat/>
    <w:rsid w:val="004e1c2a"/>
    <w:rPr>
      <w:rFonts w:ascii="Calibri Light" w:hAnsi="Calibri Light" w:eastAsia="" w:cs="" w:asciiTheme="majorHAnsi" w:cstheme="majorBidi" w:eastAsiaTheme="majorEastAsia" w:hAnsiTheme="majorHAnsi"/>
      <w:color w:val="2F5496" w:themeColor="accent1" w:themeShade="bf"/>
      <w:sz w:val="26"/>
      <w:szCs w:val="26"/>
      <w:lang w:eastAsia="es-MX"/>
    </w:rPr>
  </w:style>
  <w:style w:type="character" w:styleId="TextodegloboCar" w:customStyle="1">
    <w:name w:val="Texto de globo Car"/>
    <w:basedOn w:val="DefaultParagraphFont"/>
    <w:link w:val="Textodeglobo"/>
    <w:uiPriority w:val="99"/>
    <w:semiHidden/>
    <w:qFormat/>
    <w:rsid w:val="00e61675"/>
    <w:rPr>
      <w:rFonts w:ascii="Segoe UI" w:hAnsi="Segoe UI" w:eastAsia="Arial" w:cs="Segoe UI"/>
      <w:sz w:val="18"/>
      <w:szCs w:val="18"/>
      <w:lang w:eastAsia="es-MX"/>
    </w:rPr>
  </w:style>
  <w:style w:type="character" w:styleId="ListLabel1">
    <w:name w:val="ListLabel 1"/>
    <w:qFormat/>
    <w:rPr>
      <w:rFonts w:eastAsia="Arial" w:cs="Arial"/>
      <w:color w:val="231F20"/>
      <w:w w:val="80"/>
      <w:sz w:val="21"/>
      <w:szCs w:val="21"/>
      <w:lang w:val="es-ES" w:eastAsia="en-US" w:bidi="ar-SA"/>
    </w:rPr>
  </w:style>
  <w:style w:type="character" w:styleId="ListLabel2">
    <w:name w:val="ListLabel 2"/>
    <w:qFormat/>
    <w:rPr>
      <w:rFonts w:eastAsia="Arial" w:cs="Arial"/>
      <w:color w:val="231F20"/>
      <w:w w:val="80"/>
      <w:sz w:val="21"/>
      <w:szCs w:val="21"/>
      <w:lang w:val="es-ES" w:eastAsia="en-US" w:bidi="ar-SA"/>
    </w:rPr>
  </w:style>
  <w:style w:type="character" w:styleId="ListLabel3">
    <w:name w:val="ListLabel 3"/>
    <w:qFormat/>
    <w:rPr>
      <w:lang w:val="es-ES" w:eastAsia="en-US" w:bidi="ar-SA"/>
    </w:rPr>
  </w:style>
  <w:style w:type="character" w:styleId="ListLabel4">
    <w:name w:val="ListLabel 4"/>
    <w:qFormat/>
    <w:rPr>
      <w:lang w:val="es-ES" w:eastAsia="en-US" w:bidi="ar-SA"/>
    </w:rPr>
  </w:style>
  <w:style w:type="character" w:styleId="ListLabel5">
    <w:name w:val="ListLabel 5"/>
    <w:qFormat/>
    <w:rPr>
      <w:lang w:val="es-ES" w:eastAsia="en-US" w:bidi="ar-SA"/>
    </w:rPr>
  </w:style>
  <w:style w:type="character" w:styleId="ListLabel6">
    <w:name w:val="ListLabel 6"/>
    <w:qFormat/>
    <w:rPr>
      <w:lang w:val="es-ES" w:eastAsia="en-US" w:bidi="ar-SA"/>
    </w:rPr>
  </w:style>
  <w:style w:type="character" w:styleId="ListLabel7">
    <w:name w:val="ListLabel 7"/>
    <w:qFormat/>
    <w:rPr>
      <w:lang w:val="es-ES" w:eastAsia="en-US" w:bidi="ar-SA"/>
    </w:rPr>
  </w:style>
  <w:style w:type="character" w:styleId="ListLabel8">
    <w:name w:val="ListLabel 8"/>
    <w:qFormat/>
    <w:rPr>
      <w:lang w:val="es-ES" w:eastAsia="en-US" w:bidi="ar-SA"/>
    </w:rPr>
  </w:style>
  <w:style w:type="character" w:styleId="ListLabel9">
    <w:name w:val="ListLabel 9"/>
    <w:qFormat/>
    <w:rPr>
      <w:lang w:val="es-ES" w:eastAsia="en-US" w:bidi="ar-SA"/>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link w:val="TextoindependienteCar"/>
    <w:uiPriority w:val="99"/>
    <w:unhideWhenUsed/>
    <w:rsid w:val="008d56bd"/>
    <w:pPr>
      <w:spacing w:lineRule="auto" w:line="259" w:before="0" w:after="120"/>
    </w:pPr>
    <w:rPr>
      <w:rFonts w:ascii="Calibri" w:hAnsi="Calibri" w:eastAsia="Calibri" w:cs="" w:asciiTheme="minorHAnsi" w:cstheme="minorBidi" w:eastAsiaTheme="minorHAnsi" w:hAnsiTheme="minorHAnsi"/>
      <w:lang w:eastAsia="en-US"/>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NormalWeb">
    <w:name w:val="Normal (Web)"/>
    <w:basedOn w:val="Normal"/>
    <w:uiPriority w:val="99"/>
    <w:unhideWhenUsed/>
    <w:qFormat/>
    <w:rsid w:val="008c1e6d"/>
    <w:pPr>
      <w:spacing w:lineRule="auto" w:line="240" w:beforeAutospacing="1" w:afterAutospacing="1"/>
    </w:pPr>
    <w:rPr>
      <w:rFonts w:ascii="Times New Roman" w:hAnsi="Times New Roman" w:eastAsia="Times New Roman" w:cs="Times New Roman"/>
      <w:sz w:val="24"/>
      <w:szCs w:val="24"/>
    </w:rPr>
  </w:style>
  <w:style w:type="paragraph" w:styleId="ListBullet">
    <w:name w:val="List Bullet"/>
    <w:basedOn w:val="Normal"/>
    <w:uiPriority w:val="99"/>
    <w:unhideWhenUsed/>
    <w:qFormat/>
    <w:rsid w:val="008d56bd"/>
    <w:pPr>
      <w:spacing w:lineRule="auto" w:line="259" w:before="0" w:after="160"/>
      <w:contextualSpacing/>
    </w:pPr>
    <w:rPr>
      <w:rFonts w:ascii="Calibri" w:hAnsi="Calibri" w:eastAsia="Calibri" w:cs="" w:asciiTheme="minorHAnsi" w:cstheme="minorBidi" w:eastAsiaTheme="minorHAnsi" w:hAnsiTheme="minorHAnsi"/>
      <w:lang w:eastAsia="en-US"/>
    </w:rPr>
  </w:style>
  <w:style w:type="paragraph" w:styleId="ListParagraph">
    <w:name w:val="List Paragraph"/>
    <w:basedOn w:val="Normal"/>
    <w:uiPriority w:val="1"/>
    <w:qFormat/>
    <w:rsid w:val="00516299"/>
    <w:pPr>
      <w:spacing w:before="0" w:after="0"/>
      <w:ind w:left="720" w:hanging="0"/>
      <w:contextualSpacing/>
    </w:pPr>
    <w:rPr/>
  </w:style>
  <w:style w:type="paragraph" w:styleId="Aff" w:customStyle="1">
    <w:name w:val="aff"/>
    <w:basedOn w:val="Normal"/>
    <w:qFormat/>
    <w:rsid w:val="00774466"/>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TextodegloboCar"/>
    <w:uiPriority w:val="99"/>
    <w:semiHidden/>
    <w:unhideWhenUsed/>
    <w:qFormat/>
    <w:rsid w:val="00e61675"/>
    <w:pPr>
      <w:spacing w:lineRule="auto" w:line="240"/>
    </w:pPr>
    <w:rPr>
      <w:rFonts w:ascii="Segoe UI" w:hAnsi="Segoe UI" w:cs="Segoe UI"/>
      <w:sz w:val="18"/>
      <w:szCs w:val="18"/>
    </w:rPr>
  </w:style>
  <w:style w:type="paragraph" w:styleId="Cabecera">
    <w:name w:val="Header"/>
    <w:basedOn w:val="Normal"/>
    <w:pPr/>
    <w:rPr/>
  </w:style>
  <w:style w:type="paragraph" w:styleId="Piedepgina">
    <w:name w:val="Footer"/>
    <w:basedOn w:val="Normal"/>
    <w:pPr/>
    <w:rPr/>
  </w:style>
  <w:style w:type="paragraph" w:styleId="Cabeceraizquierda">
    <w:name w:val="Cabecera izquierda"/>
    <w:basedOn w:val="Normal"/>
    <w:qFormat/>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hyperlink" Target="http://www.scielo.org.mx/scielo.php?script=sci_arttext&amp;pid=S1405-10792009000200004" TargetMode="External"/><Relationship Id="rId10" Type="http://schemas.openxmlformats.org/officeDocument/2006/relationships/hyperlink" Target="http://sina.conagua.gob.mx/publicaciones/EAM_2018.pdf" TargetMode="External"/><Relationship Id="rId11" Type="http://schemas.openxmlformats.org/officeDocument/2006/relationships/hyperlink" Target="https://www.coneval.org.mx/Medicion/MP/Paginas/Pobreza-2018.aspx" TargetMode="External"/><Relationship Id="rId12" Type="http://schemas.openxmlformats.org/officeDocument/2006/relationships/hyperlink" Target="http://www.aguas.org.mx/sitio/index.php/panorama-del-agua/diagnosticos-del-agua" TargetMode="External"/><Relationship Id="rId13" Type="http://schemas.openxmlformats.org/officeDocument/2006/relationships/hyperlink" Target="https://scielo.conicyt.cl/scielo.php?script=sci_arttext&amp;pid=S0718-65682013000100019" TargetMode="External"/><Relationship Id="rId14" Type="http://schemas.openxmlformats.org/officeDocument/2006/relationships/hyperlink" Target="https://agua.org.mx/tag/morosidad/" TargetMode="External"/><Relationship Id="rId15" Type="http://schemas.openxmlformats.org/officeDocument/2006/relationships/hyperlink" Target="https://www.redalyc.org/articulo.oa?id=169446378004" TargetMode="External"/><Relationship Id="rId16" Type="http://schemas.openxmlformats.org/officeDocument/2006/relationships/hyperlink" Target="http://www.redalyc.org/pdf/3535/353549830003.pdf" TargetMode="External"/><Relationship Id="rId17" Type="http://schemas.openxmlformats.org/officeDocument/2006/relationships/hyperlink" Target="https://repositorio.cepal.org/handle/11362/6440" TargetMode="External"/><Relationship Id="rId18" Type="http://schemas.openxmlformats.org/officeDocument/2006/relationships/hyperlink" Target="https://www.repository.fedesarrollo.org.co/handle/11445/352" TargetMode="External"/><Relationship Id="rId19" Type="http://schemas.openxmlformats.org/officeDocument/2006/relationships/hyperlink" Target="https://www.oecd.org/water/Recomendacion-del-Consejo-sobre-el-agua.pdf" TargetMode="External"/><Relationship Id="rId20" Type="http://schemas.openxmlformats.org/officeDocument/2006/relationships/hyperlink" Target="http://www.scielo.org.mx/scielo.php?script=sci_arttext&amp;pid=S1665-952X2005000300002" TargetMode="Externa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797F-D28B-4ED5-AC8A-6F4A2409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LibreOffice/5.2.7.2$Linux_X86_64 LibreOffice_project/20m0$Build-2</Application>
  <Pages>9</Pages>
  <Words>5229</Words>
  <Characters>28584</Characters>
  <CharactersWithSpaces>33725</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2020-11-23T22:23:00Z</dcterms:created>
  <dc:creator>DIANA VIRGENES POLANCO MIS</dc:creator>
  <dc:description/>
  <dc:language>es-MX</dc:language>
  <cp:lastModifiedBy/>
  <dcterms:modified xsi:type="dcterms:W3CDTF">2020-12-15T23:39:00Z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