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3.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charts/chart1.xml" ContentType="application/vnd.openxmlformats-officedocument.drawingml.chart+xml"/>
  <Override PartName="/word/charts/_rels/chart6.xml.rels" ContentType="application/vnd.openxmlformats-package.relationships+xml"/>
  <Override PartName="/word/charts/_rels/chart3.xml.rels" ContentType="application/vnd.openxmlformats-package.relationships+xml"/>
  <Override PartName="/word/charts/_rels/chart5.xml.rels" ContentType="application/vnd.openxmlformats-package.relationships+xml"/>
  <Override PartName="/word/charts/_rels/chart4.xml.rels" ContentType="application/vnd.openxmlformats-package.relationship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embeddings/Hoja_de_c_lculo_de_Microsoft_Excel2.xlsx" ContentType="application/vnd.openxmlformats-officedocument.spreadsheetml.sheet"/>
  <Override PartName="/word/embeddings/Hoja_de_c_lculo_de_Microsoft_Excel.xlsx" ContentType="application/vnd.openxmlformats-officedocument.spreadsheetml.sheet"/>
  <Override PartName="/word/embeddings/Hoja_de_c_lculo_de_Microsoft_Excel3.xlsx" ContentType="application/vnd.openxmlformats-officedocument.spreadsheetml.sheet"/>
  <Override PartName="/word/embeddings/Hoja_de_c_lculo_de_Microsoft_Excel1.xlsx" ContentType="application/vnd.openxmlformats-officedocument.spreadsheetml.sheet"/>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media/image1.png" ContentType="image/png"/>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0" w:after="0"/>
        <w:ind w:left="0" w:hanging="0"/>
        <w:jc w:val="center"/>
        <w:rPr>
          <w:rFonts w:ascii="Times New Roman" w:hAnsi="Times New Roman"/>
          <w:b w:val="false"/>
          <w:b w:val="false"/>
          <w:bCs w:val="false"/>
          <w:sz w:val="44"/>
          <w:szCs w:val="44"/>
        </w:rPr>
      </w:pPr>
      <w:r>
        <w:rPr>
          <w:rFonts w:ascii="Times New Roman" w:hAnsi="Times New Roman"/>
          <w:b w:val="false"/>
          <w:bCs w:val="false"/>
          <w:sz w:val="44"/>
          <w:szCs w:val="44"/>
        </w:rPr>
        <w:t xml:space="preserve">Control </w:t>
      </w:r>
      <w:r>
        <w:rPr>
          <w:rFonts w:ascii="Times New Roman" w:hAnsi="Times New Roman"/>
          <w:b w:val="false"/>
          <w:bCs w:val="false"/>
          <w:sz w:val="44"/>
          <w:szCs w:val="44"/>
        </w:rPr>
        <w:t>i</w:t>
      </w:r>
      <w:r>
        <w:rPr>
          <w:rFonts w:ascii="Times New Roman" w:hAnsi="Times New Roman"/>
          <w:b w:val="false"/>
          <w:bCs w:val="false"/>
          <w:sz w:val="44"/>
          <w:szCs w:val="44"/>
        </w:rPr>
        <w:t xml:space="preserve">nterno </w:t>
      </w:r>
      <w:r>
        <w:rPr>
          <w:rFonts w:ascii="Times New Roman" w:hAnsi="Times New Roman"/>
          <w:b w:val="false"/>
          <w:bCs w:val="false"/>
          <w:sz w:val="44"/>
          <w:szCs w:val="44"/>
        </w:rPr>
        <w:t>c</w:t>
      </w:r>
      <w:r>
        <w:rPr>
          <w:rFonts w:ascii="Times New Roman" w:hAnsi="Times New Roman"/>
          <w:b w:val="false"/>
          <w:bCs w:val="false"/>
          <w:sz w:val="44"/>
          <w:szCs w:val="44"/>
        </w:rPr>
        <w:t>ontable de los elementos clave del capital de trabajo para las Microempresas Papelerías de Progreso, Yucatán</w:t>
      </w:r>
    </w:p>
    <w:p>
      <w:pPr>
        <w:pStyle w:val="Normal"/>
        <w:ind w:left="118" w:right="115" w:hanging="0"/>
        <w:jc w:val="both"/>
        <w:rPr>
          <w:rFonts w:ascii="Times New Roman" w:hAnsi="Times New Roman"/>
          <w:color w:val="000000"/>
          <w:sz w:val="20"/>
          <w:szCs w:val="20"/>
        </w:rPr>
      </w:pPr>
      <w:r>
        <w:rPr>
          <w:rFonts w:ascii="Times New Roman" w:hAnsi="Times New Roman"/>
          <w:color w:val="000000"/>
          <w:sz w:val="20"/>
          <w:szCs w:val="20"/>
        </w:rPr>
      </w:r>
    </w:p>
    <w:p>
      <w:pPr>
        <w:pStyle w:val="Normal"/>
        <w:shd w:val="clear" w:color="auto" w:fill="F8F9FA"/>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overflowPunct w:val="false"/>
        <w:spacing w:lineRule="auto" w:line="240"/>
        <w:jc w:val="center"/>
        <w:rPr/>
      </w:pPr>
      <w:r>
        <w:rPr>
          <w:rFonts w:eastAsia="Times New Roman" w:cs="Times New Roman" w:ascii="Times New Roman" w:hAnsi="Times New Roman"/>
          <w:color w:val="1F1F1F"/>
          <w:kern w:val="0"/>
          <w:sz w:val="36"/>
          <w:szCs w:val="36"/>
          <w:lang w:val="en-US" w:eastAsia="es-MX" w:bidi="ar-SA"/>
        </w:rPr>
        <w:t>Internal Accounting Control Elements for Microenterprises Stationery Stores in Progreso, Yucatan</w:t>
      </w:r>
    </w:p>
    <w:p>
      <w:pPr>
        <w:pStyle w:val="Textopreformateado"/>
        <w:ind w:right="115" w:hanging="0"/>
        <w:jc w:val="center"/>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rPr>
      </w:pPr>
      <w:r>
        <w:rPr>
          <w:rFonts w:ascii="Times New Roman" w:hAnsi="Times New Roman"/>
          <w:color w:val="000000"/>
        </w:rPr>
        <w:t>Diana Graciela Paredes-Pech</w:t>
      </w:r>
      <w:r>
        <w:rPr>
          <w:rFonts w:ascii="Times New Roman" w:hAnsi="Times New Roman"/>
          <w:color w:val="000000"/>
          <w:vertAlign w:val="superscript"/>
        </w:rPr>
        <w:t>1*</w:t>
      </w:r>
      <w:r>
        <w:rPr>
          <w:rFonts w:ascii="Times New Roman" w:hAnsi="Times New Roman"/>
          <w:color w:val="000000"/>
        </w:rPr>
        <w:t>, Andrés Joel Ávila-Aguilar</w:t>
      </w:r>
      <w:r>
        <w:rPr>
          <w:rFonts w:ascii="Times New Roman" w:hAnsi="Times New Roman"/>
          <w:color w:val="000000"/>
          <w:vertAlign w:val="superscript"/>
        </w:rPr>
        <w:t>1</w:t>
      </w:r>
      <w:r>
        <w:rPr>
          <w:rFonts w:ascii="Times New Roman" w:hAnsi="Times New Roman"/>
          <w:color w:val="000000"/>
        </w:rPr>
        <w:t xml:space="preserve">, </w:t>
      </w:r>
    </w:p>
    <w:p>
      <w:pPr>
        <w:pStyle w:val="Normal"/>
        <w:ind w:right="115" w:hanging="0"/>
        <w:jc w:val="center"/>
        <w:rPr>
          <w:rFonts w:ascii="Times New Roman" w:hAnsi="Times New Roman"/>
        </w:rPr>
      </w:pPr>
      <w:r>
        <w:rPr>
          <w:rFonts w:ascii="Times New Roman" w:hAnsi="Times New Roman"/>
          <w:color w:val="000000"/>
        </w:rPr>
        <w:t>Alejandra Anirak López-Novelo</w:t>
      </w:r>
      <w:r>
        <w:rPr>
          <w:rFonts w:ascii="Times New Roman" w:hAnsi="Times New Roman"/>
          <w:color w:val="000000"/>
          <w:vertAlign w:val="superscript"/>
        </w:rPr>
        <w:t>1</w:t>
      </w:r>
      <w:r>
        <w:rPr>
          <w:rFonts w:ascii="Times New Roman" w:hAnsi="Times New Roman"/>
          <w:color w:val="000000"/>
        </w:rPr>
        <w:t xml:space="preserve"> y Sacramento Cruz-Doriano</w:t>
      </w:r>
      <w:r>
        <w:rPr>
          <w:rFonts w:ascii="Times New Roman" w:hAnsi="Times New Roman"/>
          <w:color w:val="000000"/>
          <w:vertAlign w:val="superscript"/>
        </w:rPr>
        <w:t>2</w:t>
      </w:r>
    </w:p>
    <w:p>
      <w:pPr>
        <w:pStyle w:val="Normal"/>
        <w:ind w:left="118" w:right="116" w:hanging="0"/>
        <w:jc w:val="center"/>
        <w:rPr>
          <w:rFonts w:ascii="Times New Roman" w:hAnsi="Times New Roman"/>
          <w:b/>
          <w:b/>
          <w:color w:val="000000"/>
          <w:sz w:val="20"/>
          <w:szCs w:val="20"/>
        </w:rPr>
      </w:pPr>
      <w:r>
        <w:rPr>
          <w:rFonts w:ascii="Times New Roman" w:hAnsi="Times New Roman"/>
          <w:b/>
          <w:color w:val="000000"/>
          <w:sz w:val="20"/>
          <w:szCs w:val="20"/>
        </w:rPr>
      </w:r>
    </w:p>
    <w:p>
      <w:pPr>
        <w:pStyle w:val="Normal"/>
        <w:ind w:right="116" w:hanging="0"/>
        <w:jc w:val="center"/>
        <w:rPr>
          <w:rFonts w:ascii="Times New Roman" w:hAnsi="Times New Roman"/>
          <w:i/>
          <w:i/>
          <w:iCs/>
          <w:color w:val="111111"/>
        </w:rPr>
      </w:pPr>
      <w:r>
        <w:rPr>
          <w:rFonts w:ascii="Times New Roman" w:hAnsi="Times New Roman"/>
          <w:i/>
          <w:iCs/>
          <w:color w:val="000000"/>
          <w:vertAlign w:val="superscript"/>
        </w:rPr>
        <w:t>1</w:t>
      </w:r>
      <w:r>
        <w:rPr>
          <w:rFonts w:ascii="Times New Roman" w:hAnsi="Times New Roman"/>
          <w:i/>
          <w:iCs/>
          <w:color w:val="000000"/>
        </w:rPr>
        <w:t xml:space="preserve">Tecnológico Nacional de México </w:t>
      </w:r>
      <w:r>
        <w:rPr>
          <w:rFonts w:ascii="Times New Roman" w:hAnsi="Times New Roman"/>
          <w:i/>
          <w:iCs/>
          <w:color w:val="000000"/>
        </w:rPr>
        <w:t>c</w:t>
      </w:r>
      <w:r>
        <w:rPr>
          <w:rFonts w:ascii="Times New Roman" w:hAnsi="Times New Roman"/>
          <w:i/>
          <w:iCs/>
          <w:color w:val="000000"/>
        </w:rPr>
        <w:t xml:space="preserve">ampus Progreso, Boulevard Tecnológico </w:t>
      </w:r>
      <w:r>
        <w:rPr>
          <w:rFonts w:ascii="Times New Roman" w:hAnsi="Times New Roman"/>
          <w:i/>
          <w:iCs/>
          <w:color w:val="000000"/>
        </w:rPr>
        <w:t xml:space="preserve">de </w:t>
      </w:r>
      <w:r>
        <w:rPr>
          <w:rFonts w:ascii="Times New Roman" w:hAnsi="Times New Roman"/>
          <w:i/>
          <w:iCs/>
          <w:color w:val="000000"/>
        </w:rPr>
        <w:t>Progreso S/N x 62, CP 97320, Progreso, Yucatán, México</w:t>
      </w:r>
      <w:r>
        <w:rPr>
          <w:rFonts w:ascii="Times New Roman" w:hAnsi="Times New Roman"/>
          <w:i/>
          <w:iCs/>
          <w:color w:val="111111"/>
        </w:rPr>
        <w:t>.</w:t>
      </w:r>
    </w:p>
    <w:p>
      <w:pPr>
        <w:pStyle w:val="Normal"/>
        <w:ind w:right="116" w:hanging="0"/>
        <w:jc w:val="center"/>
        <w:rPr>
          <w:sz w:val="20"/>
          <w:szCs w:val="20"/>
        </w:rPr>
      </w:pPr>
      <w:r>
        <w:rPr>
          <w:sz w:val="20"/>
          <w:szCs w:val="20"/>
        </w:rPr>
      </w:r>
    </w:p>
    <w:p>
      <w:pPr>
        <w:pStyle w:val="Normal"/>
        <w:ind w:right="116" w:hanging="0"/>
        <w:jc w:val="center"/>
        <w:rPr>
          <w:rFonts w:ascii="Times New Roman" w:hAnsi="Times New Roman"/>
          <w:i/>
          <w:i/>
          <w:iCs/>
          <w:color w:val="111111"/>
        </w:rPr>
      </w:pPr>
      <w:r>
        <w:rPr>
          <w:rFonts w:ascii="Times New Roman" w:hAnsi="Times New Roman"/>
          <w:i/>
          <w:iCs/>
          <w:color w:val="000000"/>
          <w:vertAlign w:val="superscript"/>
        </w:rPr>
        <w:t>2</w:t>
      </w:r>
      <w:r>
        <w:rPr>
          <w:rFonts w:ascii="Times New Roman" w:hAnsi="Times New Roman"/>
          <w:i/>
          <w:iCs/>
          <w:color w:val="000000"/>
        </w:rPr>
        <w:t xml:space="preserve">Tecnológico Nacional de México </w:t>
      </w:r>
      <w:r>
        <w:rPr>
          <w:rFonts w:ascii="Times New Roman" w:hAnsi="Times New Roman"/>
          <w:i/>
          <w:iCs/>
          <w:color w:val="000000"/>
        </w:rPr>
        <w:t>c</w:t>
      </w:r>
      <w:r>
        <w:rPr>
          <w:rFonts w:ascii="Times New Roman" w:hAnsi="Times New Roman"/>
          <w:i/>
          <w:iCs/>
          <w:color w:val="000000"/>
        </w:rPr>
        <w:t xml:space="preserve">ampus Calkiní, Av. Ah Canul por Carretera Federal, </w:t>
      </w:r>
    </w:p>
    <w:p>
      <w:pPr>
        <w:pStyle w:val="Normal"/>
        <w:ind w:right="116" w:hanging="0"/>
        <w:jc w:val="center"/>
        <w:rPr>
          <w:rFonts w:ascii="Times New Roman" w:hAnsi="Times New Roman"/>
          <w:i/>
          <w:i/>
          <w:iCs/>
          <w:color w:val="111111"/>
        </w:rPr>
      </w:pPr>
      <w:r>
        <w:rPr>
          <w:rFonts w:ascii="Times New Roman" w:hAnsi="Times New Roman"/>
          <w:i/>
          <w:iCs/>
          <w:color w:val="000000"/>
        </w:rPr>
        <w:t xml:space="preserve">CP 24900, </w:t>
      </w:r>
      <w:r>
        <w:rPr>
          <w:rFonts w:ascii="Times New Roman" w:hAnsi="Times New Roman"/>
          <w:i/>
          <w:iCs/>
          <w:color w:val="000000"/>
        </w:rPr>
        <w:t>Calkiní, Campeche, México</w:t>
      </w:r>
      <w:r>
        <w:rPr>
          <w:rFonts w:ascii="Times New Roman" w:hAnsi="Times New Roman"/>
          <w:i/>
          <w:iCs/>
          <w:color w:val="111111"/>
        </w:rPr>
        <w:t>.</w:t>
      </w:r>
    </w:p>
    <w:p>
      <w:pPr>
        <w:pStyle w:val="Normal"/>
        <w:ind w:right="116" w:hanging="0"/>
        <w:jc w:val="center"/>
        <w:rPr>
          <w:rFonts w:ascii="Times New Roman" w:hAnsi="Times New Roman"/>
          <w:i/>
          <w:i/>
          <w:iCs/>
        </w:rPr>
      </w:pPr>
      <w:r>
        <w:rPr>
          <w:rFonts w:ascii="Times New Roman" w:hAnsi="Times New Roman"/>
          <w:i/>
          <w:iCs/>
          <w:sz w:val="20"/>
          <w:szCs w:val="20"/>
        </w:rPr>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 xml:space="preserve">*Corresponding author: </w:t>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diana.pp@progreso.tecnm.mx</w:t>
      </w:r>
    </w:p>
    <w:p>
      <w:pPr>
        <w:pStyle w:val="Normal"/>
        <w:rPr>
          <w:rFonts w:ascii="Times New Roman" w:hAnsi="Times New Roman"/>
          <w:color w:val="000000"/>
          <w:sz w:val="20"/>
          <w:szCs w:val="20"/>
          <w:lang w:val="en-US"/>
        </w:rPr>
      </w:pPr>
      <w:r>
        <w:rPr>
          <w:rFonts w:ascii="Times New Roman" w:hAnsi="Times New Roman"/>
          <w:color w:val="000000"/>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rPr>
        <w:t xml:space="preserve">Resumen. </w:t>
      </w:r>
      <w:bookmarkStart w:id="0" w:name="_Hlk197019543"/>
      <w:r>
        <w:rPr>
          <w:rFonts w:ascii="Times New Roman" w:hAnsi="Times New Roman"/>
        </w:rPr>
        <w:t>Esta investigación describe los elementos de control interno contable en las microempresas del giro papelería en Progreso Yucatán, un sector importante para el desarrollo económico local. Se encuesta a 31 establecimientos, se observaron deficiencias críticas en los controles de efectivo, inventarios, cuentas por cobrar y pagar. El 74% reporta fondo fijo de caja chica y conciliaciones bancarias, el restante 26% refleja las áreas más elevadas de riesgo operativo y financiero. Se destaca que el 42% no incluye un área definida para inventarios y el 20% que no asigna un responsable específico, vulnerando la eficiencia operativa. El 29% no cuenta con un plan de pagos a proveedores y 48% no posee registro de los créditos otorgados. Todo lo anterior evidencia que en las microempresas deben establecer un robusto sistema de control contable interno que garantice la salud financiera, minimice riesgos de fallas y que promueva la sostenibilidad de estas.</w:t>
      </w:r>
      <w:bookmarkEnd w:id="0"/>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eastAsia="Times New Roman" w:cs="Times New Roman"/>
          <w:b/>
          <w:b/>
          <w:bCs/>
          <w:sz w:val="20"/>
          <w:szCs w:val="20"/>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 xml:space="preserve">lave: </w:t>
      </w:r>
      <w:r>
        <w:rPr>
          <w:rFonts w:eastAsia="Times New Roman" w:cs="Times New Roman" w:ascii="Times New Roman" w:hAnsi="Times New Roman"/>
          <w:b/>
          <w:bCs/>
          <w:sz w:val="20"/>
          <w:szCs w:val="20"/>
        </w:rPr>
        <w:t>Control interno contable, efectivo, inventarios, cuentas por cobrar, cuentas por pagar.</w:t>
      </w:r>
    </w:p>
    <w:p>
      <w:pPr>
        <w:pStyle w:val="Ttulo1"/>
        <w:widowControl w:val="false"/>
        <w:spacing w:before="0" w:after="0"/>
        <w:ind w:left="0" w:right="0" w:hanging="0"/>
        <w:jc w:val="both"/>
        <w:rPr>
          <w:rFonts w:ascii="Times New Roman" w:hAnsi="Times New Roman"/>
          <w:lang w:val="en-US"/>
        </w:rPr>
      </w:pPr>
      <w:r>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lang w:val="en-US"/>
        </w:rPr>
        <w:t>This research describes the elements of internal accounting control in microenterprises of the stationery business in Progreso Yucatan, an important sector for local economic development. Thirty-one establishments were surveyed, and critical deficiencies were observed in the control of cash, inventories, accounts receivable and accounts payable. Seventy-four percent report petty cash and bank reconciliations, the remaining 26% reflect the highest areas of operational and financial risk. It should be noted that 42% do not include a defined area for inventories and 20% do not assign a specific person in charge, thus violating operational efficiency. Twenty-nine percent do not have a supplier payment plan and 48% have no record of loans granted. All the above shows that microenterprises should establish a robust internal accounting control system that guarantees financial health, minimizes the risk of failures and promotes their sustainability.</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b/>
          <w:b/>
          <w:bCs/>
          <w:sz w:val="20"/>
          <w:szCs w:val="20"/>
          <w:lang w:val="en-US"/>
        </w:rPr>
      </w:pPr>
      <w:r>
        <w:rPr>
          <w:rFonts w:ascii="Times New Roman" w:hAnsi="Times New Roman"/>
          <w:b/>
          <w:bCs/>
          <w:sz w:val="20"/>
          <w:szCs w:val="20"/>
          <w:lang w:val="en-US"/>
        </w:rPr>
        <w:t>Keywords: Internal accounting control, cash, inventories, accounts receivable, accounts payable.</w:t>
      </w:r>
    </w:p>
    <w:p>
      <w:pPr>
        <w:pStyle w:val="Normal"/>
        <w:ind w:left="118"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1" w:name="_heading=h.97e7t0ql9gj5"/>
      <w:bookmarkEnd w:id="1"/>
      <w:r>
        <w:rPr>
          <w:rFonts w:ascii="Times New Roman" w:hAnsi="Times New Roman"/>
        </w:rPr>
        <w:t>I. INTRODUCCIÓN</w:t>
      </w:r>
    </w:p>
    <w:p>
      <w:pPr>
        <w:pStyle w:val="LOnormal"/>
        <w:ind w:right="124" w:hanging="0"/>
        <w:jc w:val="both"/>
        <w:rPr>
          <w:rFonts w:ascii="Times New Roman" w:hAnsi="Times New Roman"/>
          <w:sz w:val="20"/>
          <w:szCs w:val="20"/>
        </w:rPr>
      </w:pPr>
      <w:r>
        <w:rPr>
          <w:rFonts w:ascii="Times New Roman" w:hAnsi="Times New Roman"/>
          <w:sz w:val="20"/>
          <w:szCs w:val="20"/>
        </w:rPr>
        <w:t xml:space="preserve">La importancia del control interno contable es fundamental para el buen funcionamiento de cualquier empresa. En primer lugar, estos controles son esenciales para la protección de los activos de la organización, ya que ayudan a salvaguardar los bienes contra robos, fraudes o mal manejo. </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Además, el control interno contable garantiza la fiabilidad y validez de la información financiera (Cumbicos, Señalin &amp; Tapia, 2023). Asegurarse de que los registros contables sean precisos y confiables es vital para la toma de decisiones informadas. Un sistema efectivo de control interno asegura que la información refleje la verdadera situación financiera de la organización.</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 xml:space="preserve">Los elementos del control interno contable son indispensables para las empresas sin importar su tamaño, en México las microempresas son un componente fundamental para la generación de empleo y la dinámica local (Salas Chávez et al. 2023); sin embargo, el cierre de la mayoría sigue siendo una preocupación persistente. </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 xml:space="preserve">Varios estudios han señalado múltiples factores que contribuyen a su desaparición, entre los que destacan problemas de financiamiento, mala gestión administrativa, falta de conocimiento del mercado, dificultades para adaptarse al entorno y carencia de controles internos contables efectivos (Flores Laguna &amp; Aquino Mercado, 2023), esta última problemática resulta crítica, pues impide que las microempresas generen información financiera veraz y confiable, elemento indispensable para una adecuada toma de decisiones estratégicas. </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 xml:space="preserve">La falta de registros contables sólidos y sus mecanismos de control no garantizan la integridad de los datos financieros, lo que hace que las microempresas sean incapaces de evaluar su desempeño, realizar proyecciones de escenarios futuros y responder oportunamente a los cambios en su entorno económico (Gálvez, Restrepo &amp; Hernández, 2017). </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De acuerdo con lo anterior, el fortalecimiento de los sistemas contables internos, además de ser una herramienta técnica, son un factor clave para la permanencia y competitividad de estas unidades económicas. Algunas de las microempresas papelerías de Progreso, Yucatán, no logran mantenerse en el mercado debido al mal manejo de sus controles internos contables y esto se debe a que desconocen o tienen poca información sobre los mismos.</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Por lo general se contrata servicio externo para sus obligaciones fiscales y por tanto no recurren a los registros contables financieros y controles internos de ciertos activos; como el inventario, que genere información financiera que les sea útil para su proceso de toma de decisiones.</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Es por eso que, el objetivo de la presente investigación es describir los controles internos de los elementos claves del capital de trabajo para la obtención de información financiera confiable que facilite la toma de decisiones de las microempresas papelerías de Progreso, Yucatán.</w:t>
      </w:r>
    </w:p>
    <w:p>
      <w:pPr>
        <w:pStyle w:val="LOnormal"/>
        <w:ind w:right="124" w:hanging="0"/>
        <w:jc w:val="both"/>
        <w:rPr>
          <w:rFonts w:ascii="Times New Roman" w:hAnsi="Times New Roman"/>
          <w:sz w:val="20"/>
          <w:szCs w:val="20"/>
        </w:rPr>
      </w:pPr>
      <w:r>
        <w:rPr/>
      </w:r>
    </w:p>
    <w:p>
      <w:pPr>
        <w:pStyle w:val="LOnormal"/>
        <w:ind w:right="124" w:hanging="0"/>
        <w:jc w:val="both"/>
        <w:rPr>
          <w:rFonts w:ascii="Times New Roman" w:hAnsi="Times New Roman"/>
          <w:sz w:val="20"/>
          <w:szCs w:val="20"/>
        </w:rPr>
      </w:pPr>
      <w:r>
        <w:rPr>
          <w:rFonts w:ascii="Times New Roman" w:hAnsi="Times New Roman"/>
          <w:sz w:val="20"/>
          <w:szCs w:val="20"/>
        </w:rPr>
        <w:t>Es fundamental que se comprenda la importancia del establecimiento de los controles internos contables para el registro de las operaciones diarias que les permita generar información financiera útil para su entidad económica.</w:t>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bookmarkStart w:id="2" w:name="irsae4pt0k7"/>
      <w:bookmarkStart w:id="3" w:name="3pfjxnouhw7e"/>
      <w:bookmarkStart w:id="4" w:name="irsae4pt0k7"/>
      <w:bookmarkStart w:id="5" w:name="3pfjxnouhw7e"/>
      <w:bookmarkEnd w:id="4"/>
      <w:bookmarkEnd w:id="5"/>
    </w:p>
    <w:p>
      <w:pPr>
        <w:pStyle w:val="LOnormal"/>
        <w:jc w:val="both"/>
        <w:rPr>
          <w:lang w:val="en-US"/>
        </w:rPr>
      </w:pPr>
      <w:r>
        <w:rPr>
          <w:rFonts w:eastAsia="Times New Roman" w:cs="Times New Roman" w:ascii="Times New Roman" w:hAnsi="Times New Roman"/>
          <w:b/>
          <w:bCs/>
          <w:sz w:val="20"/>
          <w:szCs w:val="20"/>
        </w:rPr>
        <w:t>II. METODOLOGÍA</w:t>
      </w:r>
    </w:p>
    <w:p>
      <w:pPr>
        <w:pStyle w:val="LOnormal"/>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La presente investigación es de enfoque cuantitativo, descriptivo y de diseño transversal. La población de estudio fue conformada por 41 microempresas papelerías específicamente de la Ciudad y Puerto de Progreso de Castro, Yucatán, lista tomada del Directorio Estadístico Nacional de Unidades Económicas (DENUE, 2024).</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 xml:space="preserve">Para el cálculo de la muestra se consideró un nivel de confianza del 95% y un margen de error del 5%, obteniendo como resultado 38 microempresas papelerías a encuestar, pero solo 31 accedieron a participar en el proyecto. </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En la recolección de datos se utilizó un instrumento validado por expertos en el tema de la academia del programa de Ingeniería en Gestión Empresarial, que consta de 20 preguntas, considerando las variables del capital de trabajo: efectivo, inventarios, cuentas por cobrar y cuentas por pagar, aplicando una escala de Likert.</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En el análisis de los resultados se aplicó la estadística descriptiva, utilizando una hoja de cálculo del programa EXCEL.</w:t>
      </w:r>
    </w:p>
    <w:p>
      <w:pPr>
        <w:pStyle w:val="LOnormal"/>
        <w:jc w:val="both"/>
        <w:rPr>
          <w:rFonts w:ascii="Times New Roman" w:hAnsi="Times New Roman" w:cs="Times New Roman"/>
          <w:sz w:val="20"/>
          <w:szCs w:val="20"/>
        </w:rPr>
      </w:pPr>
      <w:r>
        <w:rPr>
          <w:rFonts w:cs="Times New Roman" w:ascii="Times New Roman" w:hAnsi="Times New Roman"/>
          <w:sz w:val="20"/>
          <w:szCs w:val="20"/>
        </w:rPr>
        <w:t>Moreno Albuja et al. (2020), los autores destacan que el control interno es un proceso integral implementado por la administración y el personal de una entidad, diseñado para proporcionar una seguridad razonable en el logro de objetivos relacionados con la eficacia y eficiencia de las operaciones, la confiabilidad de la información financiera y el cumplimiento de leyes y regulaciones aplicables. De acuerdo con Balla y López (2018), el control interno; se refería a un plan de organización y todas las medidas y sistemas coordinados que se adoptan en una empresa para salvaguardar sus bienes, comprobar la exactitud y confiabilidad de su contabilidad, promover la eficiencia y eficacia de las funciones operativas y fomentar el cumplimiento leyes y normas aplicables y de las políticas prescritas por la dirección, los cuales siguen siendo los mismos objetivos perseguidos actualmente por el control interno organizacional.</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Por otro lado, el control interno contable se enfoca específicamente en el registro oportuno de transacciones de acuerdo con las Normas de Información Financiera (NIF). Este tipo de control establece normas, políticas y procesos para el análisis, clasificación, registro, producción y presentación de información financiera, facilitando así la toma de decisiones económicas (Paz Díaz, 2024). Según Gómez y Barbeito (2019) Control interno contable: Son los controles y métodos establecidos para garantizar la protección de los activos y. la fiabilidad y validez de los registros y sistemas contables, Este control interno contable no solo se refiere a normas de control con fundamento contable sino también a todos aquellos procedimientos que afectando a la situación financiera o al proceso informativo no son operaciones estrictamente contables o de registro.</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El presente trabajo de investigación se enfoca a los rubros relacionados con el capital de trabajo, como elementos clave de las organizaciones, es por ello que a continuación se describe la importancia del control interno contable en cada uno de ellos y los indicadores que apoyarían a las entidades económicas a facilitar el proceso de su toma de decisiones.</w:t>
      </w:r>
    </w:p>
    <w:p>
      <w:pPr>
        <w:pStyle w:val="LOnormal"/>
        <w:jc w:val="both"/>
        <w:rPr>
          <w:rFonts w:ascii="Times New Roman" w:hAnsi="Times New Roman" w:cs="Times New Roman"/>
          <w:b/>
          <w:b/>
          <w:sz w:val="20"/>
          <w:szCs w:val="20"/>
        </w:rPr>
      </w:pPr>
      <w:r>
        <w:rPr>
          <w:rFonts w:cs="Times New Roman" w:ascii="Times New Roman" w:hAnsi="Times New Roman"/>
          <w:b/>
          <w:sz w:val="20"/>
          <w:szCs w:val="20"/>
        </w:rPr>
      </w:r>
    </w:p>
    <w:p>
      <w:pPr>
        <w:pStyle w:val="LOnormal"/>
        <w:jc w:val="both"/>
        <w:rPr>
          <w:b w:val="false"/>
          <w:b w:val="false"/>
          <w:bCs w:val="false"/>
          <w:i/>
          <w:i/>
          <w:iCs/>
        </w:rPr>
      </w:pPr>
      <w:r>
        <w:rPr>
          <w:rFonts w:cs="Times New Roman" w:ascii="Times New Roman" w:hAnsi="Times New Roman"/>
          <w:b w:val="false"/>
          <w:bCs w:val="false"/>
          <w:i/>
          <w:iCs/>
          <w:sz w:val="20"/>
          <w:szCs w:val="20"/>
        </w:rPr>
        <w:t xml:space="preserve">A. </w:t>
      </w:r>
      <w:r>
        <w:rPr>
          <w:rFonts w:cs="Times New Roman" w:ascii="Times New Roman" w:hAnsi="Times New Roman"/>
          <w:b w:val="false"/>
          <w:bCs w:val="false"/>
          <w:i/>
          <w:iCs/>
          <w:sz w:val="20"/>
          <w:szCs w:val="20"/>
        </w:rPr>
        <w:t>Capital de trabajo</w:t>
      </w:r>
    </w:p>
    <w:p>
      <w:pPr>
        <w:pStyle w:val="LOnormal"/>
        <w:jc w:val="both"/>
        <w:rPr>
          <w:rFonts w:ascii="Times New Roman" w:hAnsi="Times New Roman" w:cs="Times New Roman"/>
          <w:sz w:val="20"/>
          <w:szCs w:val="20"/>
        </w:rPr>
      </w:pPr>
      <w:r>
        <w:rPr>
          <w:rFonts w:cs="Times New Roman" w:ascii="Times New Roman" w:hAnsi="Times New Roman"/>
          <w:sz w:val="20"/>
          <w:szCs w:val="20"/>
        </w:rPr>
        <w:t>García y Rodríguez (2021) mencionan el capital de trabajo es un indicador clave de la liquidez operativa de una empresa; su adecuada gestión influye directamente en la rentabilidad y sostenibilidad del negocio, especialmente en contextos de alta incertidumbre económica.</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rFonts w:ascii="Times New Roman" w:hAnsi="Times New Roman" w:cs="Times New Roman"/>
          <w:sz w:val="20"/>
          <w:szCs w:val="20"/>
        </w:rPr>
      </w:pPr>
      <w:r>
        <w:rPr>
          <w:rFonts w:cs="Times New Roman" w:ascii="Times New Roman" w:hAnsi="Times New Roman"/>
          <w:sz w:val="20"/>
          <w:szCs w:val="20"/>
        </w:rPr>
        <w:t>Morales (2024) define al capital de trabajo representa el efectivo que las empresas necesitan diariamente para poder operar, o más adecuadamente, el efectivo que requiere la entidad económica para esperar el tiempo necesario para convertir sus materias primas en artículos terminados, que estos productos se vendan y la empresa recupere su dinero.</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rFonts w:ascii="Times New Roman" w:hAnsi="Times New Roman" w:cs="Times New Roman"/>
          <w:sz w:val="20"/>
          <w:szCs w:val="20"/>
        </w:rPr>
      </w:pPr>
      <w:r>
        <w:rPr>
          <w:rFonts w:cs="Times New Roman" w:ascii="Times New Roman" w:hAnsi="Times New Roman"/>
          <w:sz w:val="20"/>
          <w:szCs w:val="20"/>
        </w:rPr>
        <w:t>López (2019), indica que las cuentas contables que comúnmente integran el capital de trabajo incluyen caja y bancos, clientes, inventarios, proveedores y acreedores diversos; su adecuada gestión incide directamente en la eficiencia financiera de la organización, por tal motivo se describen a continuación:</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b w:val="false"/>
          <w:b w:val="false"/>
          <w:bCs w:val="false"/>
          <w:i/>
          <w:i/>
          <w:iCs/>
        </w:rPr>
      </w:pPr>
      <w:r>
        <w:rPr>
          <w:rFonts w:cs="Times New Roman" w:ascii="Times New Roman" w:hAnsi="Times New Roman"/>
          <w:b w:val="false"/>
          <w:bCs w:val="false"/>
          <w:i/>
          <w:iCs/>
          <w:sz w:val="20"/>
          <w:szCs w:val="20"/>
        </w:rPr>
        <w:t xml:space="preserve">B. </w:t>
      </w:r>
      <w:r>
        <w:rPr>
          <w:rFonts w:cs="Times New Roman" w:ascii="Times New Roman" w:hAnsi="Times New Roman"/>
          <w:b w:val="false"/>
          <w:bCs w:val="false"/>
          <w:i/>
          <w:iCs/>
          <w:sz w:val="20"/>
          <w:szCs w:val="20"/>
        </w:rPr>
        <w:t>Efectivo</w:t>
      </w:r>
    </w:p>
    <w:p>
      <w:pPr>
        <w:pStyle w:val="LOnormal"/>
        <w:jc w:val="both"/>
        <w:rPr>
          <w:rFonts w:ascii="Times New Roman" w:hAnsi="Times New Roman" w:cs="Times New Roman"/>
          <w:sz w:val="20"/>
          <w:szCs w:val="20"/>
        </w:rPr>
      </w:pPr>
      <w:r>
        <w:rPr>
          <w:rFonts w:cs="Times New Roman" w:ascii="Times New Roman" w:hAnsi="Times New Roman"/>
          <w:sz w:val="20"/>
          <w:szCs w:val="20"/>
        </w:rPr>
        <w:t>Bustamante (2019), enfatiza que el control interno de caja y banco debe establecer una separación de funciones entre autorización, ejecución, custodia y registro, evitando que una sola persona tenga control total sobre el proceso. Además, se deben implementar controles como arqueos periódicos, conciliaciones bancarias mensuales y uso de cheques nominativos con firmas mancomunadas para prevenir fraudes y errores.</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rFonts w:ascii="Times New Roman" w:hAnsi="Times New Roman" w:cs="Times New Roman"/>
          <w:sz w:val="20"/>
          <w:szCs w:val="20"/>
        </w:rPr>
      </w:pPr>
      <w:r>
        <w:rPr>
          <w:rFonts w:cs="Times New Roman" w:ascii="Times New Roman" w:hAnsi="Times New Roman"/>
          <w:sz w:val="20"/>
          <w:szCs w:val="20"/>
        </w:rPr>
        <w:t>La ausencia de manuales de funciones y políticas en el manejo de efectivo expone a las empresas a riesgos de fuga de dinero. La implementación de estrategias de control interno mediante manuales detallados ayuda a mejorar los procesos de recaudación y a medir su eficacia mediante indicadores financieros (Rodríguez y Loor, 2019).</w:t>
      </w:r>
    </w:p>
    <w:p>
      <w:pPr>
        <w:pStyle w:val="LOnormal"/>
        <w:jc w:val="both"/>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LOnormal"/>
        <w:jc w:val="both"/>
        <w:rPr>
          <w:b w:val="false"/>
          <w:b w:val="false"/>
          <w:bCs w:val="false"/>
          <w:i/>
          <w:i/>
          <w:iCs/>
        </w:rPr>
      </w:pPr>
      <w:r>
        <w:rPr>
          <w:rFonts w:cs="Times New Roman" w:ascii="Times New Roman" w:hAnsi="Times New Roman"/>
          <w:b w:val="false"/>
          <w:bCs w:val="false"/>
          <w:i/>
          <w:iCs/>
          <w:sz w:val="20"/>
          <w:szCs w:val="20"/>
        </w:rPr>
        <w:t xml:space="preserve">C. </w:t>
      </w:r>
      <w:r>
        <w:rPr>
          <w:rFonts w:cs="Times New Roman" w:ascii="Times New Roman" w:hAnsi="Times New Roman"/>
          <w:b w:val="false"/>
          <w:bCs w:val="false"/>
          <w:i/>
          <w:iCs/>
          <w:sz w:val="20"/>
          <w:szCs w:val="20"/>
        </w:rPr>
        <w:t>Inventarios</w:t>
      </w:r>
    </w:p>
    <w:p>
      <w:pPr>
        <w:pStyle w:val="LOnormal"/>
        <w:jc w:val="both"/>
        <w:rPr>
          <w:rFonts w:ascii="Times New Roman" w:hAnsi="Times New Roman" w:cs="Times New Roman"/>
          <w:sz w:val="20"/>
          <w:szCs w:val="20"/>
        </w:rPr>
      </w:pPr>
      <w:r>
        <w:rPr>
          <w:rFonts w:cs="Times New Roman" w:ascii="Times New Roman" w:hAnsi="Times New Roman"/>
          <w:sz w:val="20"/>
          <w:szCs w:val="20"/>
        </w:rPr>
        <w:t>El control de los inventarios se torna complejo cuando se manejan varios productos, como en las papelerías, por lo tanto, es necesario contar con un sistema de información que controle adecuadamente los productos y a su vez se logre optimizar el tiempo mediante la automatización de las operaciones y registros.</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El control interno de inventarios permite a la empresa y a la gestión de inventario conocer el grado de cumplimiento de las políticas y normas definidas por el manejo del activo, con el fin de corregir errores esenciales para una buena gestión de inventarios (Bravo y Díaz, 2022).</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Por tanto, Flores y Delgado (2019) proponen un plan estratégico integrado por: manuales de funciones, procesos y políticas, reestructuración física de la bodega de los inventarios y capacitaciones al personal encargado de la bodega de la empresa.</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rFonts w:ascii="Times New Roman" w:hAnsi="Times New Roman" w:cs="Times New Roman"/>
          <w:sz w:val="20"/>
          <w:szCs w:val="20"/>
        </w:rPr>
      </w:pPr>
      <w:r>
        <w:rPr>
          <w:rFonts w:cs="Times New Roman" w:ascii="Times New Roman" w:hAnsi="Times New Roman"/>
          <w:sz w:val="20"/>
          <w:szCs w:val="20"/>
        </w:rPr>
        <w:t>El control interno del inventario es importante en toda empresa por ser un ámbito de gran inversión y movimiento en referencia a las entidades comerciales y manufactureras. Es decir, se basa en un correcto orden de comprar, recepción, almacenamiento, registro y control de la mercadería (Angulo, 2020).</w:t>
      </w:r>
    </w:p>
    <w:p>
      <w:pPr>
        <w:pStyle w:val="LOnormal"/>
        <w:jc w:val="both"/>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LOnormal"/>
        <w:jc w:val="both"/>
        <w:rPr>
          <w:b w:val="false"/>
          <w:b w:val="false"/>
          <w:bCs w:val="false"/>
          <w:i/>
          <w:i/>
          <w:iCs/>
        </w:rPr>
      </w:pPr>
      <w:r>
        <w:rPr>
          <w:rFonts w:cs="Times New Roman" w:ascii="Times New Roman" w:hAnsi="Times New Roman"/>
          <w:b w:val="false"/>
          <w:bCs w:val="false"/>
          <w:i/>
          <w:iCs/>
          <w:sz w:val="20"/>
          <w:szCs w:val="20"/>
        </w:rPr>
        <w:t xml:space="preserve">D. </w:t>
      </w:r>
      <w:r>
        <w:rPr>
          <w:rFonts w:cs="Times New Roman" w:ascii="Times New Roman" w:hAnsi="Times New Roman"/>
          <w:b w:val="false"/>
          <w:bCs w:val="false"/>
          <w:i/>
          <w:iCs/>
          <w:sz w:val="20"/>
          <w:szCs w:val="20"/>
        </w:rPr>
        <w:t>Cuentas por cobrar</w:t>
      </w:r>
    </w:p>
    <w:p>
      <w:pPr>
        <w:pStyle w:val="LOnormal"/>
        <w:jc w:val="both"/>
        <w:rPr>
          <w:rFonts w:ascii="Times New Roman" w:hAnsi="Times New Roman" w:cs="Times New Roman"/>
          <w:sz w:val="20"/>
          <w:szCs w:val="20"/>
        </w:rPr>
      </w:pPr>
      <w:r>
        <w:rPr>
          <w:rFonts w:cs="Times New Roman" w:ascii="Times New Roman" w:hAnsi="Times New Roman"/>
          <w:sz w:val="20"/>
          <w:szCs w:val="20"/>
        </w:rPr>
        <w:t>De conformidad con el párrafo 10 del Boletín C-3, “Cuentas por cobrar”, la cuenta de clientes debe incluir los documentos y las cuentas por cobrar provenientes de las ventas de mercancías como la prestación de servicios que constituyen la actividad principal de la entidad.</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Por tanto, esta cuenta representa el derecho que tiene la entidad de exigir a sus clientes el pago de su adeudo por la venta de mercancías o la prestación de servicios a crédito; es decir, representa un beneficio futuro fundadamente esperado (Romero, 2023).</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 xml:space="preserve">Bravo (2023) propone desarrollar un manual de políticas y procedimientos para cuentas por cobrar que sirva como guía en las operaciones, con el objetivo de mejorar la gestión administrativa y financiera; esto permitirá controlar la concesión y vigilancia de los créditos que se conceden, así como analizar periódicamente la antigüedad de cada cuenta.  </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b w:val="false"/>
          <w:b w:val="false"/>
          <w:bCs w:val="false"/>
          <w:i/>
          <w:i/>
          <w:iCs/>
        </w:rPr>
      </w:pPr>
      <w:r>
        <w:rPr>
          <w:rFonts w:cs="Times New Roman" w:ascii="Times New Roman" w:hAnsi="Times New Roman"/>
          <w:b w:val="false"/>
          <w:bCs w:val="false"/>
          <w:i/>
          <w:iCs/>
          <w:sz w:val="20"/>
          <w:szCs w:val="20"/>
        </w:rPr>
        <w:t xml:space="preserve">E. </w:t>
      </w:r>
      <w:r>
        <w:rPr>
          <w:rFonts w:cs="Times New Roman" w:ascii="Times New Roman" w:hAnsi="Times New Roman"/>
          <w:b w:val="false"/>
          <w:bCs w:val="false"/>
          <w:i/>
          <w:iCs/>
          <w:sz w:val="20"/>
          <w:szCs w:val="20"/>
        </w:rPr>
        <w:t>Cuentas por pagar</w:t>
      </w:r>
    </w:p>
    <w:p>
      <w:pPr>
        <w:pStyle w:val="LOnormal"/>
        <w:jc w:val="both"/>
        <w:rPr>
          <w:rFonts w:ascii="Times New Roman" w:hAnsi="Times New Roman" w:cs="Times New Roman"/>
          <w:sz w:val="20"/>
          <w:szCs w:val="20"/>
        </w:rPr>
      </w:pPr>
      <w:r>
        <w:rPr>
          <w:rFonts w:cs="Times New Roman" w:ascii="Times New Roman" w:hAnsi="Times New Roman"/>
          <w:sz w:val="20"/>
          <w:szCs w:val="20"/>
        </w:rPr>
        <w:t>Según Coaguila (2018), las cuentas por pagar son obligaciones que una entidad tiene con terceros (proveedores) por haber recibido mercancías, insumos o servicios a crédito, sin la necesidad de documentos formales. Estas cuentas representan deudas contraídas por la empresa con proveedores en el transcurso de sus operaciones. En resumen, las cuentas por pagar son un registro contable de las deudas que una empresa tiene con sus proveedores por productos o servicios adquiridos a crédito, sin la formalización de documentos específicos, los proveedores de mercancías se clasifican en este rubro.</w:t>
      </w:r>
    </w:p>
    <w:p>
      <w:pPr>
        <w:pStyle w:val="LOnormal"/>
        <w:jc w:val="both"/>
        <w:rPr>
          <w:rFonts w:ascii="Times New Roman" w:hAnsi="Times New Roman" w:cs="Times New Roman"/>
          <w:sz w:val="20"/>
          <w:szCs w:val="20"/>
        </w:rPr>
      </w:pPr>
      <w:r>
        <w:rPr/>
      </w:r>
    </w:p>
    <w:p>
      <w:pPr>
        <w:pStyle w:val="LOnormal"/>
        <w:jc w:val="both"/>
        <w:rPr>
          <w:rFonts w:ascii="Times New Roman" w:hAnsi="Times New Roman" w:cs="Times New Roman"/>
          <w:sz w:val="20"/>
          <w:szCs w:val="20"/>
        </w:rPr>
      </w:pPr>
      <w:r>
        <w:rPr>
          <w:rFonts w:cs="Times New Roman" w:ascii="Times New Roman" w:hAnsi="Times New Roman"/>
          <w:sz w:val="20"/>
          <w:szCs w:val="20"/>
        </w:rPr>
        <w:t>Vera (2021), menciona que el control interno en las cuentas por pagar es un mecanismo de gestión que tiene como finalidad, la planeación práctica, seguimiento y control de los recursos que presiden en la empresa. Entre las acciones de control de cuentas por pagar está cumplir con la normativa de procedimientos operativos y contables para la efectividad en la autorización de la compra; determinar políticas que contenga directrices de pago de acuerdo con el contrato comercial; efectuar conciliaciones periódicas constantes con proveedores y acreedores; efectuar seguimiento de los pagos vencidos con soporte que fundamente dicha transacción, entre otras.</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III. RESULTADOS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continuación, se observa los resultados más relevantes de la encuesta aplicada a las 31 microempresas papelerías que dieron respuesta acerca de los controles de los elementos clave antes mencionados.</w:t>
      </w:r>
      <w:bookmarkStart w:id="6" w:name="_Hlk197019662"/>
      <w:bookmarkEnd w:id="6"/>
    </w:p>
    <w:p>
      <w:pPr>
        <w:pStyle w:val="LOnormal"/>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LOnormal"/>
        <w:jc w:val="both"/>
        <w:rPr>
          <w:b w:val="false"/>
          <w:b w:val="false"/>
          <w:bCs w:val="false"/>
          <w:i/>
          <w:i/>
          <w:iCs/>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Efectivo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acuerdo con los resultados de la tabla 1 y figura 1, el 74% de las microempresas papelerías encuestadas, manejan un fondo fijo de caja chica para el control de efectivo de gastos menores, mientras que el 26% respondió estar en desacuerdo en el manejo de un fondo fijo de caja chica, lo que se considera un área de oportunidad para estas entidades económicas, para comenzar a realizarlo con los registros contables correspondientes para el control del efectivo.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4462"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1975"/>
        <w:gridCol w:w="925"/>
        <w:gridCol w:w="1562"/>
      </w:tblGrid>
      <w:tr>
        <w:trPr>
          <w:trHeight w:val="263" w:hRule="atLeast"/>
        </w:trPr>
        <w:tc>
          <w:tcPr>
            <w:tcW w:w="4462" w:type="dxa"/>
            <w:gridSpan w:val="3"/>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Tabla 1. Distribución de los datos de fondo fijo de caja chica. </w:t>
            </w:r>
            <w:r>
              <w:rPr>
                <w:rFonts w:eastAsia="Times New Roman" w:cs="Times New Roman" w:ascii="Times New Roman" w:hAnsi="Times New Roman"/>
                <w:b/>
                <w:bCs/>
                <w:sz w:val="20"/>
                <w:szCs w:val="20"/>
              </w:rPr>
              <w:t>Fuente: Elaboración propia.</w:t>
            </w:r>
          </w:p>
        </w:tc>
      </w:tr>
      <w:tr>
        <w:trPr>
          <w:trHeight w:val="263" w:hRule="atLeast"/>
        </w:trPr>
        <w:tc>
          <w:tcPr>
            <w:tcW w:w="1975"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Nivel</w:t>
            </w:r>
          </w:p>
        </w:tc>
        <w:tc>
          <w:tcPr>
            <w:tcW w:w="925"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Frecuencia</w:t>
            </w:r>
          </w:p>
        </w:tc>
        <w:tc>
          <w:tcPr>
            <w:tcW w:w="1562"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Porcentaje</w:t>
            </w:r>
          </w:p>
        </w:tc>
      </w:tr>
      <w:tr>
        <w:trPr>
          <w:trHeight w:val="263" w:hRule="atLeast"/>
        </w:trPr>
        <w:tc>
          <w:tcPr>
            <w:tcW w:w="1975"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Totalmente en desacuerdo</w:t>
            </w:r>
          </w:p>
        </w:tc>
        <w:tc>
          <w:tcPr>
            <w:tcW w:w="925"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156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6.5%</w:t>
            </w:r>
          </w:p>
        </w:tc>
      </w:tr>
      <w:tr>
        <w:trPr>
          <w:trHeight w:val="263" w:hRule="atLeast"/>
        </w:trPr>
        <w:tc>
          <w:tcPr>
            <w:tcW w:w="1975"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En desacuerdo</w:t>
            </w:r>
          </w:p>
        </w:tc>
        <w:tc>
          <w:tcPr>
            <w:tcW w:w="925"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c>
          <w:tcPr>
            <w:tcW w:w="156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19.5%</w:t>
            </w:r>
          </w:p>
        </w:tc>
      </w:tr>
      <w:tr>
        <w:trPr>
          <w:trHeight w:val="263" w:hRule="atLeast"/>
        </w:trPr>
        <w:tc>
          <w:tcPr>
            <w:tcW w:w="1975"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De acuerdo</w:t>
            </w:r>
          </w:p>
        </w:tc>
        <w:tc>
          <w:tcPr>
            <w:tcW w:w="925"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156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42%</w:t>
            </w:r>
          </w:p>
        </w:tc>
      </w:tr>
      <w:tr>
        <w:trPr>
          <w:trHeight w:val="263" w:hRule="atLeast"/>
        </w:trPr>
        <w:tc>
          <w:tcPr>
            <w:tcW w:w="1975" w:type="dxa"/>
            <w:tcBorders>
              <w:bottom w:val="single" w:sz="4" w:space="0" w:color="000000"/>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Totalmente de acuerdo</w:t>
            </w:r>
          </w:p>
        </w:tc>
        <w:tc>
          <w:tcPr>
            <w:tcW w:w="925"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c>
          <w:tcPr>
            <w:tcW w:w="1562"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32%</w:t>
            </w:r>
          </w:p>
        </w:tc>
      </w:tr>
      <w:tr>
        <w:trPr>
          <w:trHeight w:val="263" w:hRule="atLeast"/>
        </w:trPr>
        <w:tc>
          <w:tcPr>
            <w:tcW w:w="1975"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sz w:val="20"/>
                <w:szCs w:val="20"/>
              </w:rPr>
            </w:pPr>
            <w:r>
              <w:rPr>
                <w:rFonts w:eastAsia="Times New Roman" w:cs="Times New Roman" w:ascii="Times New Roman" w:hAnsi="Times New Roman"/>
                <w:sz w:val="20"/>
                <w:szCs w:val="20"/>
              </w:rPr>
              <w:t>Total</w:t>
            </w:r>
          </w:p>
        </w:tc>
        <w:tc>
          <w:tcPr>
            <w:tcW w:w="925"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31</w:t>
            </w:r>
          </w:p>
        </w:tc>
        <w:tc>
          <w:tcPr>
            <w:tcW w:w="156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drawing>
          <wp:inline distT="0" distB="0" distL="0" distR="0">
            <wp:extent cx="2813685" cy="1671955"/>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4462"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4462"/>
      </w:tblGrid>
      <w:tr>
        <w:trPr>
          <w:trHeight w:val="269" w:hRule="atLeast"/>
        </w:trPr>
        <w:tc>
          <w:tcPr>
            <w:tcW w:w="446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i/>
                <w:i/>
                <w:iCs/>
                <w:color w:val="000000"/>
                <w:kern w:val="0"/>
                <w:sz w:val="16"/>
                <w:szCs w:val="20"/>
                <w:lang w:eastAsia="es-MX" w:bidi="ar-SA"/>
              </w:rPr>
            </w:pPr>
            <w:r>
              <w:rPr>
                <w:rFonts w:eastAsia="Times New Roman" w:cs="Times New Roman" w:ascii="Times New Roman" w:hAnsi="Times New Roman"/>
                <w:i/>
                <w:iCs/>
                <w:color w:val="000000"/>
                <w:kern w:val="0"/>
                <w:sz w:val="16"/>
                <w:szCs w:val="20"/>
                <w:lang w:eastAsia="es-MX" w:bidi="ar-SA"/>
              </w:rPr>
              <w:t>Figura 1: Fondo de caja chica. Fuente: Elaboración propia con base a encuesta aplicada.</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7" w:name="_Hlk197019679"/>
      <w:bookmarkStart w:id="8" w:name="_Hlk197019679"/>
      <w:bookmarkEnd w:id="8"/>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 Tabla 2 y figura 2, se observa que el 74% de las micro empresas papelerías, realizan sus conciliaciones bancarias, pero es preocupante que el 26% no lo haga, pues la cantidad de efectivo que se controla en una cuenta bancaria es mayor al efectivo del fondo fijo de caja chica, por lo que requiere de mayor control, exhortando a este número de micro empresas papelerías a llevarlo a cabo, para el registro contable de las diferencias que se encuentren.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4462"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2078"/>
        <w:gridCol w:w="1004"/>
        <w:gridCol w:w="1380"/>
      </w:tblGrid>
      <w:tr>
        <w:trPr>
          <w:trHeight w:val="300" w:hRule="atLeast"/>
        </w:trPr>
        <w:tc>
          <w:tcPr>
            <w:tcW w:w="4462" w:type="dxa"/>
            <w:gridSpan w:val="3"/>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b/>
                <w:b/>
                <w:bCs/>
                <w:color w:val="000000"/>
                <w:kern w:val="0"/>
                <w:sz w:val="20"/>
                <w:szCs w:val="20"/>
                <w:lang w:eastAsia="es-MX" w:bidi="ar-SA"/>
              </w:rPr>
            </w:pPr>
            <w:r>
              <w:rPr>
                <w:rFonts w:eastAsia="Times New Roman" w:cs="Times New Roman" w:ascii="Times New Roman" w:hAnsi="Times New Roman"/>
                <w:b/>
                <w:bCs/>
                <w:color w:val="000000"/>
                <w:kern w:val="0"/>
                <w:sz w:val="20"/>
                <w:szCs w:val="20"/>
                <w:lang w:eastAsia="es-MX" w:bidi="ar-SA"/>
              </w:rPr>
              <w:t xml:space="preserve">Tabla 2. Distribución de los datos de conciliaciones bancarias. </w:t>
            </w:r>
            <w:r>
              <w:rPr>
                <w:rFonts w:eastAsia="Times New Roman" w:cs="Times New Roman" w:ascii="Times New Roman" w:hAnsi="Times New Roman"/>
                <w:b/>
                <w:bCs/>
                <w:color w:val="000000"/>
                <w:kern w:val="0"/>
                <w:sz w:val="20"/>
                <w:szCs w:val="20"/>
                <w:lang w:eastAsia="es-MX" w:bidi="ar-SA"/>
              </w:rPr>
              <w:t>Fuente: Elaboración propia.</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Nivel</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Frecuencia</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Porcentaje</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6</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19%</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7%</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De 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16</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51%</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de acuerdo</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7</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23%</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31</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100%</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rFonts w:ascii="Times New Roman" w:hAnsi="Times New Roman" w:eastAsia="Times New Roman" w:cs="Times New Roman"/>
          <w:sz w:val="20"/>
          <w:szCs w:val="20"/>
        </w:rPr>
      </w:pPr>
      <w:r>
        <w:rPr/>
        <w:drawing>
          <wp:inline distT="0" distB="0" distL="0" distR="0">
            <wp:extent cx="2750820" cy="1738630"/>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9" w:name="_Hlk197019696"/>
      <w:bookmarkEnd w:id="9"/>
    </w:p>
    <w:p>
      <w:pPr>
        <w:pStyle w:val="LOnormal"/>
        <w:jc w:val="center"/>
        <w:rPr/>
      </w:pPr>
      <w:r>
        <w:rPr>
          <w:rFonts w:eastAsia="Times New Roman" w:cs="Times New Roman" w:ascii="Times New Roman" w:hAnsi="Times New Roman"/>
          <w:i/>
          <w:sz w:val="16"/>
          <w:szCs w:val="20"/>
        </w:rPr>
        <w:t>Figura 2: Conciliaciones bancarias. Fuente: Elaboración propia con base a encuesta aplicada.</w:t>
      </w:r>
    </w:p>
    <w:p>
      <w:pPr>
        <w:pStyle w:val="LOnormal"/>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LOnormal"/>
        <w:jc w:val="both"/>
        <w:rPr>
          <w:b w:val="false"/>
          <w:b w:val="false"/>
          <w:bCs w:val="false"/>
          <w:i/>
          <w:i/>
          <w:iCs/>
        </w:rPr>
      </w:pPr>
      <w:r>
        <w:rPr>
          <w:rFonts w:eastAsia="Times New Roman" w:cs="Times New Roman" w:ascii="Times New Roman" w:hAnsi="Times New Roman"/>
          <w:b w:val="false"/>
          <w:bCs w:val="false"/>
          <w:i/>
          <w:iCs/>
          <w:sz w:val="20"/>
          <w:szCs w:val="20"/>
        </w:rPr>
        <w:t xml:space="preserve">B. </w:t>
      </w:r>
      <w:r>
        <w:rPr>
          <w:rFonts w:eastAsia="Times New Roman" w:cs="Times New Roman" w:ascii="Times New Roman" w:hAnsi="Times New Roman"/>
          <w:b w:val="false"/>
          <w:bCs w:val="false"/>
          <w:i/>
          <w:iCs/>
          <w:sz w:val="20"/>
          <w:szCs w:val="20"/>
        </w:rPr>
        <w:t>Inventarios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 tabla 3 y figura 3, resalta el porcentaje del </w:t>
      </w:r>
      <w:bookmarkStart w:id="10" w:name="_Hlk197019713"/>
      <w:r>
        <w:rPr>
          <w:rFonts w:eastAsia="Times New Roman" w:cs="Times New Roman" w:ascii="Times New Roman" w:hAnsi="Times New Roman"/>
          <w:sz w:val="20"/>
          <w:szCs w:val="20"/>
        </w:rPr>
        <w:t>42% de respuesta negativa de no tener un área destinada para almacenar los inventarios, lo que representa un riesgo de operación para estas microempresas papelerías, pues la falta de un espacio definido puede generar un desorden, con mayor posibilidad de extravíos o daños en los productos, afectando las ventas y la reposición de mercancías</w:t>
      </w:r>
      <w:bookmarkEnd w:id="10"/>
      <w:r>
        <w:rPr>
          <w:rFonts w:eastAsia="Times New Roman" w:cs="Times New Roman" w:ascii="Times New Roman" w:hAnsi="Times New Roman"/>
          <w:sz w:val="20"/>
          <w:szCs w:val="20"/>
        </w:rPr>
        <w:t>, y al no registrarse contablemente está situación, también ocasiona información financiera no verídica. El 58% de las microempresas papelerías encuestadas, si tiene destinado un espacio para almacenar los inventarios, reconociendo que el organizar físicamente los productos facilita su control y así se reduce pérdidas o deterioros.</w:t>
      </w:r>
    </w:p>
    <w:p>
      <w:pPr>
        <w:pStyle w:val="LOnormal"/>
        <w:jc w:val="both"/>
        <w:rPr>
          <w:rFonts w:ascii="Times New Roman" w:hAnsi="Times New Roman" w:eastAsia="Times New Roman" w:cs="Times New Roman"/>
          <w:sz w:val="20"/>
          <w:szCs w:val="20"/>
        </w:rPr>
      </w:pPr>
      <w:r>
        <w:rPr/>
      </w:r>
    </w:p>
    <w:tbl>
      <w:tblPr>
        <w:tblW w:w="4462"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2078"/>
        <w:gridCol w:w="1004"/>
        <w:gridCol w:w="1380"/>
      </w:tblGrid>
      <w:tr>
        <w:trPr>
          <w:trHeight w:val="300" w:hRule="atLeast"/>
        </w:trPr>
        <w:tc>
          <w:tcPr>
            <w:tcW w:w="4462" w:type="dxa"/>
            <w:gridSpan w:val="3"/>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b/>
                <w:b/>
                <w:bCs/>
                <w:color w:val="000000"/>
                <w:kern w:val="0"/>
                <w:sz w:val="20"/>
                <w:szCs w:val="20"/>
                <w:lang w:eastAsia="es-MX" w:bidi="ar-SA"/>
              </w:rPr>
            </w:pPr>
            <w:r>
              <w:rPr>
                <w:rFonts w:eastAsia="Times New Roman" w:cs="Times New Roman" w:ascii="Times New Roman" w:hAnsi="Times New Roman"/>
                <w:b/>
                <w:bCs/>
                <w:color w:val="000000"/>
                <w:kern w:val="0"/>
                <w:sz w:val="20"/>
                <w:szCs w:val="20"/>
                <w:lang w:eastAsia="es-MX" w:bidi="ar-SA"/>
              </w:rPr>
              <w:t xml:space="preserve">Tabla 3. Distribución de los datos de áreas de inventarios. </w:t>
            </w:r>
            <w:r>
              <w:rPr>
                <w:rFonts w:eastAsia="Times New Roman" w:cs="Times New Roman" w:ascii="Times New Roman" w:hAnsi="Times New Roman"/>
                <w:b/>
                <w:bCs/>
                <w:color w:val="000000"/>
                <w:kern w:val="0"/>
                <w:sz w:val="20"/>
                <w:szCs w:val="20"/>
                <w:lang w:eastAsia="es-MX" w:bidi="ar-SA"/>
              </w:rPr>
              <w:t>Fuente: Elaboración propia.</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Nivel</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Frecuencia</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Porcentaje</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32%</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De 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11</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35%</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de acuerdo</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7</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23%</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31</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100%</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drawing>
          <wp:inline distT="0" distB="0" distL="0" distR="0">
            <wp:extent cx="2719705" cy="207708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LOnormal"/>
        <w:jc w:val="center"/>
        <w:rPr/>
      </w:pPr>
      <w:r>
        <w:rPr>
          <w:rFonts w:eastAsia="Times New Roman" w:cs="Times New Roman" w:ascii="Times New Roman" w:hAnsi="Times New Roman"/>
          <w:i/>
          <w:sz w:val="16"/>
          <w:szCs w:val="20"/>
        </w:rPr>
        <w:t>Figura 3: Área destinada para el almacenaje de inventarios</w:t>
      </w:r>
    </w:p>
    <w:p>
      <w:pPr>
        <w:pStyle w:val="LOnormal"/>
        <w:jc w:val="center"/>
        <w:rPr/>
      </w:pPr>
      <w:r>
        <w:rPr>
          <w:rFonts w:eastAsia="Times New Roman" w:cs="Times New Roman" w:ascii="Times New Roman" w:hAnsi="Times New Roman"/>
          <w:i/>
          <w:sz w:val="16"/>
          <w:szCs w:val="20"/>
        </w:rPr>
        <w:t>Fuente: Elaboración propia con base a encuesta aplicada.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T</w:t>
      </w:r>
      <w:r>
        <w:rPr>
          <w:rFonts w:eastAsia="Times New Roman" w:cs="Times New Roman" w:ascii="Times New Roman" w:hAnsi="Times New Roman"/>
          <w:sz w:val="20"/>
          <w:szCs w:val="20"/>
        </w:rPr>
        <w:t xml:space="preserve">abla 4 y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 xml:space="preserve">igura 4, resalta que </w:t>
      </w:r>
      <w:bookmarkStart w:id="11" w:name="_Hlk197019744"/>
      <w:r>
        <w:rPr>
          <w:rFonts w:eastAsia="Times New Roman" w:cs="Times New Roman" w:ascii="Times New Roman" w:hAnsi="Times New Roman"/>
          <w:sz w:val="20"/>
          <w:szCs w:val="20"/>
        </w:rPr>
        <w:t>80% de las microempresas papelerías, si tienen asignado a un responsable para los inventarios, esto indica una tendencia hacia mostrarse conforme con la importancia de controlar adecuadamente este recurso, lo cual puede asociarse con una eficiencia operativa y así reducir las pérdidas o faltantes; no hay que perder de vista que un 20% no tienen asignado a un responsable, aunque este porcentaje es menor, su existencia señala áreas de mejora para la administración de los inventarios</w:t>
      </w:r>
      <w:bookmarkEnd w:id="11"/>
      <w:r>
        <w:rPr>
          <w:rFonts w:eastAsia="Times New Roman" w:cs="Times New Roman" w:ascii="Times New Roman" w:hAnsi="Times New Roman"/>
          <w:sz w:val="20"/>
          <w:szCs w:val="20"/>
        </w:rPr>
        <w:t>; la ausencia de un responsable ocasiona la desorganización, pérdidas no detectadas, exceso o falta de productos, y dificultades financieras derivadas de una gestión ineficiente de este activo así como registros contables no controlados de las entradas y salidas de cada productos, análisis de sus rotaciones y estadísticas de los productos más vendidos.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4462"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2078"/>
        <w:gridCol w:w="1004"/>
        <w:gridCol w:w="1380"/>
      </w:tblGrid>
      <w:tr>
        <w:trPr>
          <w:trHeight w:val="300" w:hRule="atLeast"/>
        </w:trPr>
        <w:tc>
          <w:tcPr>
            <w:tcW w:w="4462" w:type="dxa"/>
            <w:gridSpan w:val="3"/>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b/>
                <w:b/>
                <w:bCs/>
                <w:color w:val="000000"/>
                <w:kern w:val="0"/>
                <w:sz w:val="20"/>
                <w:szCs w:val="20"/>
                <w:lang w:eastAsia="es-MX" w:bidi="ar-SA"/>
              </w:rPr>
            </w:pPr>
            <w:r>
              <w:rPr>
                <w:rFonts w:eastAsia="Times New Roman" w:cs="Times New Roman" w:ascii="Times New Roman" w:hAnsi="Times New Roman"/>
                <w:b/>
                <w:bCs/>
                <w:color w:val="000000"/>
                <w:kern w:val="0"/>
                <w:sz w:val="20"/>
                <w:szCs w:val="20"/>
                <w:lang w:eastAsia="es-MX" w:bidi="ar-SA"/>
              </w:rPr>
              <w:t xml:space="preserve">Tabla 4. Distribución de los datos de responsable de inventarios. </w:t>
            </w:r>
            <w:r>
              <w:rPr>
                <w:rFonts w:eastAsia="Times New Roman" w:cs="Times New Roman" w:ascii="Times New Roman" w:hAnsi="Times New Roman"/>
                <w:b/>
                <w:bCs/>
                <w:color w:val="000000"/>
                <w:kern w:val="0"/>
                <w:sz w:val="20"/>
                <w:szCs w:val="20"/>
                <w:lang w:eastAsia="es-MX" w:bidi="ar-SA"/>
              </w:rPr>
              <w:t>Fuente: Elaboración propia.</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Nivel</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Frecuencia</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Porcentaje</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32%</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De 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11</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35%</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de acuerdo</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7</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23%</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31</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100%</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drawing>
          <wp:inline distT="0" distB="0" distL="0" distR="0">
            <wp:extent cx="2741295" cy="2060575"/>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LOnormal"/>
        <w:jc w:val="center"/>
        <w:rPr/>
      </w:pPr>
      <w:r>
        <w:rPr>
          <w:rFonts w:eastAsia="Times New Roman" w:cs="Times New Roman" w:ascii="Times New Roman" w:hAnsi="Times New Roman"/>
          <w:i/>
          <w:sz w:val="16"/>
          <w:szCs w:val="20"/>
        </w:rPr>
        <w:t>Figura 4: Responsable de los inventarios. Fuente: Elaboración propia con base a encuesta aplicada.</w:t>
      </w:r>
    </w:p>
    <w:p>
      <w:pPr>
        <w:pStyle w:val="LOnormal"/>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LOnormal"/>
        <w:jc w:val="both"/>
        <w:rPr>
          <w:b w:val="false"/>
          <w:b w:val="false"/>
          <w:bCs w:val="false"/>
          <w:i/>
          <w:i/>
          <w:iCs/>
        </w:rPr>
      </w:pPr>
      <w:r>
        <w:rPr>
          <w:rFonts w:eastAsia="Times New Roman" w:cs="Times New Roman" w:ascii="Times New Roman" w:hAnsi="Times New Roman"/>
          <w:b w:val="false"/>
          <w:bCs w:val="false"/>
          <w:i/>
          <w:iCs/>
          <w:sz w:val="20"/>
          <w:szCs w:val="20"/>
        </w:rPr>
        <w:t xml:space="preserve">C. </w:t>
      </w:r>
      <w:r>
        <w:rPr>
          <w:rFonts w:eastAsia="Times New Roman" w:cs="Times New Roman" w:ascii="Times New Roman" w:hAnsi="Times New Roman"/>
          <w:b w:val="false"/>
          <w:bCs w:val="false"/>
          <w:i/>
          <w:iCs/>
          <w:sz w:val="20"/>
          <w:szCs w:val="20"/>
        </w:rPr>
        <w:t>Cuentas por cobrar</w:t>
      </w:r>
    </w:p>
    <w:p>
      <w:pPr>
        <w:pStyle w:val="LOnormal"/>
        <w:jc w:val="both"/>
        <w:rPr>
          <w:rFonts w:ascii="Times New Roman" w:hAnsi="Times New Roman" w:cs="Times New Roman"/>
          <w:sz w:val="20"/>
        </w:rPr>
      </w:pPr>
      <w:r>
        <w:rPr>
          <w:rFonts w:cs="Times New Roman" w:ascii="Times New Roman" w:hAnsi="Times New Roman"/>
          <w:sz w:val="20"/>
        </w:rPr>
        <w:t>En la tabla 5 y figura 5 se aprecia que el</w:t>
      </w:r>
      <w:bookmarkStart w:id="12" w:name="_Hlk197019774"/>
      <w:r>
        <w:rPr>
          <w:rFonts w:cs="Times New Roman" w:ascii="Times New Roman" w:hAnsi="Times New Roman"/>
          <w:sz w:val="20"/>
        </w:rPr>
        <w:t xml:space="preserve"> 52% de las microempresas papelerías se dio una respuesta positiva de llevar un registro de los créditos otorgados a los clientes, permitiendo un mayor control de las cuentas por cobrar, reduciendo el riesgo de incobrabilidad; el 48% señaló no llevar un registro de los créditos otorgados a los clientes</w:t>
      </w:r>
      <w:bookmarkEnd w:id="12"/>
      <w:r>
        <w:rPr>
          <w:rFonts w:cs="Times New Roman" w:ascii="Times New Roman" w:hAnsi="Times New Roman"/>
          <w:sz w:val="20"/>
        </w:rPr>
        <w:t>, cifra preocupante al no formalizar el seguimiento de los créditos, lo que puede ocasionar falta de liquidez y falta de información financiera para la toma de decisiones.</w:t>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
    </w:p>
    <w:tbl>
      <w:tblPr>
        <w:tblW w:w="4462"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2078"/>
        <w:gridCol w:w="1004"/>
        <w:gridCol w:w="1380"/>
      </w:tblGrid>
      <w:tr>
        <w:trPr>
          <w:trHeight w:val="300" w:hRule="atLeast"/>
        </w:trPr>
        <w:tc>
          <w:tcPr>
            <w:tcW w:w="4462" w:type="dxa"/>
            <w:gridSpan w:val="3"/>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b/>
                <w:b/>
                <w:bCs/>
                <w:color w:val="000000"/>
                <w:kern w:val="0"/>
                <w:sz w:val="20"/>
                <w:szCs w:val="20"/>
                <w:lang w:eastAsia="es-MX" w:bidi="ar-SA"/>
              </w:rPr>
            </w:pPr>
            <w:r>
              <w:rPr>
                <w:rFonts w:eastAsia="Times New Roman" w:cs="Times New Roman" w:ascii="Times New Roman" w:hAnsi="Times New Roman"/>
                <w:b/>
                <w:bCs/>
                <w:color w:val="000000"/>
                <w:kern w:val="0"/>
                <w:sz w:val="20"/>
                <w:szCs w:val="20"/>
                <w:lang w:eastAsia="es-MX" w:bidi="ar-SA"/>
              </w:rPr>
              <w:t xml:space="preserve">Tabla 5. Distribución de los datos de registro de crédito con clientes. </w:t>
            </w:r>
            <w:r>
              <w:rPr>
                <w:rFonts w:eastAsia="Times New Roman" w:cs="Times New Roman" w:ascii="Times New Roman" w:hAnsi="Times New Roman"/>
                <w:b/>
                <w:bCs/>
                <w:color w:val="000000"/>
                <w:kern w:val="0"/>
                <w:sz w:val="20"/>
                <w:szCs w:val="20"/>
                <w:lang w:eastAsia="es-MX" w:bidi="ar-SA"/>
              </w:rPr>
              <w:t>Fuente: Elaboración propia.</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Nivel</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Frecuencia</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Porcentaje</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6</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19%</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En desacuerdo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9</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29%</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De acuerdo</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9</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29%</w:t>
            </w:r>
          </w:p>
        </w:tc>
      </w:tr>
      <w:tr>
        <w:trPr>
          <w:trHeight w:val="300" w:hRule="atLeast"/>
        </w:trPr>
        <w:tc>
          <w:tcPr>
            <w:tcW w:w="2078" w:type="dxa"/>
            <w:tcBorders>
              <w:bottom w:val="single" w:sz="4" w:space="0" w:color="000000"/>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de acuerdo</w:t>
            </w:r>
          </w:p>
        </w:tc>
        <w:tc>
          <w:tcPr>
            <w:tcW w:w="1004"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7</w:t>
            </w:r>
          </w:p>
        </w:tc>
        <w:tc>
          <w:tcPr>
            <w:tcW w:w="1380"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23%</w:t>
            </w:r>
          </w:p>
        </w:tc>
      </w:tr>
      <w:tr>
        <w:trPr>
          <w:trHeight w:val="300" w:hRule="atLeast"/>
        </w:trPr>
        <w:tc>
          <w:tcPr>
            <w:tcW w:w="2078"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w:t>
            </w:r>
          </w:p>
        </w:tc>
        <w:tc>
          <w:tcPr>
            <w:tcW w:w="1004"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31</w:t>
            </w:r>
          </w:p>
        </w:tc>
        <w:tc>
          <w:tcPr>
            <w:tcW w:w="1380"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100%</w:t>
            </w:r>
          </w:p>
        </w:tc>
      </w:tr>
    </w:tbl>
    <w:p>
      <w:pPr>
        <w:pStyle w:val="LOnormal"/>
        <w:jc w:val="both"/>
        <w:rPr>
          <w:rFonts w:ascii="Times New Roman" w:hAnsi="Times New Roman" w:cs="Times New Roman"/>
          <w:sz w:val="20"/>
        </w:rPr>
      </w:pPr>
      <w:r>
        <w:rPr>
          <w:rFonts w:cs="Times New Roman" w:ascii="Times New Roman" w:hAnsi="Times New Roman"/>
          <w:sz w:val="20"/>
        </w:rPr>
      </w:r>
    </w:p>
    <w:p>
      <w:pPr>
        <w:pStyle w:val="LOnormal"/>
        <w:jc w:val="both"/>
        <w:rPr>
          <w:rFonts w:ascii="Times New Roman" w:hAnsi="Times New Roman" w:cs="Times New Roman"/>
          <w:sz w:val="20"/>
        </w:rPr>
      </w:pPr>
      <w:r>
        <w:rPr/>
        <w:drawing>
          <wp:inline distT="0" distB="0" distL="0" distR="0">
            <wp:extent cx="2662555" cy="1689735"/>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jc w:val="center"/>
        <w:rPr/>
      </w:pPr>
      <w:r>
        <w:rPr>
          <w:rFonts w:eastAsia="Times New Roman" w:cs="Times New Roman" w:ascii="Times New Roman" w:hAnsi="Times New Roman"/>
          <w:i/>
          <w:sz w:val="16"/>
          <w:szCs w:val="20"/>
        </w:rPr>
        <w:t>Figura 5: Registro de créditos con los clientes. Fuente: Elaboración propia con base a encuesta aplicada.</w:t>
      </w:r>
    </w:p>
    <w:p>
      <w:pPr>
        <w:pStyle w:val="Normal"/>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jc w:val="both"/>
        <w:rPr>
          <w:b w:val="false"/>
          <w:b w:val="false"/>
          <w:bCs w:val="false"/>
          <w:i/>
          <w:i/>
          <w:iCs/>
        </w:rPr>
      </w:pPr>
      <w:r>
        <w:rPr>
          <w:rFonts w:eastAsia="Times New Roman" w:cs="Times New Roman" w:ascii="Times New Roman" w:hAnsi="Times New Roman"/>
          <w:b w:val="false"/>
          <w:bCs w:val="false"/>
          <w:i/>
          <w:iCs/>
          <w:sz w:val="20"/>
          <w:szCs w:val="20"/>
        </w:rPr>
        <w:t xml:space="preserve">D. </w:t>
      </w:r>
      <w:r>
        <w:rPr>
          <w:rFonts w:eastAsia="Times New Roman" w:cs="Times New Roman" w:ascii="Times New Roman" w:hAnsi="Times New Roman"/>
          <w:b w:val="false"/>
          <w:bCs w:val="false"/>
          <w:i/>
          <w:iCs/>
          <w:sz w:val="20"/>
          <w:szCs w:val="20"/>
        </w:rPr>
        <w:t>Cuentas por pagar</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w:t>
      </w:r>
      <w:bookmarkStart w:id="13" w:name="_Hlk197019760"/>
      <w:r>
        <w:rPr>
          <w:rFonts w:eastAsia="Times New Roman" w:cs="Times New Roman" w:ascii="Times New Roman" w:hAnsi="Times New Roman"/>
          <w:sz w:val="20"/>
          <w:szCs w:val="20"/>
        </w:rPr>
        <w:t>71% de las microempresas papelerías está de acuerdo en que se cuenta con un plan de pago a los proveedores, lo que refleja el cumplimiento con sus obligaciones financieras, administrando oportunamente el efectivo, para mejorar sus condiciones comerciales con los proveedores. No hay que perder de vista que el 29%  no cuenta con un plan de pago a los proveedores</w:t>
      </w:r>
      <w:bookmarkEnd w:id="13"/>
      <w:r>
        <w:rPr>
          <w:rFonts w:eastAsia="Times New Roman" w:cs="Times New Roman" w:ascii="Times New Roman" w:hAnsi="Times New Roman"/>
          <w:sz w:val="20"/>
          <w:szCs w:val="20"/>
        </w:rPr>
        <w:t xml:space="preserve">; lo que revela que podrían estar presentando atrasos en sus pagos, costos por intereses, afectando su reputación comercial ( </w:t>
      </w:r>
      <w:r>
        <w:rPr>
          <w:rFonts w:eastAsia="Times New Roman" w:cs="Times New Roman" w:ascii="Times New Roman" w:hAnsi="Times New Roman"/>
          <w:sz w:val="20"/>
          <w:szCs w:val="20"/>
        </w:rPr>
        <w:t>T</w:t>
      </w:r>
      <w:r>
        <w:rPr>
          <w:rFonts w:eastAsia="Times New Roman" w:cs="Times New Roman" w:ascii="Times New Roman" w:hAnsi="Times New Roman"/>
          <w:sz w:val="20"/>
          <w:szCs w:val="20"/>
        </w:rPr>
        <w:t xml:space="preserve">abla 6 y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igura 6).</w:t>
      </w:r>
    </w:p>
    <w:p>
      <w:pPr>
        <w:pStyle w:val="LOnormal"/>
        <w:jc w:val="both"/>
        <w:rPr>
          <w:rFonts w:ascii="Times New Roman" w:hAnsi="Times New Roman" w:cs="Times New Roman"/>
          <w:sz w:val="20"/>
          <w:lang w:eastAsia="es-MX" w:bidi="ar-SA"/>
        </w:rPr>
      </w:pPr>
      <w:r>
        <w:rPr>
          <w:rFonts w:cs="Times New Roman" w:ascii="Times New Roman" w:hAnsi="Times New Roman"/>
          <w:sz w:val="20"/>
          <w:lang w:eastAsia="es-MX" w:bidi="ar-SA"/>
        </w:rPr>
      </w:r>
    </w:p>
    <w:tbl>
      <w:tblPr>
        <w:tblW w:w="4462"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2077"/>
        <w:gridCol w:w="1003"/>
        <w:gridCol w:w="1382"/>
      </w:tblGrid>
      <w:tr>
        <w:trPr>
          <w:trHeight w:val="293" w:hRule="atLeast"/>
        </w:trPr>
        <w:tc>
          <w:tcPr>
            <w:tcW w:w="2077"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b/>
                <w:b/>
                <w:bCs/>
                <w:color w:val="000000"/>
                <w:kern w:val="0"/>
                <w:sz w:val="20"/>
                <w:szCs w:val="20"/>
                <w:lang w:eastAsia="es-MX" w:bidi="ar-SA"/>
              </w:rPr>
            </w:pPr>
            <w:r>
              <w:rPr>
                <w:rFonts w:eastAsia="Times New Roman" w:cs="Times New Roman" w:ascii="Times New Roman" w:hAnsi="Times New Roman"/>
                <w:b/>
                <w:bCs/>
                <w:color w:val="000000"/>
                <w:kern w:val="0"/>
                <w:sz w:val="20"/>
                <w:szCs w:val="20"/>
                <w:lang w:eastAsia="es-MX" w:bidi="ar-SA"/>
              </w:rPr>
            </w:r>
          </w:p>
        </w:tc>
        <w:tc>
          <w:tcPr>
            <w:tcW w:w="1003"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b/>
                <w:b/>
                <w:bCs/>
                <w:color w:val="000000"/>
                <w:kern w:val="0"/>
                <w:sz w:val="20"/>
                <w:szCs w:val="20"/>
                <w:lang w:eastAsia="es-MX" w:bidi="ar-SA"/>
              </w:rPr>
            </w:pPr>
            <w:r>
              <w:rPr>
                <w:rFonts w:eastAsia="Times New Roman" w:cs="Times New Roman" w:ascii="Times New Roman" w:hAnsi="Times New Roman"/>
                <w:b/>
                <w:bCs/>
                <w:color w:val="000000"/>
                <w:kern w:val="0"/>
                <w:sz w:val="20"/>
                <w:szCs w:val="20"/>
                <w:lang w:eastAsia="es-MX" w:bidi="ar-SA"/>
              </w:rPr>
            </w:r>
          </w:p>
        </w:tc>
        <w:tc>
          <w:tcPr>
            <w:tcW w:w="1382"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kern w:val="0"/>
                <w:sz w:val="20"/>
                <w:szCs w:val="20"/>
                <w:lang w:eastAsia="es-MX" w:bidi="ar-SA"/>
              </w:rPr>
            </w:pPr>
            <w:r>
              <w:rPr>
                <w:rFonts w:eastAsia="Times New Roman" w:cs="Times New Roman" w:ascii="Times New Roman" w:hAnsi="Times New Roman"/>
                <w:kern w:val="0"/>
                <w:sz w:val="20"/>
                <w:szCs w:val="20"/>
                <w:lang w:eastAsia="es-MX" w:bidi="ar-SA"/>
              </w:rPr>
            </w:r>
          </w:p>
        </w:tc>
      </w:tr>
      <w:tr>
        <w:trPr>
          <w:trHeight w:val="293" w:hRule="atLeast"/>
        </w:trPr>
        <w:tc>
          <w:tcPr>
            <w:tcW w:w="4462" w:type="dxa"/>
            <w:gridSpan w:val="3"/>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b/>
                <w:b/>
                <w:bCs/>
                <w:color w:val="000000"/>
                <w:kern w:val="0"/>
                <w:sz w:val="20"/>
                <w:szCs w:val="20"/>
                <w:lang w:eastAsia="es-MX" w:bidi="ar-SA"/>
              </w:rPr>
            </w:pPr>
            <w:r>
              <w:rPr>
                <w:rFonts w:eastAsia="Times New Roman" w:cs="Times New Roman" w:ascii="Times New Roman" w:hAnsi="Times New Roman"/>
                <w:b/>
                <w:bCs/>
                <w:color w:val="000000"/>
                <w:kern w:val="0"/>
                <w:sz w:val="20"/>
                <w:szCs w:val="20"/>
                <w:lang w:eastAsia="es-MX" w:bidi="ar-SA"/>
              </w:rPr>
              <w:t xml:space="preserve">Tabla 6. Distribución de los datos de plan de pago a proveedores. </w:t>
            </w:r>
            <w:r>
              <w:rPr>
                <w:rFonts w:eastAsia="Times New Roman" w:cs="Times New Roman" w:ascii="Times New Roman" w:hAnsi="Times New Roman"/>
                <w:b/>
                <w:bCs/>
                <w:color w:val="000000"/>
                <w:kern w:val="0"/>
                <w:sz w:val="20"/>
                <w:szCs w:val="20"/>
                <w:lang w:eastAsia="es-MX" w:bidi="ar-SA"/>
              </w:rPr>
              <w:t>Fuente: Elaboración propia.</w:t>
            </w:r>
          </w:p>
        </w:tc>
      </w:tr>
      <w:tr>
        <w:trPr>
          <w:trHeight w:val="293" w:hRule="atLeast"/>
        </w:trPr>
        <w:tc>
          <w:tcPr>
            <w:tcW w:w="2077"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Nivel</w:t>
            </w:r>
          </w:p>
        </w:tc>
        <w:tc>
          <w:tcPr>
            <w:tcW w:w="1003"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Frecuencia</w:t>
            </w:r>
          </w:p>
        </w:tc>
        <w:tc>
          <w:tcPr>
            <w:tcW w:w="1382"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Porcentaje</w:t>
            </w:r>
          </w:p>
        </w:tc>
      </w:tr>
      <w:tr>
        <w:trPr>
          <w:trHeight w:val="293" w:hRule="atLeast"/>
        </w:trPr>
        <w:tc>
          <w:tcPr>
            <w:tcW w:w="2077"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en desacuerdo</w:t>
            </w:r>
          </w:p>
        </w:tc>
        <w:tc>
          <w:tcPr>
            <w:tcW w:w="1003"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5</w:t>
            </w:r>
          </w:p>
        </w:tc>
        <w:tc>
          <w:tcPr>
            <w:tcW w:w="138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16%</w:t>
            </w:r>
          </w:p>
        </w:tc>
      </w:tr>
      <w:tr>
        <w:trPr>
          <w:trHeight w:val="293" w:hRule="atLeast"/>
        </w:trPr>
        <w:tc>
          <w:tcPr>
            <w:tcW w:w="2077"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En desacuerdo</w:t>
            </w:r>
          </w:p>
        </w:tc>
        <w:tc>
          <w:tcPr>
            <w:tcW w:w="1003"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4</w:t>
            </w:r>
          </w:p>
        </w:tc>
        <w:tc>
          <w:tcPr>
            <w:tcW w:w="138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13%</w:t>
            </w:r>
          </w:p>
        </w:tc>
      </w:tr>
      <w:tr>
        <w:trPr>
          <w:trHeight w:val="293" w:hRule="atLeast"/>
        </w:trPr>
        <w:tc>
          <w:tcPr>
            <w:tcW w:w="2077"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De acuerdo</w:t>
            </w:r>
          </w:p>
        </w:tc>
        <w:tc>
          <w:tcPr>
            <w:tcW w:w="1003"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7</w:t>
            </w:r>
          </w:p>
        </w:tc>
        <w:tc>
          <w:tcPr>
            <w:tcW w:w="138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23%</w:t>
            </w:r>
          </w:p>
        </w:tc>
      </w:tr>
      <w:tr>
        <w:trPr>
          <w:trHeight w:val="293" w:hRule="atLeast"/>
        </w:trPr>
        <w:tc>
          <w:tcPr>
            <w:tcW w:w="2077" w:type="dxa"/>
            <w:tcBorders>
              <w:bottom w:val="single" w:sz="4" w:space="0" w:color="000000"/>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Totalmente de acuerdo</w:t>
            </w:r>
          </w:p>
        </w:tc>
        <w:tc>
          <w:tcPr>
            <w:tcW w:w="1003"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15</w:t>
            </w:r>
          </w:p>
        </w:tc>
        <w:tc>
          <w:tcPr>
            <w:tcW w:w="1382" w:type="dxa"/>
            <w:tcBorders>
              <w:bottom w:val="single" w:sz="4" w:space="0" w:color="000000"/>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48%</w:t>
            </w:r>
          </w:p>
        </w:tc>
      </w:tr>
      <w:tr>
        <w:trPr>
          <w:trHeight w:val="293" w:hRule="atLeast"/>
        </w:trPr>
        <w:tc>
          <w:tcPr>
            <w:tcW w:w="2077" w:type="dxa"/>
            <w:tcBorders/>
            <w:shd w:color="auto" w:fill="auto" w:val="clear"/>
            <w:vAlign w:val="bottom"/>
          </w:tcPr>
          <w:p>
            <w:pPr>
              <w:pStyle w:val="Normal"/>
              <w:widowControl w:val="false"/>
              <w:suppressAutoHyphens w:val="false"/>
              <w:overflowPunct w:val="false"/>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Total</w:t>
            </w:r>
          </w:p>
        </w:tc>
        <w:tc>
          <w:tcPr>
            <w:tcW w:w="1003"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31</w:t>
            </w:r>
          </w:p>
        </w:tc>
        <w:tc>
          <w:tcPr>
            <w:tcW w:w="1382" w:type="dxa"/>
            <w:tcBorders/>
            <w:shd w:color="auto" w:fill="auto" w:val="clear"/>
            <w:vAlign w:val="bottom"/>
          </w:tcPr>
          <w:p>
            <w:pPr>
              <w:pStyle w:val="Normal"/>
              <w:widowControl w:val="false"/>
              <w:suppressAutoHyphens w:val="false"/>
              <w:overflowPunct w:val="false"/>
              <w:jc w:val="center"/>
              <w:rPr>
                <w:rFonts w:ascii="Times New Roman" w:hAnsi="Times New Roman" w:eastAsia="Times New Roman" w:cs="Times New Roman"/>
                <w:color w:val="000000"/>
                <w:kern w:val="0"/>
                <w:sz w:val="20"/>
                <w:szCs w:val="20"/>
                <w:lang w:eastAsia="es-MX" w:bidi="ar-SA"/>
              </w:rPr>
            </w:pPr>
            <w:r>
              <w:rPr>
                <w:rFonts w:eastAsia="Times New Roman" w:cs="Times New Roman" w:ascii="Times New Roman" w:hAnsi="Times New Roman"/>
                <w:color w:val="000000"/>
                <w:kern w:val="0"/>
                <w:sz w:val="20"/>
                <w:szCs w:val="20"/>
                <w:lang w:eastAsia="es-MX" w:bidi="ar-SA"/>
              </w:rPr>
              <w:t>100%</w:t>
            </w:r>
          </w:p>
        </w:tc>
      </w:tr>
    </w:tbl>
    <w:p>
      <w:pPr>
        <w:pStyle w:val="LOnormal"/>
        <w:jc w:val="both"/>
        <w:rPr>
          <w:rFonts w:ascii="Times New Roman" w:hAnsi="Times New Roman" w:cs="Times New Roman"/>
          <w:sz w:val="20"/>
        </w:rPr>
      </w:pPr>
      <w:r>
        <w:rPr>
          <w:rFonts w:cs="Times New Roman" w:ascii="Times New Roman" w:hAnsi="Times New Roman"/>
          <w:sz w:val="20"/>
        </w:rPr>
      </w:r>
    </w:p>
    <w:p>
      <w:pPr>
        <w:pStyle w:val="LOnormal"/>
        <w:jc w:val="center"/>
        <w:rPr>
          <w:rFonts w:ascii="Times New Roman" w:hAnsi="Times New Roman" w:eastAsia="Times New Roman" w:cs="Times New Roman"/>
          <w:b/>
          <w:b/>
          <w:bCs/>
          <w:sz w:val="20"/>
          <w:szCs w:val="20"/>
        </w:rPr>
      </w:pPr>
      <w:r>
        <w:rPr/>
        <w:drawing>
          <wp:inline distT="0" distB="0" distL="0" distR="0">
            <wp:extent cx="2503170" cy="1761490"/>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LOnormal"/>
        <w:jc w:val="center"/>
        <w:rPr/>
      </w:pPr>
      <w:r>
        <w:rPr>
          <w:rFonts w:eastAsia="Times New Roman" w:cs="Times New Roman" w:ascii="Times New Roman" w:hAnsi="Times New Roman"/>
          <w:bCs/>
          <w:i/>
          <w:sz w:val="16"/>
          <w:szCs w:val="20"/>
        </w:rPr>
        <w:t xml:space="preserve">Figura 6: Plan de pago a proveedores. </w:t>
      </w:r>
      <w:r>
        <w:rPr>
          <w:rFonts w:eastAsia="Times New Roman" w:cs="Times New Roman" w:ascii="Times New Roman" w:hAnsi="Times New Roman"/>
          <w:i/>
          <w:sz w:val="16"/>
          <w:szCs w:val="20"/>
        </w:rPr>
        <w:t>Fuente: Elaboración propia con base a encuesta aplicada.</w:t>
      </w:r>
    </w:p>
    <w:p>
      <w:pPr>
        <w:pStyle w:val="Normal"/>
        <w:jc w:val="both"/>
        <w:rPr>
          <w:rFonts w:ascii="Times New Roman" w:hAnsi="Times New Roman" w:eastAsia="Times New Roman" w:cs="Times New Roman"/>
          <w:i/>
          <w:i/>
          <w:sz w:val="16"/>
          <w:szCs w:val="20"/>
        </w:rPr>
      </w:pPr>
      <w:r>
        <w:rPr>
          <w:rFonts w:eastAsia="Times New Roman" w:cs="Times New Roman" w:ascii="Times New Roman" w:hAnsi="Times New Roman"/>
          <w:i/>
          <w:sz w:val="16"/>
          <w:szCs w:val="20"/>
        </w:rPr>
      </w:r>
    </w:p>
    <w:p>
      <w:pPr>
        <w:pStyle w:val="Normal"/>
        <w:spacing w:lineRule="auto" w:line="276"/>
        <w:jc w:val="both"/>
        <w:rPr>
          <w:rFonts w:ascii="Times New Roman" w:hAnsi="Times New Roman" w:cs="Times New Roman"/>
          <w:sz w:val="20"/>
        </w:rPr>
      </w:pPr>
      <w:r>
        <w:rPr>
          <w:rFonts w:cs="Times New Roman" w:ascii="Times New Roman" w:hAnsi="Times New Roman"/>
          <w:sz w:val="20"/>
        </w:rPr>
        <w:t xml:space="preserve">A nivel internacional el Marco Integrado de Control Interno del COSO (2013), establece los componentes del control interno que proporcionan la base para el diseño de controles específicos sobre los recursos financieros y operativos de una entidad, en las tablas 7 y 8 se hará referencia a uno de los componentes esenciales del control interno denominado “Actividades de control”. En México, el </w:t>
      </w:r>
      <w:r>
        <w:rPr>
          <w:rFonts w:eastAsia="Times New Roman" w:cs="Times New Roman" w:ascii="Times New Roman" w:hAnsi="Times New Roman"/>
          <w:lang w:eastAsia="es-MX"/>
        </w:rPr>
        <w:t>C</w:t>
      </w:r>
      <w:r>
        <w:rPr>
          <w:rFonts w:cs="Times New Roman" w:ascii="Times New Roman" w:hAnsi="Times New Roman"/>
          <w:sz w:val="20"/>
        </w:rPr>
        <w:t>onsejo Mexicano de Normas de Información Financiera (CINIF, 2023), quien establece las NIF, refiriéndose especialmente la NIF C-1, C-4, C-3 y C-9, además de establecer criterios para el reconocimiento, valuación y revelación de las variables analizadas, proporciona criterios para el control interno contable de estas variables. A continuación, en la tabla 7 y 8 se hará una comparación de los hallazgos y lo que establece las normatividades antes mencionadas.</w:t>
      </w:r>
    </w:p>
    <w:p>
      <w:pPr>
        <w:pStyle w:val="Normal"/>
        <w:suppressAutoHyphens w:val="false"/>
        <w:overflowPunct w:val="false"/>
        <w:rPr>
          <w:rFonts w:ascii="Times New Roman" w:hAnsi="Times New Roman" w:eastAsia="Calibri" w:cs="Times New Roman" w:eastAsiaTheme="minorHAnsi"/>
          <w:kern w:val="0"/>
          <w:sz w:val="20"/>
          <w:szCs w:val="22"/>
          <w:lang w:eastAsia="en-US" w:bidi="ar-SA"/>
        </w:rPr>
      </w:pPr>
      <w:r>
        <w:rPr>
          <w:rFonts w:eastAsia="Calibri" w:cs="Times New Roman" w:eastAsiaTheme="minorHAnsi" w:ascii="Times New Roman" w:hAnsi="Times New Roman"/>
          <w:kern w:val="0"/>
          <w:sz w:val="20"/>
          <w:szCs w:val="22"/>
          <w:lang w:eastAsia="en-US" w:bidi="ar-SA"/>
        </w:rPr>
      </w:r>
    </w:p>
    <w:p>
      <w:pPr>
        <w:pStyle w:val="Normal"/>
        <w:suppressAutoHyphens w:val="false"/>
        <w:overflowPunct w:val="false"/>
        <w:jc w:val="center"/>
        <w:rPr>
          <w:b/>
          <w:b/>
          <w:bCs/>
        </w:rPr>
      </w:pPr>
      <w:r>
        <w:rPr>
          <w:rFonts w:eastAsia="Calibri" w:cs="Times New Roman" w:ascii="Times New Roman" w:hAnsi="Times New Roman" w:eastAsiaTheme="minorHAnsi"/>
          <w:b/>
          <w:bCs/>
          <w:kern w:val="0"/>
          <w:sz w:val="20"/>
          <w:szCs w:val="22"/>
          <w:lang w:eastAsia="en-US" w:bidi="ar-SA"/>
        </w:rPr>
        <w:t>Tabla 7. Comparativa de resultados con normas internacionales y nacionales</w:t>
      </w:r>
      <w:r>
        <w:rPr>
          <w:rFonts w:eastAsia="Calibri" w:cs="" w:ascii="Calibri" w:hAnsi="Calibri" w:asciiTheme="minorHAnsi" w:cstheme="minorBidi" w:eastAsiaTheme="minorHAnsi" w:hAnsiTheme="minorHAnsi"/>
          <w:b/>
          <w:bCs/>
          <w:kern w:val="0"/>
          <w:sz w:val="20"/>
          <w:szCs w:val="22"/>
          <w:lang w:eastAsia="en-US" w:bidi="ar-SA"/>
        </w:rPr>
        <w:t xml:space="preserve">. </w:t>
      </w:r>
      <w:r>
        <w:rPr>
          <w:rFonts w:eastAsia="Times New Roman" w:cs="Times New Roman" w:ascii="Times New Roman" w:hAnsi="Times New Roman"/>
          <w:b/>
          <w:bCs/>
          <w:color w:val="000000"/>
          <w:kern w:val="0"/>
          <w:sz w:val="20"/>
          <w:szCs w:val="20"/>
          <w:lang w:eastAsia="es-MX" w:bidi="ar-SA"/>
        </w:rPr>
        <w:t>Fuente: Elaboración propia.</w:t>
      </w:r>
    </w:p>
    <w:tbl>
      <w:tblPr>
        <w:tblW w:w="4462" w:type="dxa"/>
        <w:jc w:val="left"/>
        <w:tblInd w:w="-5" w:type="dxa"/>
        <w:tblLayout w:type="fixed"/>
        <w:tblCellMar>
          <w:top w:w="15" w:type="dxa"/>
          <w:left w:w="15" w:type="dxa"/>
          <w:bottom w:w="15" w:type="dxa"/>
          <w:right w:w="15" w:type="dxa"/>
        </w:tblCellMar>
        <w:tblLook w:val="04a0" w:noHBand="0" w:noVBand="1" w:firstColumn="1" w:lastRow="0" w:lastColumn="0" w:firstRow="1"/>
      </w:tblPr>
      <w:tblGrid>
        <w:gridCol w:w="960"/>
        <w:gridCol w:w="1522"/>
        <w:gridCol w:w="1980"/>
      </w:tblGrid>
      <w:tr>
        <w:trPr>
          <w:tblHeader w:val="true"/>
          <w:trHeight w:val="126" w:hRule="atLeast"/>
        </w:trPr>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center"/>
              <w:rPr>
                <w:rFonts w:ascii="Times New Roman" w:hAnsi="Times New Roman" w:eastAsia="Times New Roman" w:cs="Times New Roman"/>
                <w:b/>
                <w:b/>
                <w:bCs/>
                <w:kern w:val="0"/>
                <w:sz w:val="14"/>
                <w:lang w:eastAsia="es-MX" w:bidi="ar-SA"/>
              </w:rPr>
            </w:pPr>
            <w:r>
              <w:rPr>
                <w:rFonts w:eastAsia="Times New Roman" w:cs="Times New Roman" w:ascii="Times New Roman" w:hAnsi="Times New Roman"/>
                <w:b/>
                <w:bCs/>
                <w:kern w:val="0"/>
                <w:sz w:val="14"/>
                <w:lang w:eastAsia="es-MX" w:bidi="ar-SA"/>
              </w:rPr>
              <w:t>Normatividad/Variable</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center"/>
              <w:rPr>
                <w:rFonts w:ascii="Times New Roman" w:hAnsi="Times New Roman" w:eastAsia="Times New Roman" w:cs="Times New Roman"/>
                <w:b/>
                <w:b/>
                <w:bCs/>
                <w:kern w:val="0"/>
                <w:sz w:val="14"/>
                <w:lang w:eastAsia="es-MX" w:bidi="ar-SA"/>
              </w:rPr>
            </w:pPr>
            <w:r>
              <w:rPr>
                <w:rFonts w:eastAsia="Times New Roman" w:cs="Times New Roman" w:ascii="Times New Roman" w:hAnsi="Times New Roman"/>
                <w:b/>
                <w:bCs/>
                <w:kern w:val="0"/>
                <w:sz w:val="14"/>
                <w:lang w:eastAsia="es-MX" w:bidi="ar-SA"/>
              </w:rPr>
              <w:t>Efectivo</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jc w:val="center"/>
              <w:rPr>
                <w:rFonts w:ascii="Times New Roman" w:hAnsi="Times New Roman" w:eastAsia="Times New Roman" w:cs="Times New Roman"/>
                <w:b/>
                <w:b/>
                <w:bCs/>
                <w:kern w:val="0"/>
                <w:sz w:val="14"/>
                <w:lang w:eastAsia="es-MX" w:bidi="ar-SA"/>
              </w:rPr>
            </w:pPr>
            <w:r>
              <w:rPr>
                <w:rFonts w:eastAsia="Times New Roman" w:cs="Times New Roman" w:ascii="Times New Roman" w:hAnsi="Times New Roman"/>
                <w:b/>
                <w:bCs/>
                <w:kern w:val="0"/>
                <w:sz w:val="14"/>
                <w:lang w:eastAsia="es-MX" w:bidi="ar-SA"/>
              </w:rPr>
              <w:t>Inventarios</w:t>
            </w:r>
          </w:p>
        </w:tc>
      </w:tr>
      <w:tr>
        <w:trPr>
          <w:trHeight w:val="370" w:hRule="atLeast"/>
        </w:trPr>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b/>
                <w:bCs/>
                <w:kern w:val="0"/>
                <w:sz w:val="14"/>
                <w:lang w:eastAsia="es-MX" w:bidi="ar-SA"/>
              </w:rPr>
              <w:t>COSO: Actividades de Control</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t>Conciliaciones bancarias mensuales, arqueos sorpresivos y autorización por doble firma.</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t>Control de entradas y salidas mediante sistema ERP y conteos físicos cíclicos.</w:t>
            </w:r>
          </w:p>
        </w:tc>
      </w:tr>
      <w:tr>
        <w:trPr>
          <w:trHeight w:val="361" w:hRule="atLeast"/>
        </w:trPr>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b/>
                <w:b/>
                <w:bCs/>
                <w:kern w:val="0"/>
                <w:sz w:val="14"/>
                <w:lang w:eastAsia="es-MX" w:bidi="ar-SA"/>
              </w:rPr>
            </w:pPr>
            <w:r>
              <w:rPr>
                <w:rFonts w:eastAsia="Times New Roman" w:cs="Times New Roman" w:ascii="Times New Roman" w:hAnsi="Times New Roman"/>
                <w:b/>
                <w:bCs/>
                <w:kern w:val="0"/>
                <w:sz w:val="14"/>
                <w:lang w:eastAsia="es-MX" w:bidi="ar-SA"/>
              </w:rPr>
              <w:t>NIF C-1</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t>Control interno del efectivo mediante arqueos, autorizaciones de movimientos y conciliaciones con estados de cuenta</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r>
          </w:p>
        </w:tc>
      </w:tr>
      <w:tr>
        <w:trPr>
          <w:trHeight w:val="370" w:hRule="atLeast"/>
        </w:trPr>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b/>
                <w:b/>
                <w:bCs/>
                <w:kern w:val="0"/>
                <w:sz w:val="14"/>
                <w:lang w:eastAsia="es-MX" w:bidi="ar-SA"/>
              </w:rPr>
            </w:pPr>
            <w:r>
              <w:rPr>
                <w:rFonts w:eastAsia="Times New Roman" w:cs="Times New Roman" w:ascii="Times New Roman" w:hAnsi="Times New Roman"/>
                <w:b/>
                <w:bCs/>
                <w:kern w:val="0"/>
                <w:sz w:val="14"/>
                <w:lang w:eastAsia="es-MX" w:bidi="ar-SA"/>
              </w:rPr>
              <w:t>NIF C-4</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t>Control interno de inventarios mediante conteos físicos, segregación de funciones y conciliación con registros contables</w:t>
            </w:r>
          </w:p>
        </w:tc>
      </w:tr>
      <w:tr>
        <w:trPr>
          <w:trHeight w:val="752" w:hRule="atLeast"/>
        </w:trPr>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b/>
                <w:b/>
                <w:bCs/>
                <w:kern w:val="0"/>
                <w:sz w:val="14"/>
                <w:lang w:eastAsia="es-MX" w:bidi="ar-SA"/>
              </w:rPr>
            </w:pPr>
            <w:r>
              <w:rPr>
                <w:rFonts w:eastAsia="Times New Roman" w:cs="Times New Roman" w:ascii="Times New Roman" w:hAnsi="Times New Roman"/>
                <w:b/>
                <w:bCs/>
                <w:kern w:val="0"/>
                <w:sz w:val="14"/>
                <w:lang w:eastAsia="es-MX" w:bidi="ar-SA"/>
              </w:rPr>
              <w:t>Resultados de la investigación</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t>74% de microempresas papelerías manejan un fondo fijo de caja chica, pero no se mencionan arqueos periódicos, asimismo el 74% menciona que si se realizan conciliaciones bancarias</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false"/>
              <w:rPr>
                <w:rFonts w:ascii="Times New Roman" w:hAnsi="Times New Roman" w:eastAsia="Times New Roman" w:cs="Times New Roman"/>
                <w:kern w:val="0"/>
                <w:sz w:val="14"/>
                <w:lang w:eastAsia="es-MX" w:bidi="ar-SA"/>
              </w:rPr>
            </w:pPr>
            <w:r>
              <w:rPr>
                <w:rFonts w:eastAsia="Times New Roman" w:cs="Times New Roman" w:ascii="Times New Roman" w:hAnsi="Times New Roman"/>
                <w:kern w:val="0"/>
                <w:sz w:val="14"/>
                <w:lang w:eastAsia="es-MX" w:bidi="ar-SA"/>
              </w:rPr>
              <w:t>El 58% de las microempresas papelerías está de acuerdo en que se tiene un área para los inventarios y el 80% tiene asignado un responsable, no se menciona el uso de ERP y conteos físicos, pero si se cubre la segregación de funciones con el responsable del inventario</w:t>
            </w:r>
          </w:p>
        </w:tc>
      </w:tr>
    </w:tbl>
    <w:p>
      <w:pPr>
        <w:pStyle w:val="Normal"/>
        <w:jc w:val="center"/>
        <w:rPr/>
      </w:pPr>
      <w:bookmarkStart w:id="14" w:name="_GoBack"/>
      <w:r>
        <w:rPr>
          <w:rFonts w:cs="Times New Roman" w:ascii="Times New Roman" w:hAnsi="Times New Roman"/>
          <w:b/>
          <w:bCs/>
          <w:sz w:val="20"/>
        </w:rPr>
        <w:t>Tabla 8</w:t>
      </w:r>
      <w:bookmarkEnd w:id="14"/>
      <w:r>
        <w:rPr>
          <w:rFonts w:cs="Times New Roman" w:ascii="Times New Roman" w:hAnsi="Times New Roman"/>
          <w:b/>
          <w:bCs/>
          <w:sz w:val="20"/>
        </w:rPr>
        <w:t xml:space="preserve">. Comparativa de resultados con normas internacionales y nacionales. </w:t>
      </w:r>
      <w:r>
        <w:rPr>
          <w:rFonts w:eastAsia="Times New Roman" w:cs="Times New Roman" w:ascii="Times New Roman" w:hAnsi="Times New Roman"/>
          <w:b/>
          <w:bCs/>
          <w:color w:val="000000"/>
          <w:kern w:val="0"/>
          <w:sz w:val="20"/>
          <w:szCs w:val="20"/>
          <w:lang w:eastAsia="es-MX" w:bidi="ar-SA"/>
        </w:rPr>
        <w:t>Fuente: Elaboración propia.</w:t>
      </w:r>
    </w:p>
    <w:tbl>
      <w:tblPr>
        <w:tblW w:w="4462" w:type="dxa"/>
        <w:jc w:val="left"/>
        <w:tblInd w:w="-5" w:type="dxa"/>
        <w:tblLayout w:type="fixed"/>
        <w:tblCellMar>
          <w:top w:w="15" w:type="dxa"/>
          <w:left w:w="15" w:type="dxa"/>
          <w:bottom w:w="15" w:type="dxa"/>
          <w:right w:w="15" w:type="dxa"/>
        </w:tblCellMar>
        <w:tblLook w:val="04a0" w:noHBand="0" w:noVBand="1" w:firstColumn="1" w:lastRow="0" w:lastColumn="0" w:firstRow="1"/>
      </w:tblPr>
      <w:tblGrid>
        <w:gridCol w:w="1471"/>
        <w:gridCol w:w="1529"/>
        <w:gridCol w:w="1462"/>
      </w:tblGrid>
      <w:tr>
        <w:trPr>
          <w:tblHeader w:val="true"/>
          <w:trHeight w:val="123" w:hRule="atLeast"/>
        </w:trPr>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b/>
                <w:b/>
                <w:bCs/>
                <w:sz w:val="14"/>
                <w:lang w:eastAsia="es-MX"/>
              </w:rPr>
            </w:pPr>
            <w:r>
              <w:rPr>
                <w:rFonts w:eastAsia="Times New Roman" w:cs="Times New Roman" w:ascii="Times New Roman" w:hAnsi="Times New Roman"/>
                <w:b/>
                <w:bCs/>
                <w:sz w:val="14"/>
                <w:lang w:eastAsia="es-MX"/>
              </w:rPr>
              <w:t>Normatividad/Variable</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b/>
                <w:b/>
                <w:bCs/>
                <w:sz w:val="14"/>
                <w:lang w:eastAsia="es-MX"/>
              </w:rPr>
            </w:pPr>
            <w:r>
              <w:rPr>
                <w:rFonts w:eastAsia="Times New Roman" w:cs="Times New Roman" w:ascii="Times New Roman" w:hAnsi="Times New Roman"/>
                <w:b/>
                <w:bCs/>
                <w:sz w:val="14"/>
                <w:lang w:eastAsia="es-MX"/>
              </w:rPr>
              <w:t>Cuentas por Cobrar</w:t>
            </w:r>
          </w:p>
        </w:tc>
        <w:tc>
          <w:tcPr>
            <w:tcW w:w="14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b/>
                <w:b/>
                <w:bCs/>
                <w:sz w:val="14"/>
                <w:lang w:eastAsia="es-MX"/>
              </w:rPr>
            </w:pPr>
            <w:r>
              <w:rPr>
                <w:rFonts w:eastAsia="Times New Roman" w:cs="Times New Roman" w:ascii="Times New Roman" w:hAnsi="Times New Roman"/>
                <w:b/>
                <w:bCs/>
                <w:sz w:val="14"/>
                <w:lang w:eastAsia="es-MX"/>
              </w:rPr>
              <w:t>Cuentas por Pagar</w:t>
            </w:r>
          </w:p>
        </w:tc>
      </w:tr>
      <w:tr>
        <w:trPr>
          <w:trHeight w:val="362" w:hRule="atLeast"/>
        </w:trPr>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b/>
                <w:bCs/>
                <w:sz w:val="14"/>
                <w:lang w:eastAsia="es-MX"/>
              </w:rPr>
              <w:t>COSO: Actividades de Control</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t>Registro oportuno de facturas, límites de crédito definidos y seguimiento de saldos vencidos.</w:t>
            </w:r>
          </w:p>
        </w:tc>
        <w:tc>
          <w:tcPr>
            <w:tcW w:w="14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t>Revisión documental (orden de compra, recepción, factura) antes del pago y registro cronológico de obligaciones.</w:t>
            </w:r>
          </w:p>
        </w:tc>
      </w:tr>
      <w:tr>
        <w:trPr>
          <w:trHeight w:val="352" w:hRule="atLeast"/>
        </w:trPr>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b/>
                <w:b/>
                <w:bCs/>
                <w:sz w:val="14"/>
                <w:lang w:eastAsia="es-MX"/>
              </w:rPr>
            </w:pPr>
            <w:r>
              <w:rPr>
                <w:rFonts w:eastAsia="Times New Roman" w:cs="Times New Roman" w:ascii="Times New Roman" w:hAnsi="Times New Roman"/>
                <w:b/>
                <w:bCs/>
                <w:sz w:val="14"/>
                <w:lang w:eastAsia="es-MX"/>
              </w:rPr>
              <w:t>NIF C-3</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t>Control interno de cuentas por cobrar mediante análisis de antigüedad de saldos, políticas de crédito y estimación de cuentas incobrables</w:t>
            </w:r>
          </w:p>
        </w:tc>
        <w:tc>
          <w:tcPr>
            <w:tcW w:w="14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r>
          </w:p>
        </w:tc>
      </w:tr>
      <w:tr>
        <w:trPr>
          <w:trHeight w:val="485" w:hRule="atLeast"/>
        </w:trPr>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b/>
                <w:b/>
                <w:bCs/>
                <w:sz w:val="14"/>
                <w:lang w:eastAsia="es-MX"/>
              </w:rPr>
            </w:pPr>
            <w:r>
              <w:rPr>
                <w:rFonts w:eastAsia="Times New Roman" w:cs="Times New Roman" w:ascii="Times New Roman" w:hAnsi="Times New Roman"/>
                <w:b/>
                <w:bCs/>
                <w:sz w:val="14"/>
                <w:lang w:eastAsia="es-MX"/>
              </w:rPr>
              <w:t>NIF C-9</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r>
          </w:p>
        </w:tc>
        <w:tc>
          <w:tcPr>
            <w:tcW w:w="14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t>Control interno de cuentas por pagar mediante revisión de facturas, control de vencimientos, conciliaciones y segregación de funciones</w:t>
            </w:r>
          </w:p>
        </w:tc>
      </w:tr>
      <w:tr>
        <w:trPr>
          <w:trHeight w:val="485" w:hRule="atLeast"/>
        </w:trPr>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b/>
                <w:b/>
                <w:bCs/>
                <w:sz w:val="14"/>
                <w:lang w:eastAsia="es-MX"/>
              </w:rPr>
            </w:pPr>
            <w:r>
              <w:rPr>
                <w:rFonts w:eastAsia="Times New Roman" w:cs="Times New Roman" w:ascii="Times New Roman" w:hAnsi="Times New Roman"/>
                <w:b/>
                <w:bCs/>
                <w:sz w:val="14"/>
                <w:lang w:eastAsia="es-MX"/>
              </w:rPr>
              <w:t>Resultados de la investigación</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t>El 52% de las microempresas papelerías si lleva un registro de los créditos otorgados a los clientes, lo que podría facilitar el análisis que menciona la NIF C-03</w:t>
            </w:r>
          </w:p>
        </w:tc>
        <w:tc>
          <w:tcPr>
            <w:tcW w:w="14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14"/>
                <w:lang w:eastAsia="es-MX"/>
              </w:rPr>
            </w:pPr>
            <w:r>
              <w:rPr>
                <w:rFonts w:eastAsia="Times New Roman" w:cs="Times New Roman" w:ascii="Times New Roman" w:hAnsi="Times New Roman"/>
                <w:sz w:val="14"/>
                <w:lang w:eastAsia="es-MX"/>
              </w:rPr>
              <w:t>El 71% de las microempresas papelerías cuenta con un plan de pago a proveedores, pero no se específica lo establecido por la normatividad.</w:t>
            </w:r>
          </w:p>
        </w:tc>
      </w:tr>
    </w:tbl>
    <w:p>
      <w:pPr>
        <w:pStyle w:val="Normal"/>
        <w:spacing w:lineRule="auto" w:line="276"/>
        <w:jc w:val="both"/>
        <w:rPr>
          <w:rFonts w:ascii="Times New Roman" w:hAnsi="Times New Roman" w:cs="Times New Roman"/>
          <w:sz w:val="20"/>
        </w:rPr>
      </w:pPr>
      <w:r>
        <w:rPr/>
      </w:r>
    </w:p>
    <w:p>
      <w:pPr>
        <w:pStyle w:val="LOnormal"/>
        <w:jc w:val="both"/>
        <w:rPr>
          <w:b/>
          <w:b/>
          <w:bCs/>
        </w:rPr>
      </w:pPr>
      <w:r>
        <w:rPr/>
      </w:r>
    </w:p>
    <w:p>
      <w:pPr>
        <w:pStyle w:val="LOnormal"/>
        <w:jc w:val="both"/>
        <w:rPr>
          <w:b/>
          <w:b/>
          <w:bCs/>
        </w:rPr>
      </w:pPr>
      <w:r>
        <w:rPr>
          <w:rFonts w:eastAsia="Times New Roman" w:cs="Times New Roman" w:ascii="Times New Roman" w:hAnsi="Times New Roman"/>
          <w:b/>
          <w:bCs/>
          <w:sz w:val="20"/>
          <w:szCs w:val="20"/>
        </w:rPr>
        <w:t>IV. DISCUSIÓN</w:t>
      </w:r>
    </w:p>
    <w:p>
      <w:pPr>
        <w:pStyle w:val="LOnormal"/>
        <w:jc w:val="both"/>
        <w:rPr>
          <w:rFonts w:ascii="Times New Roman" w:hAnsi="Times New Roman" w:cs="Times New Roman"/>
          <w:sz w:val="20"/>
        </w:rPr>
      </w:pPr>
      <w:r>
        <w:rPr>
          <w:rFonts w:cs="Times New Roman" w:ascii="Times New Roman" w:hAnsi="Times New Roman"/>
          <w:sz w:val="20"/>
        </w:rPr>
        <w:t>Velázquez, et al. (2021), destacan en su trabajo de investigación deficiencias en el control interno contable en los rubros de caja y bancos, clientes y proveedores, concluyendo que con estas deficiencias las microempresas tenderían al fracaso empresarial o crear condiciones para que se cometa fraude; mientras que en el rubro de inventarios el comportamiento en todos los aspectos evaluados es superior al 70%, en este trabajo de investigación también se obtuvo porcentajes significativos en las deficiencias de algunos controles internos para estas variables.</w:t>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Fonts w:cs="Times New Roman" w:ascii="Times New Roman" w:hAnsi="Times New Roman"/>
          <w:sz w:val="20"/>
        </w:rPr>
        <w:t xml:space="preserve">Espinales </w:t>
      </w:r>
      <w:r>
        <w:rPr>
          <w:rFonts w:cs="Times New Roman" w:ascii="Times New Roman" w:hAnsi="Times New Roman"/>
          <w:i/>
          <w:sz w:val="20"/>
        </w:rPr>
        <w:t>et al.</w:t>
      </w:r>
      <w:r>
        <w:rPr>
          <w:rFonts w:cs="Times New Roman" w:ascii="Times New Roman" w:hAnsi="Times New Roman"/>
          <w:sz w:val="20"/>
        </w:rPr>
        <w:t xml:space="preserve"> (2023), concluye que el control interno tiene una gran importancia en la contabilidad, para que la información obtenida apoye a la toma de decisiones, asimismo, en la presente investigación, se tienen resultados positivos de la aplicación de controles internos en los rubros estudiados, reconociendo la importancia de llevarlos a cabo mejorando la información para la toma de decisiones. </w:t>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Fonts w:cs="Times New Roman" w:ascii="Times New Roman" w:hAnsi="Times New Roman"/>
          <w:sz w:val="20"/>
        </w:rPr>
        <w:t>De igual forma, Castillo Víquez y Godoy-Troya (2023) mencionan que el flujo de efectivo influye de manera significativa en la toma de decisiones de las empresas…sirve a la organización para tener una proyección clara de sus recursos, cubrir las necesidades y solventar los gastos de la empresa.</w:t>
      </w:r>
    </w:p>
    <w:p>
      <w:pPr>
        <w:pStyle w:val="LOnormal"/>
        <w:jc w:val="both"/>
        <w:rPr>
          <w:rFonts w:ascii="Times New Roman" w:hAnsi="Times New Roman" w:cs="Times New Roman"/>
          <w:sz w:val="20"/>
        </w:rPr>
      </w:pPr>
      <w:r>
        <w:rPr>
          <w:rFonts w:cs="Times New Roman" w:ascii="Times New Roman" w:hAnsi="Times New Roman"/>
          <w:sz w:val="20"/>
        </w:rPr>
        <w:t>Huamán (2022) en su estudio obtuvo la correlación Rho de Spearman positiva de 0,458 y un nivel de significancia 0,011, concluyendo que existe influencia directa y significativa del Control Interno en la Gestión de cuentas por cobrar, siendo así que cuando no se realiza un buen y adecuado control interno, las áreas de trabajo no cumplen sus tareas, no hay comunicación y no cuentan con documentos que respalden la gestión de cuentas por cobrar. En el presente estudio el 48% señaló no llevar un registro de los créditos otorgados, cifra preocupante al no formalizar el seguimiento de los créditos, lo que puede ocasionar falta de liquidez.</w:t>
      </w:r>
    </w:p>
    <w:p>
      <w:pPr>
        <w:pStyle w:val="LOnormal"/>
        <w:jc w:val="both"/>
        <w:rPr>
          <w:rFonts w:ascii="Times New Roman" w:hAnsi="Times New Roman" w:cs="Times New Roman"/>
          <w:sz w:val="20"/>
        </w:rPr>
      </w:pPr>
      <w:r>
        <w:rPr>
          <w:rFonts w:cs="Times New Roman" w:ascii="Times New Roman" w:hAnsi="Times New Roman"/>
          <w:sz w:val="20"/>
        </w:rPr>
      </w:r>
    </w:p>
    <w:p>
      <w:pPr>
        <w:pStyle w:val="LOnormal"/>
        <w:jc w:val="both"/>
        <w:rPr>
          <w:rFonts w:ascii="Times New Roman" w:hAnsi="Times New Roman" w:cs="Times New Roman"/>
          <w:sz w:val="20"/>
        </w:rPr>
      </w:pPr>
      <w:r>
        <w:rPr>
          <w:rFonts w:cs="Times New Roman" w:ascii="Times New Roman" w:hAnsi="Times New Roman"/>
          <w:sz w:val="20"/>
        </w:rPr>
        <w:t>En consideración a los hallazgos de falta de control interno contable de las variables analizadas trae como consecuencia prácticas importantes: en cuanto al efectivo aumenta el riesgo de malversación y errores en el flujo de efectivo, ocasionando falta de liquidez inmediata. En los inventarios se podrían incrementar las pérdidas por robo, deterioro o discrepancias entre existencias físicas y registros, provocando faltantes o excesos de inventarios y costos innecesarios.</w:t>
      </w:r>
    </w:p>
    <w:p>
      <w:pPr>
        <w:pStyle w:val="LOnormal"/>
        <w:jc w:val="both"/>
        <w:rPr>
          <w:rFonts w:ascii="Times New Roman" w:hAnsi="Times New Roman" w:cs="Times New Roman"/>
          <w:sz w:val="20"/>
        </w:rPr>
      </w:pPr>
      <w:r>
        <w:rPr>
          <w:rFonts w:cs="Times New Roman" w:ascii="Times New Roman" w:hAnsi="Times New Roman"/>
          <w:sz w:val="20"/>
        </w:rPr>
      </w:r>
    </w:p>
    <w:p>
      <w:pPr>
        <w:pStyle w:val="LOnormal"/>
        <w:jc w:val="both"/>
        <w:rPr>
          <w:rFonts w:ascii="Times New Roman" w:hAnsi="Times New Roman" w:cs="Times New Roman"/>
          <w:sz w:val="20"/>
        </w:rPr>
      </w:pPr>
      <w:r>
        <w:rPr>
          <w:rFonts w:cs="Times New Roman" w:ascii="Times New Roman" w:hAnsi="Times New Roman"/>
          <w:sz w:val="20"/>
        </w:rPr>
        <w:t>En las cuentas por cobrar, se va deteriorando la gestión de cobranza, elevando la morosidad y pérdidas por cuentas incobrables que afectan a la rentabilidad del negocio. Y por último, pero no menos importante en las cuentas por pagar se pueden generar pagos duplicados, descuentos perdidos o conflictos con proveedores que dañarían la relación comercial implicando sanciones contractuales.</w:t>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0"/>
        </w:rPr>
      </w:pPr>
      <w:r>
        <w:rPr>
          <w:rFonts w:cs="Times New Roman" w:ascii="Times New Roman" w:hAnsi="Times New Roman"/>
          <w:sz w:val="20"/>
        </w:rPr>
        <w:t>En conjunto, la falta de controles reduce la confiabilidad de la información financiera, lo que dificulta el proceso de la toma de decisiones en inversión en el capital de trabajo, lo que podría ocasionar la obtención de financiamientos caros aumentando el riesgo y la probabilidad de quiebra de las microempresas papelerías en Progreso, Yucatán.</w:t>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LOnormal"/>
        <w:jc w:val="both"/>
        <w:rPr>
          <w:b/>
          <w:b/>
          <w:bCs/>
        </w:rPr>
      </w:pPr>
      <w:r>
        <w:rPr>
          <w:rFonts w:eastAsia="Times New Roman" w:cs="Times New Roman" w:ascii="Times New Roman" w:hAnsi="Times New Roman"/>
          <w:b/>
          <w:bCs/>
          <w:sz w:val="20"/>
          <w:szCs w:val="20"/>
        </w:rPr>
        <w:t>V. CONCLUSIONES</w:t>
      </w:r>
    </w:p>
    <w:p>
      <w:pPr>
        <w:pStyle w:val="LOnormal"/>
        <w:jc w:val="both"/>
        <w:rPr>
          <w:rFonts w:ascii="Times New Roman" w:hAnsi="Times New Roman" w:cs="Times New Roman"/>
          <w:sz w:val="20"/>
        </w:rPr>
      </w:pPr>
      <w:r>
        <w:rPr>
          <w:rFonts w:cs="Times New Roman" w:ascii="Times New Roman" w:hAnsi="Times New Roman"/>
          <w:sz w:val="20"/>
        </w:rPr>
        <w:t xml:space="preserve">La implementación de medidas de control interno contable en las micro empresas, y en particular en las tiendas de papelería en Progreso, Yucatán, es una acción fundamental que trasciende a la mera gestión de las finanzas. Con base a lo analizado, se puede concluir que los controles internos no solamente se centran en asegurar la exactitud de los registros financieros y salvaguardar los activos de las microempresas, sino que también influyen directamente en la eficiencia operativa, la toma de decisiones eficientes y la duración a largo plazo, de las mismas. </w:t>
      </w:r>
    </w:p>
    <w:p>
      <w:pPr>
        <w:pStyle w:val="LOnormal"/>
        <w:jc w:val="both"/>
        <w:rPr>
          <w:rFonts w:ascii="Times New Roman" w:hAnsi="Times New Roman" w:cs="Times New Roman"/>
          <w:sz w:val="20"/>
        </w:rPr>
      </w:pPr>
      <w:r>
        <w:rPr/>
      </w:r>
    </w:p>
    <w:p>
      <w:pPr>
        <w:pStyle w:val="LOnormal"/>
        <w:jc w:val="both"/>
        <w:rPr>
          <w:rFonts w:ascii="Times New Roman" w:hAnsi="Times New Roman" w:cs="Times New Roman"/>
          <w:sz w:val="22"/>
        </w:rPr>
      </w:pPr>
      <w:r>
        <w:rPr>
          <w:rFonts w:cs="Times New Roman" w:ascii="Times New Roman" w:hAnsi="Times New Roman"/>
          <w:sz w:val="20"/>
        </w:rPr>
        <w:t>Otros temas de investigación sugeridos, relacionados con estas microempresas papelerías, pueden ser el análisis de los resultados netos al aplicar correctamente los controles internos contables, también cuáles serían los resultados al implementar tecnologías para el control interno de los elementos clave estudiados</w:t>
      </w:r>
      <w:r>
        <w:rPr>
          <w:rFonts w:cs="Times New Roman" w:ascii="Times New Roman" w:hAnsi="Times New Roman"/>
          <w:sz w:val="22"/>
        </w:rPr>
        <w:t>.</w:t>
      </w:r>
    </w:p>
    <w:p>
      <w:pPr>
        <w:pStyle w:val="LOnormal"/>
        <w:jc w:val="both"/>
        <w:rPr>
          <w:rFonts w:ascii="Times New Roman" w:hAnsi="Times New Roman" w:cs="Times New Roman"/>
          <w:sz w:val="22"/>
        </w:rPr>
      </w:pPr>
      <w:r>
        <w:rPr/>
      </w:r>
    </w:p>
    <w:p>
      <w:pPr>
        <w:pStyle w:val="LOnormal"/>
        <w:jc w:val="both"/>
        <w:rPr>
          <w:rFonts w:ascii="Times New Roman" w:hAnsi="Times New Roman" w:cs="Times New Roman"/>
          <w:sz w:val="20"/>
        </w:rPr>
      </w:pPr>
      <w:r>
        <w:rPr>
          <w:rFonts w:cs="Times New Roman" w:ascii="Times New Roman" w:hAnsi="Times New Roman"/>
          <w:sz w:val="20"/>
        </w:rPr>
        <w:t>Este tipo de investigación también podría aplicarse a otras microempresas del municipio de Progreso, Yucatán con diferente giro orientado al comercio al por menor.</w:t>
      </w:r>
    </w:p>
    <w:p>
      <w:pPr>
        <w:pStyle w:val="LOnormal"/>
        <w:rPr>
          <w:lang w:val="en-US"/>
        </w:rPr>
      </w:pPr>
      <w:r>
        <w:rPr/>
      </w:r>
    </w:p>
    <w:p>
      <w:pPr>
        <w:pStyle w:val="LOnormal"/>
        <w:rPr>
          <w:b/>
          <w:b/>
          <w:bCs/>
        </w:rPr>
      </w:pPr>
      <w:r>
        <w:rPr>
          <w:rFonts w:eastAsia="Times New Roman" w:cs="Times New Roman" w:ascii="Times New Roman" w:hAnsi="Times New Roman"/>
          <w:b/>
          <w:bCs/>
          <w:sz w:val="20"/>
          <w:szCs w:val="20"/>
        </w:rPr>
        <w:t>REFERENCIAS</w:t>
      </w:r>
    </w:p>
    <w:p>
      <w:pPr>
        <w:pStyle w:val="LOnormal"/>
        <w:spacing w:lineRule="auto" w:line="240"/>
        <w:ind w:left="0" w:right="0" w:hanging="0"/>
        <w:rPr/>
      </w:pPr>
      <w:r>
        <w:rPr/>
      </w:r>
    </w:p>
    <w:p>
      <w:pPr>
        <w:pStyle w:val="LOnormal"/>
        <w:spacing w:lineRule="auto" w:line="240"/>
        <w:ind w:left="0" w:right="0" w:hanging="0"/>
        <w:jc w:val="both"/>
        <w:rPr/>
      </w:pPr>
      <w:r>
        <w:rPr>
          <w:rFonts w:cs="Times New Roman" w:ascii="Times New Roman" w:hAnsi="Times New Roman"/>
          <w:sz w:val="20"/>
          <w:szCs w:val="20"/>
        </w:rPr>
        <w:t xml:space="preserve">Angulo, U. (2020). Contabilidad de Activos con NIIF Aplica matemática financieras y Excel. Bogotá: Ediciones de la U-Carrera 27 # 27-43. </w:t>
      </w:r>
      <w:hyperlink r:id="rId14">
        <w:r>
          <w:rPr>
            <w:rStyle w:val="EnlacedeInternet"/>
            <w:rFonts w:cs="Times New Roman" w:ascii="Times New Roman" w:hAnsi="Times New Roman"/>
            <w:sz w:val="20"/>
            <w:szCs w:val="20"/>
          </w:rPr>
          <w:t>https://www.google.com.ec/books/edition/Contabilidad_de_activos_con_NIIF/PJgZEAAAQBAJ?hl=es&amp;gbpv=1&amp;dq=control+interno+de+inventario&amp;pg=PA205&amp;printsec=frontcover</w:t>
        </w:r>
      </w:hyperlink>
      <w:r>
        <w:rPr>
          <w:rFonts w:cs="Times New Roman" w:ascii="Times New Roman" w:hAnsi="Times New Roman"/>
          <w:sz w:val="20"/>
          <w:szCs w:val="20"/>
        </w:rPr>
        <w:t xml:space="preserve"> </w:t>
      </w:r>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Balla I. y López K. (2018). </w:t>
      </w:r>
      <w:r>
        <w:rPr>
          <w:rFonts w:cs="Times New Roman" w:ascii="Times New Roman" w:hAnsi="Times New Roman"/>
          <w:i/>
          <w:sz w:val="20"/>
          <w:szCs w:val="20"/>
        </w:rPr>
        <w:t xml:space="preserve">El Control Interno en la Gestión Administrativa de las Empresas del Ecuador. </w:t>
      </w:r>
      <w:hyperlink r:id="rId15">
        <w:r>
          <w:rPr>
            <w:rStyle w:val="EnlacedeInternet"/>
            <w:rFonts w:cs="Times New Roman" w:ascii="Times New Roman" w:hAnsi="Times New Roman"/>
            <w:sz w:val="20"/>
            <w:szCs w:val="20"/>
            <w:lang w:val="en-US"/>
          </w:rPr>
          <w:t>https://repositorio.unemi.edu.ec/xmlui/handle/123456789/4022</w:t>
        </w:r>
      </w:hyperlink>
    </w:p>
    <w:p>
      <w:pPr>
        <w:pStyle w:val="LOnormal"/>
        <w:spacing w:lineRule="auto" w:line="240"/>
        <w:ind w:left="0" w:right="0" w:hanging="0"/>
        <w:jc w:val="both"/>
        <w:rPr>
          <w:lang w:val="en-US"/>
        </w:rPr>
      </w:pPr>
      <w:r>
        <w:rPr>
          <w:lang w:val="en-US"/>
        </w:rPr>
      </w:r>
    </w:p>
    <w:p>
      <w:pPr>
        <w:pStyle w:val="LOnormal"/>
        <w:spacing w:lineRule="auto" w:line="240"/>
        <w:ind w:left="0" w:right="0" w:hanging="0"/>
        <w:jc w:val="both"/>
        <w:rPr/>
      </w:pPr>
      <w:r>
        <w:rPr>
          <w:rFonts w:cs="Times New Roman" w:ascii="Times New Roman" w:hAnsi="Times New Roman"/>
          <w:sz w:val="20"/>
          <w:szCs w:val="20"/>
          <w:lang w:val="en-US"/>
        </w:rPr>
        <w:t xml:space="preserve">Bustamante Sterling, E. (2019). </w:t>
      </w:r>
      <w:r>
        <w:rPr>
          <w:rFonts w:cs="Times New Roman" w:ascii="Times New Roman" w:hAnsi="Times New Roman"/>
          <w:sz w:val="20"/>
          <w:szCs w:val="20"/>
        </w:rPr>
        <w:t xml:space="preserve">Control interno de caja y banco (primera parte). Recuperado de </w:t>
      </w:r>
      <w:hyperlink r:id="rId16">
        <w:r>
          <w:rPr>
            <w:rStyle w:val="EnlacedeInternet"/>
            <w:rFonts w:cs="Times New Roman" w:ascii="Times New Roman" w:hAnsi="Times New Roman"/>
            <w:sz w:val="20"/>
            <w:szCs w:val="20"/>
          </w:rPr>
          <w:t>https://www.academia.edu/41566455/Control_interno_de_caja_y_banco_primera_parte_CONTROL_INTERNO_DE_CAJA_Y_BANCO</w:t>
        </w:r>
      </w:hyperlink>
    </w:p>
    <w:p>
      <w:pPr>
        <w:pStyle w:val="LOnormal"/>
        <w:spacing w:lineRule="auto" w:line="240"/>
        <w:ind w:left="0" w:right="0" w:hanging="0"/>
        <w:jc w:val="both"/>
        <w:rPr/>
      </w:pPr>
      <w:r>
        <w:rPr>
          <w:rFonts w:cs="Times New Roman" w:ascii="Times New Roman" w:hAnsi="Times New Roman"/>
          <w:sz w:val="20"/>
          <w:szCs w:val="20"/>
        </w:rPr>
        <w:t>​</w:t>
      </w:r>
    </w:p>
    <w:p>
      <w:pPr>
        <w:pStyle w:val="LOnormal"/>
        <w:spacing w:lineRule="auto" w:line="240"/>
        <w:ind w:left="0" w:right="0" w:hanging="0"/>
        <w:jc w:val="both"/>
        <w:rPr/>
      </w:pPr>
      <w:r>
        <w:rPr>
          <w:rFonts w:cs="Times New Roman" w:ascii="Times New Roman" w:hAnsi="Times New Roman"/>
          <w:sz w:val="20"/>
          <w:szCs w:val="20"/>
        </w:rPr>
        <w:t xml:space="preserve">Bravo, M. (2023). Evaluación del control interno a las cuentas por cobrar clientes de empresas comerciales. </w:t>
      </w:r>
      <w:hyperlink r:id="rId17">
        <w:r>
          <w:rPr>
            <w:rStyle w:val="EnlacedeInternet"/>
            <w:rFonts w:cs="Times New Roman" w:ascii="Times New Roman" w:hAnsi="Times New Roman"/>
            <w:sz w:val="20"/>
            <w:szCs w:val="20"/>
          </w:rPr>
          <w:t>https://es.scribd.com/document/647112847/Evaluacion-Del-Control-Interno-a-Las-Cuentas-Por-Cobrar-Clientes-de-Empresas-Comerciales</w:t>
        </w:r>
      </w:hyperlink>
    </w:p>
    <w:p>
      <w:pPr>
        <w:pStyle w:val="LOnormal"/>
        <w:spacing w:lineRule="auto" w:line="240"/>
        <w:ind w:left="0" w:right="0" w:hanging="0"/>
        <w:jc w:val="both"/>
        <w:rPr/>
      </w:pPr>
      <w:r>
        <w:rPr>
          <w:rFonts w:cs="Times New Roman" w:ascii="Times New Roman" w:hAnsi="Times New Roman"/>
          <w:sz w:val="20"/>
          <w:szCs w:val="20"/>
        </w:rPr>
        <w:t xml:space="preserve">​ </w:t>
      </w:r>
    </w:p>
    <w:p>
      <w:pPr>
        <w:pStyle w:val="LOnormal"/>
        <w:spacing w:lineRule="auto" w:line="240"/>
        <w:ind w:left="0" w:right="0" w:hanging="0"/>
        <w:jc w:val="both"/>
        <w:rPr/>
      </w:pPr>
      <w:r>
        <w:rPr>
          <w:rFonts w:cs="Times New Roman" w:ascii="Times New Roman" w:hAnsi="Times New Roman"/>
          <w:sz w:val="20"/>
          <w:szCs w:val="20"/>
        </w:rPr>
        <w:t xml:space="preserve">Castillo Víquez, Y., &amp; Godoy-Troya, J. R. (2023). Factores que inciden en el control y los procesos de flujo de efectivo de empresas comerciales en Panamá. Revista FAECO Sapiens, 6(2), 66–84. </w:t>
      </w:r>
      <w:hyperlink r:id="rId18">
        <w:r>
          <w:rPr>
            <w:rStyle w:val="EnlacedeInternet"/>
            <w:rFonts w:cs="Times New Roman" w:ascii="Times New Roman" w:hAnsi="Times New Roman"/>
            <w:sz w:val="20"/>
            <w:szCs w:val="20"/>
          </w:rPr>
          <w:t>https://doi.org/10.48204/j.faeco.v6n2.a4011</w:t>
        </w:r>
      </w:hyperlink>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Coaguila García, K. R. (2018). Control de cuentas por pagar y liquidez en las empresas de fabricación de productos veterinarios en el distrito Independencia-2018.</w:t>
      </w:r>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Committee of Sponsoring Organizations of the Treadway Commission (COSO). (2013). Marco Integrado de Control Interno. American Institute of Certified Public Accountants (AICPA). </w:t>
      </w:r>
      <w:hyperlink r:id="rId19">
        <w:r>
          <w:rPr/>
          <w:t>https://www.coso.org/Documents/990025P-Executive-Summary-final-spanish.pdf</w:t>
        </w:r>
      </w:hyperlink>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Consejo Mexicano de Normas de Información Financiera (CINIF). (2023). Normas de Información Financiera NIF A-6, C-1, C-3, C-4 y C-9. Ciudad de México: CINIF. Disponible en: </w:t>
      </w:r>
      <w:hyperlink r:id="rId20">
        <w:r>
          <w:rPr>
            <w:rStyle w:val="EnlacedeInternet"/>
            <w:rFonts w:cs="Times New Roman" w:ascii="Times New Roman" w:hAnsi="Times New Roman"/>
            <w:sz w:val="20"/>
            <w:szCs w:val="20"/>
          </w:rPr>
          <w:t>https://www.cinif.org.mx</w:t>
        </w:r>
      </w:hyperlink>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Cumbicos Castillo, H. A., Señalin Morales, L. O., &amp; Tapia Espinoza, N. J. (2023). La importancia del control interno contable en la gestión efectiva de las empresas. Ciencia Latina Revista Científica Multidisciplinar, 7(4), 1635-1647. </w:t>
      </w:r>
      <w:hyperlink r:id="rId21">
        <w:r>
          <w:rPr>
            <w:rStyle w:val="EnlacedeInternet"/>
            <w:rFonts w:cs="Times New Roman" w:ascii="Times New Roman" w:hAnsi="Times New Roman"/>
            <w:sz w:val="20"/>
            <w:szCs w:val="20"/>
          </w:rPr>
          <w:t>https://doi.org/10.37811/cl_rcm.v7i4.6981</w:t>
        </w:r>
      </w:hyperlink>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Directorio Estadístico Nacional de Unidades Económicas (DENUE), 2024. </w:t>
      </w:r>
      <w:hyperlink r:id="rId22">
        <w:r>
          <w:rPr>
            <w:rStyle w:val="EnlacedeInternet"/>
            <w:rFonts w:cs="Times New Roman" w:ascii="Times New Roman" w:hAnsi="Times New Roman"/>
            <w:sz w:val="20"/>
            <w:szCs w:val="20"/>
          </w:rPr>
          <w:t>https://www.inegi.org.mx/app/mapa/denue/default.aspx</w:t>
        </w:r>
      </w:hyperlink>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Espinales, J., Linarte S., Valle, K., Importancia del control interno en la Gestión contable de las Microempresas del sector comercial en la ciudad de Chinandega en el periodo comprendido de Enero a Junio 2023. Licenciatura thesis, Universidad de Ciencias Comerciales. </w:t>
      </w:r>
      <w:hyperlink r:id="rId23">
        <w:r>
          <w:rPr>
            <w:rStyle w:val="EnlacedeInternet"/>
            <w:rFonts w:cs="Times New Roman" w:ascii="Times New Roman" w:hAnsi="Times New Roman"/>
            <w:sz w:val="20"/>
            <w:szCs w:val="20"/>
          </w:rPr>
          <w:t>http://repositorio.ucc.edu.ni/id/eprint/1232</w:t>
        </w:r>
      </w:hyperlink>
      <w:r>
        <w:rPr>
          <w:rFonts w:cs="Times New Roman" w:ascii="Times New Roman" w:hAnsi="Times New Roman"/>
          <w:sz w:val="20"/>
          <w:szCs w:val="20"/>
        </w:rPr>
        <w:t xml:space="preserve"> </w:t>
      </w:r>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Flores Laguna, O. A., &amp; Aquino Mercado, D. (2023). Competencias en procesos contables, control interno y conocimientos generales en contadores de entidades religiosas en países interamericanos. Revista De Investigación Valor Agregado, 10(1), 100–123. </w:t>
      </w:r>
      <w:hyperlink r:id="rId24">
        <w:r>
          <w:rPr>
            <w:rStyle w:val="EnlacedeInternet"/>
            <w:rFonts w:cs="Times New Roman" w:ascii="Times New Roman" w:hAnsi="Times New Roman"/>
            <w:sz w:val="20"/>
            <w:szCs w:val="20"/>
          </w:rPr>
          <w:t>https://doi.org/10.17162/riva.v10i1.2050</w:t>
        </w:r>
      </w:hyperlink>
      <w:r>
        <w:rPr>
          <w:rFonts w:cs="Times New Roman" w:ascii="Times New Roman" w:hAnsi="Times New Roman"/>
          <w:sz w:val="20"/>
          <w:szCs w:val="20"/>
        </w:rPr>
        <w:t xml:space="preserve"> </w:t>
      </w:r>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cs="Times New Roman" w:ascii="Times New Roman" w:hAnsi="Times New Roman"/>
          <w:sz w:val="20"/>
          <w:szCs w:val="20"/>
        </w:rPr>
        <w:t xml:space="preserve">Flores Pita, V. E., &amp; Zúñiga Delgado, M. S. (2019). Diseño de un sistema de control interno del inventario en la Papelería Gladys. Instituto Superior Tecnológico Bolivariano de Tecnología. Recuperado de </w:t>
      </w:r>
      <w:hyperlink r:id="rId25">
        <w:r>
          <w:rPr>
            <w:rStyle w:val="EnlacedeInternet"/>
            <w:rFonts w:cs="Times New Roman" w:ascii="Times New Roman" w:hAnsi="Times New Roman"/>
            <w:sz w:val="20"/>
            <w:szCs w:val="20"/>
          </w:rPr>
          <w:t>http://repositorio.itb.edu.ec/handle/123456789/1270</w:t>
        </w:r>
      </w:hyperlink>
      <w:r>
        <w:rPr>
          <w:rFonts w:cs="Times New Roman" w:ascii="Times New Roman" w:hAnsi="Times New Roman"/>
          <w:sz w:val="20"/>
          <w:szCs w:val="20"/>
        </w:rPr>
        <w:t xml:space="preserve"> </w:t>
      </w:r>
    </w:p>
    <w:p>
      <w:pPr>
        <w:pStyle w:val="LOnormal"/>
        <w:spacing w:lineRule="auto" w:line="24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ind w:left="0" w:right="0" w:hanging="0"/>
        <w:jc w:val="both"/>
        <w:rPr/>
      </w:pPr>
      <w:r>
        <w:rPr>
          <w:rFonts w:ascii="Times New Roman" w:hAnsi="Times New Roman"/>
          <w:sz w:val="20"/>
          <w:szCs w:val="20"/>
        </w:rPr>
        <w:t xml:space="preserve">Gálvez Albarracín, É. J., Restrepo Rivillas, C. A., &amp; Hernández Fernández, L. (2017). Realidades, perspectivas y desafíos de las microempresas en Colombia. Análisis estratégico para su desarrollo. (1st ed.). Universidad del Externado. </w:t>
      </w:r>
      <w:hyperlink r:id="rId26">
        <w:r>
          <w:rPr>
            <w:rStyle w:val="EnlacedeInternet"/>
            <w:rFonts w:ascii="Times New Roman" w:hAnsi="Times New Roman"/>
            <w:sz w:val="20"/>
            <w:szCs w:val="20"/>
          </w:rPr>
          <w:t>https://doi.org/10.2307/j.ctv18msn0j</w:t>
        </w:r>
      </w:hyperlink>
      <w:r>
        <w:rPr>
          <w:rFonts w:ascii="Times New Roman" w:hAnsi="Times New Roman"/>
          <w:sz w:val="20"/>
          <w:szCs w:val="20"/>
        </w:rPr>
        <w:t xml:space="preserve"> </w:t>
      </w:r>
    </w:p>
    <w:p>
      <w:pPr>
        <w:pStyle w:val="LOnormal"/>
        <w:spacing w:lineRule="auto" w:line="240"/>
        <w:ind w:left="0" w:right="0" w:hanging="0"/>
        <w:jc w:val="both"/>
        <w:rPr>
          <w:rFonts w:ascii="Times New Roman" w:hAnsi="Times New Roman"/>
          <w:sz w:val="20"/>
          <w:szCs w:val="20"/>
        </w:rPr>
      </w:pPr>
      <w:r>
        <w:rPr>
          <w:rFonts w:ascii="Times New Roman" w:hAnsi="Times New Roman"/>
          <w:sz w:val="20"/>
          <w:szCs w:val="20"/>
        </w:rPr>
      </w:r>
    </w:p>
    <w:p>
      <w:pPr>
        <w:pStyle w:val="LOnormal"/>
        <w:spacing w:lineRule="auto" w:line="240"/>
        <w:ind w:left="0" w:right="0" w:hanging="0"/>
        <w:jc w:val="both"/>
        <w:rPr/>
      </w:pPr>
      <w:r>
        <w:rPr>
          <w:rFonts w:ascii="Times New Roman" w:hAnsi="Times New Roman"/>
          <w:sz w:val="20"/>
          <w:szCs w:val="20"/>
        </w:rPr>
        <w:t xml:space="preserve">García-Sánchez, I.-M., &amp; Rodríguez-Ariza, L. (2021). Capital de trabajo, rentabilidad y sostenibilidad empresarial: un análisis empírico en tiempos de crisis. </w:t>
      </w:r>
      <w:r>
        <w:rPr>
          <w:rFonts w:ascii="Times New Roman" w:hAnsi="Times New Roman"/>
          <w:sz w:val="20"/>
          <w:szCs w:val="20"/>
          <w:lang w:val="en-US"/>
        </w:rPr>
        <w:t xml:space="preserve">Revista de Contabilidad-Spanish Accounting Review, 24(2), 123–135. </w:t>
      </w:r>
      <w:hyperlink r:id="rId27">
        <w:r>
          <w:rPr>
            <w:rStyle w:val="EnlacedeInternet"/>
            <w:rFonts w:ascii="Times New Roman" w:hAnsi="Times New Roman"/>
            <w:sz w:val="20"/>
            <w:szCs w:val="20"/>
            <w:lang w:val="en-US"/>
          </w:rPr>
          <w:t>https://doi.org/10.6018/rcsar.470921</w:t>
        </w:r>
      </w:hyperlink>
      <w:r>
        <w:rPr>
          <w:lang w:val="en-US"/>
        </w:rPr>
        <w:t xml:space="preserve"> </w:t>
      </w:r>
    </w:p>
    <w:p>
      <w:pPr>
        <w:pStyle w:val="LOnormal"/>
        <w:spacing w:lineRule="auto" w:line="240"/>
        <w:ind w:left="0" w:right="0" w:hanging="0"/>
        <w:jc w:val="both"/>
        <w:rPr>
          <w:rFonts w:ascii="Times New Roman" w:hAnsi="Times New Roman"/>
          <w:sz w:val="20"/>
          <w:szCs w:val="20"/>
          <w:lang w:val="en-US"/>
        </w:rPr>
      </w:pPr>
      <w:r>
        <w:rPr>
          <w:rFonts w:ascii="Times New Roman" w:hAnsi="Times New Roman"/>
          <w:sz w:val="20"/>
          <w:szCs w:val="20"/>
          <w:lang w:val="en-US"/>
        </w:rPr>
      </w:r>
    </w:p>
    <w:p>
      <w:pPr>
        <w:pStyle w:val="Normal"/>
        <w:spacing w:lineRule="auto" w:line="240"/>
        <w:ind w:left="0" w:right="0" w:hanging="0"/>
        <w:jc w:val="both"/>
        <w:rPr/>
      </w:pPr>
      <w:r>
        <w:rPr>
          <w:rFonts w:cs="Times New Roman" w:ascii="Times New Roman" w:hAnsi="Times New Roman"/>
          <w:sz w:val="20"/>
          <w:lang w:val="en-US"/>
        </w:rPr>
        <w:t xml:space="preserve">Huamán Heredia, A. D. (2022). Incidence of internal control in the management of accounts receivable in the company Jaen Gas SAC- 2021. Sapienza: International Journal of Interdisciplinary Studies, 3(1), 818–829. </w:t>
      </w:r>
      <w:hyperlink r:id="rId28">
        <w:r>
          <w:rPr>
            <w:rStyle w:val="EnlacedeInternet"/>
            <w:rFonts w:cs="Times New Roman" w:ascii="Times New Roman" w:hAnsi="Times New Roman"/>
            <w:sz w:val="20"/>
            <w:lang w:val="en-US"/>
          </w:rPr>
          <w:t>https://doi.org/10.51798/sijis.v3i1.264</w:t>
        </w:r>
      </w:hyperlink>
    </w:p>
    <w:p>
      <w:pPr>
        <w:pStyle w:val="Normal"/>
        <w:spacing w:lineRule="auto" w:line="240"/>
        <w:ind w:left="0" w:right="0" w:hanging="0"/>
        <w:jc w:val="both"/>
        <w:rPr>
          <w:rFonts w:ascii="Times New Roman" w:hAnsi="Times New Roman" w:cs="Times New Roman"/>
          <w:sz w:val="20"/>
          <w:lang w:val="en-US"/>
        </w:rPr>
      </w:pPr>
      <w:r>
        <w:rPr>
          <w:rFonts w:cs="Times New Roman" w:ascii="Times New Roman" w:hAnsi="Times New Roman"/>
          <w:sz w:val="20"/>
          <w:lang w:val="en-US"/>
        </w:rPr>
      </w:r>
    </w:p>
    <w:p>
      <w:pPr>
        <w:pStyle w:val="Normal"/>
        <w:spacing w:lineRule="auto" w:line="240"/>
        <w:ind w:left="0" w:right="0" w:hanging="0"/>
        <w:jc w:val="both"/>
        <w:rPr/>
      </w:pPr>
      <w:r>
        <w:rPr>
          <w:rFonts w:cs="Times New Roman" w:ascii="Times New Roman" w:hAnsi="Times New Roman"/>
          <w:sz w:val="20"/>
        </w:rPr>
        <w:t>López García, M. (2019). Contabilidad financiera avanzada. Ediciones Universidad Autónoma de Madrid. ISBN: 9788474779824.</w:t>
      </w:r>
    </w:p>
    <w:p>
      <w:pPr>
        <w:pStyle w:val="Normal"/>
        <w:spacing w:lineRule="auto" w:line="240"/>
        <w:ind w:left="0" w:right="0" w:hanging="0"/>
        <w:jc w:val="both"/>
        <w:rPr>
          <w:rFonts w:ascii="Times New Roman" w:hAnsi="Times New Roman" w:cs="Times New Roman"/>
          <w:sz w:val="20"/>
        </w:rPr>
      </w:pPr>
      <w:r>
        <w:rPr>
          <w:rFonts w:cs="Times New Roman" w:ascii="Times New Roman" w:hAnsi="Times New Roman"/>
          <w:sz w:val="20"/>
        </w:rPr>
      </w:r>
    </w:p>
    <w:p>
      <w:pPr>
        <w:pStyle w:val="Normal"/>
        <w:spacing w:lineRule="auto" w:line="240"/>
        <w:ind w:left="0" w:right="0" w:hanging="0"/>
        <w:jc w:val="both"/>
        <w:rPr/>
      </w:pPr>
      <w:r>
        <w:rPr>
          <w:rFonts w:cs="Times New Roman" w:ascii="Times New Roman" w:hAnsi="Times New Roman"/>
          <w:sz w:val="20"/>
        </w:rPr>
        <w:t xml:space="preserve">Morales Ochoa, M. (2024). El Capital de Trabajo y el Tiempo. Revista Vértice Universitario, 6(26). Recuperado de </w:t>
      </w:r>
      <w:hyperlink r:id="rId29">
        <w:r>
          <w:rPr>
            <w:rStyle w:val="EnlacedeInternet"/>
            <w:rFonts w:cs="Times New Roman" w:ascii="Times New Roman" w:hAnsi="Times New Roman"/>
            <w:sz w:val="20"/>
          </w:rPr>
          <w:t>https://revistavertice.unison.mx/index.php/rvu/article/view/312</w:t>
        </w:r>
      </w:hyperlink>
      <w:r>
        <w:rPr>
          <w:rFonts w:cs="Times New Roman" w:ascii="Times New Roman" w:hAnsi="Times New Roman"/>
          <w:sz w:val="20"/>
        </w:rPr>
        <w:t xml:space="preserve"> </w:t>
      </w:r>
    </w:p>
    <w:p>
      <w:pPr>
        <w:pStyle w:val="Normal"/>
        <w:spacing w:lineRule="auto" w:line="240"/>
        <w:ind w:left="0" w:right="0" w:hanging="0"/>
        <w:jc w:val="both"/>
        <w:rPr>
          <w:rFonts w:ascii="Times New Roman" w:hAnsi="Times New Roman" w:cs="Times New Roman"/>
          <w:sz w:val="20"/>
        </w:rPr>
      </w:pPr>
      <w:r>
        <w:rPr>
          <w:rFonts w:cs="Times New Roman" w:ascii="Times New Roman" w:hAnsi="Times New Roman"/>
          <w:sz w:val="20"/>
        </w:rPr>
      </w:r>
    </w:p>
    <w:p>
      <w:pPr>
        <w:pStyle w:val="Normal"/>
        <w:spacing w:lineRule="auto" w:line="240"/>
        <w:ind w:left="0" w:right="0" w:hanging="0"/>
        <w:jc w:val="both"/>
        <w:rPr/>
      </w:pPr>
      <w:r>
        <w:rPr>
          <w:rFonts w:cs="Times New Roman" w:ascii="Times New Roman" w:hAnsi="Times New Roman"/>
          <w:sz w:val="20"/>
        </w:rPr>
        <w:t xml:space="preserve">Moreno Albuja, M. D. C., Gavilanes Sagñay, M. A., Colcha Ortiz, R. V., &amp; Cortez Manzano, R. A. (2020). El control interno en base a la normativa legal: una herramienta para mitigar el riesgo empresarial. Visionario Digital, 4(3), 204–213. </w:t>
      </w:r>
      <w:hyperlink r:id="rId30">
        <w:r>
          <w:rPr>
            <w:rStyle w:val="EnlacedeInternet"/>
            <w:rFonts w:cs="Times New Roman" w:ascii="Times New Roman" w:hAnsi="Times New Roman"/>
            <w:sz w:val="20"/>
          </w:rPr>
          <w:t>https://doi.org/10.33262/visionariodigital.v4i3.1363</w:t>
        </w:r>
      </w:hyperlink>
    </w:p>
    <w:p>
      <w:pPr>
        <w:pStyle w:val="Normal"/>
        <w:spacing w:lineRule="auto" w:line="240"/>
        <w:ind w:left="0" w:right="0" w:hanging="0"/>
        <w:jc w:val="both"/>
        <w:rPr>
          <w:rFonts w:ascii="Times New Roman" w:hAnsi="Times New Roman" w:cs="Times New Roman"/>
          <w:sz w:val="20"/>
        </w:rPr>
      </w:pPr>
      <w:r>
        <w:rPr>
          <w:rFonts w:cs="Times New Roman" w:ascii="Times New Roman" w:hAnsi="Times New Roman"/>
          <w:sz w:val="20"/>
        </w:rPr>
      </w:r>
    </w:p>
    <w:p>
      <w:pPr>
        <w:pStyle w:val="Normal"/>
        <w:spacing w:lineRule="auto" w:line="240"/>
        <w:ind w:left="0" w:right="0" w:hanging="0"/>
        <w:jc w:val="both"/>
        <w:rPr/>
      </w:pPr>
      <w:r>
        <w:rPr>
          <w:rFonts w:cs="Times New Roman" w:ascii="Times New Roman" w:hAnsi="Times New Roman"/>
          <w:sz w:val="20"/>
        </w:rPr>
        <w:t xml:space="preserve">Paz Díaz, N. O. (2024). Control Interno: Auditoría, Riesgos Y Cumplimiento En Los Registros Contables. CPA Panamá, 2(2), 87–94. </w:t>
      </w:r>
      <w:hyperlink r:id="rId31">
        <w:r>
          <w:rPr>
            <w:rStyle w:val="EnlacedeInternet"/>
            <w:rFonts w:cs="Times New Roman" w:ascii="Times New Roman" w:hAnsi="Times New Roman"/>
            <w:sz w:val="20"/>
          </w:rPr>
          <w:t>https://doi.org/10.48204/2953-3147.5490</w:t>
        </w:r>
      </w:hyperlink>
    </w:p>
    <w:p>
      <w:pPr>
        <w:pStyle w:val="Normal"/>
        <w:spacing w:lineRule="auto" w:line="240"/>
        <w:ind w:left="0" w:right="0" w:hanging="0"/>
        <w:jc w:val="both"/>
        <w:rPr>
          <w:rFonts w:ascii="Times New Roman" w:hAnsi="Times New Roman" w:cs="Times New Roman"/>
          <w:sz w:val="20"/>
        </w:rPr>
      </w:pPr>
      <w:r>
        <w:rPr>
          <w:rFonts w:cs="Times New Roman" w:ascii="Times New Roman" w:hAnsi="Times New Roman"/>
          <w:sz w:val="20"/>
        </w:rPr>
      </w:r>
    </w:p>
    <w:p>
      <w:pPr>
        <w:pStyle w:val="Normal"/>
        <w:spacing w:lineRule="auto" w:line="240"/>
        <w:ind w:left="0" w:right="0" w:hanging="0"/>
        <w:jc w:val="both"/>
        <w:rPr/>
      </w:pPr>
      <w:r>
        <w:rPr>
          <w:rFonts w:cs="Times New Roman" w:ascii="Times New Roman" w:hAnsi="Times New Roman"/>
          <w:sz w:val="20"/>
        </w:rPr>
        <w:t>Rodríguez-Vélez, C. A., &amp; Loor-Alcívar, I. (2019). Control interno de la cuenta caja y su efecto en la liquidez y razonabilidad de la información financiera en la estación de servicios R&amp;R Servicios S.A. de la ciudad de Portoviejo.</w:t>
      </w:r>
      <w:r>
        <w:rPr>
          <w:rFonts w:cs="Times New Roman" w:ascii="Times New Roman" w:hAnsi="Times New Roman"/>
          <w:sz w:val="20"/>
          <w:u w:val="single"/>
        </w:rPr>
        <w:t xml:space="preserve"> </w:t>
      </w:r>
      <w:r>
        <w:rPr>
          <w:rFonts w:cs="Times New Roman" w:ascii="Times New Roman" w:hAnsi="Times New Roman"/>
          <w:sz w:val="20"/>
        </w:rPr>
        <w:t xml:space="preserve">Revista Científica Arbitrada Multidisciplinaria de Ciencias Contables, Auditoría y Tributación: CORPORATUM 360, 1(1). Recuperado de </w:t>
      </w:r>
      <w:hyperlink r:id="rId32">
        <w:r>
          <w:rPr>
            <w:rStyle w:val="EnlacedeInternet"/>
            <w:rFonts w:cs="Times New Roman" w:ascii="Times New Roman" w:hAnsi="Times New Roman"/>
            <w:sz w:val="20"/>
          </w:rPr>
          <w:t>https://publicacionescd.uleam.edu.ec/index.php/corporatum-360/article/view/142</w:t>
        </w:r>
      </w:hyperlink>
      <w:r>
        <w:rPr>
          <w:rFonts w:cs="Times New Roman" w:ascii="Times New Roman" w:hAnsi="Times New Roman"/>
          <w:sz w:val="20"/>
        </w:rPr>
        <w:t>​</w:t>
      </w:r>
    </w:p>
    <w:p>
      <w:pPr>
        <w:pStyle w:val="Normal"/>
        <w:spacing w:lineRule="auto" w:line="240"/>
        <w:ind w:left="0" w:right="0" w:hanging="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uto" w:line="240"/>
        <w:ind w:left="0" w:right="0" w:hanging="0"/>
        <w:jc w:val="both"/>
        <w:rPr/>
      </w:pPr>
      <w:r>
        <w:rPr>
          <w:rFonts w:cs="Times New Roman" w:ascii="Times New Roman" w:hAnsi="Times New Roman"/>
          <w:sz w:val="20"/>
        </w:rPr>
        <w:t xml:space="preserve">Romero, J. (2023). </w:t>
      </w:r>
      <w:r>
        <w:rPr>
          <w:rFonts w:cs="Times New Roman" w:ascii="Times New Roman" w:hAnsi="Times New Roman"/>
          <w:i/>
          <w:sz w:val="20"/>
        </w:rPr>
        <w:t xml:space="preserve">Principios de contabilidad. </w:t>
      </w:r>
      <w:r>
        <w:rPr>
          <w:rFonts w:cs="Times New Roman" w:ascii="Times New Roman" w:hAnsi="Times New Roman"/>
          <w:sz w:val="20"/>
        </w:rPr>
        <w:t>Editorial Mc Graw Hill</w:t>
      </w:r>
    </w:p>
    <w:p>
      <w:pPr>
        <w:pStyle w:val="Normal"/>
        <w:spacing w:lineRule="auto" w:line="240"/>
        <w:ind w:left="0" w:right="0" w:hanging="0"/>
        <w:jc w:val="both"/>
        <w:rPr>
          <w:rFonts w:ascii="Times New Roman" w:hAnsi="Times New Roman" w:cs="Times New Roman"/>
          <w:sz w:val="20"/>
        </w:rPr>
      </w:pPr>
      <w:r>
        <w:rPr>
          <w:rFonts w:cs="Times New Roman" w:ascii="Times New Roman" w:hAnsi="Times New Roman"/>
          <w:sz w:val="20"/>
        </w:rPr>
      </w:r>
    </w:p>
    <w:p>
      <w:pPr>
        <w:pStyle w:val="Normal"/>
        <w:spacing w:lineRule="auto" w:line="240"/>
        <w:ind w:left="0" w:right="0" w:hanging="0"/>
        <w:jc w:val="both"/>
        <w:rPr/>
      </w:pPr>
      <w:r>
        <w:rPr>
          <w:rFonts w:cs="Times New Roman" w:ascii="Times New Roman" w:hAnsi="Times New Roman"/>
          <w:sz w:val="20"/>
        </w:rPr>
        <w:t xml:space="preserve">Salas Chávez, R., Ochoa Ramírez, V., Díaz Torres, G., Ordaz Mota, C., &amp; Rodríguez Ríos, J. C. (2023). El desafío de las microempresas mexicanas ante la cancelación de sellos digitales: The challenge of mexican microenterprises facing the cancellation of digital stamps. LATAM Revista Latinoamericana De Ciencias Sociales Y Humanidades, 4(5), 408–421. </w:t>
      </w:r>
      <w:hyperlink r:id="rId33">
        <w:r>
          <w:rPr>
            <w:rStyle w:val="EnlacedeInternet"/>
            <w:rFonts w:cs="Times New Roman" w:ascii="Times New Roman" w:hAnsi="Times New Roman"/>
            <w:sz w:val="20"/>
          </w:rPr>
          <w:t>https://doi.org/10.56712/latam.v4i5.1326</w:t>
        </w:r>
      </w:hyperlink>
      <w:r>
        <w:rPr>
          <w:rFonts w:cs="Times New Roman" w:ascii="Times New Roman" w:hAnsi="Times New Roman"/>
          <w:sz w:val="20"/>
        </w:rPr>
        <w:t xml:space="preserve"> </w:t>
      </w:r>
    </w:p>
    <w:p>
      <w:pPr>
        <w:pStyle w:val="Normal"/>
        <w:spacing w:lineRule="auto" w:line="240"/>
        <w:ind w:left="0" w:right="0" w:hanging="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uto" w:line="240"/>
        <w:ind w:left="0" w:right="0" w:hanging="0"/>
        <w:jc w:val="both"/>
        <w:rPr/>
      </w:pPr>
      <w:r>
        <w:rPr>
          <w:rFonts w:cs="Times New Roman" w:ascii="Times New Roman" w:hAnsi="Times New Roman"/>
          <w:sz w:val="20"/>
        </w:rPr>
        <w:t xml:space="preserve">Velásquez, J. J., Campos, S. E., Pelayo, M. M. y Núñez, J. A. (2021). El control interno contable en las mipymes de las regiones Costa Sur y Sierra de Amula en el Estado de Jalisco, México. Estudio comparativo. </w:t>
      </w:r>
      <w:hyperlink r:id="rId34">
        <w:r>
          <w:rPr>
            <w:rStyle w:val="EnlacedeInternet"/>
            <w:rFonts w:cs="Times New Roman" w:ascii="Times New Roman" w:hAnsi="Times New Roman"/>
            <w:sz w:val="20"/>
          </w:rPr>
          <w:t>http://publicaciones.unaula.edu.co/index.php/VisionContable/article/view/1292/1555</w:t>
        </w:r>
      </w:hyperlink>
    </w:p>
    <w:p>
      <w:pPr>
        <w:pStyle w:val="Normal"/>
        <w:spacing w:lineRule="auto" w:line="240"/>
        <w:ind w:left="0" w:right="0" w:hanging="0"/>
        <w:jc w:val="both"/>
        <w:rPr>
          <w:rFonts w:ascii="Times New Roman" w:hAnsi="Times New Roman" w:cs="Times New Roman"/>
          <w:sz w:val="22"/>
        </w:rPr>
      </w:pPr>
      <w:r>
        <w:rPr>
          <w:rFonts w:cs="Times New Roman" w:ascii="Times New Roman" w:hAnsi="Times New Roman"/>
          <w:sz w:val="22"/>
        </w:rPr>
      </w:r>
    </w:p>
    <w:p>
      <w:pPr>
        <w:pStyle w:val="Normal"/>
        <w:spacing w:lineRule="auto" w:line="240"/>
        <w:ind w:left="0" w:right="0" w:hanging="0"/>
        <w:jc w:val="both"/>
        <w:rPr/>
      </w:pPr>
      <w:r>
        <w:rPr>
          <w:rFonts w:eastAsia="Times New Roman" w:cs="Times New Roman" w:ascii="Times New Roman" w:hAnsi="Times New Roman"/>
          <w:sz w:val="20"/>
          <w:szCs w:val="20"/>
        </w:rPr>
        <w:t xml:space="preserve">Vera, M. (2018). Análisis de control interno de la gestión de las cuentas por pagar del año 2018 de la Escuela de Conducción no profesional de la ciudad de Guayaquil. </w:t>
      </w:r>
      <w:hyperlink r:id="rId35">
        <w:r>
          <w:rPr>
            <w:rStyle w:val="EnlacedeInternet"/>
            <w:rFonts w:eastAsia="Times New Roman" w:cs="Times New Roman" w:ascii="Times New Roman" w:hAnsi="Times New Roman"/>
            <w:sz w:val="20"/>
            <w:szCs w:val="20"/>
          </w:rPr>
          <w:t>http://dspace.ups.edu.ec/handle/123456789/20227</w:t>
        </w:r>
      </w:hyperlink>
    </w:p>
    <w:p>
      <w:pPr>
        <w:pStyle w:val="Normal"/>
        <w:spacing w:lineRule="auto" w:line="24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ind w:left="0" w:right="0"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ind w:left="0" w:right="0" w:hanging="0"/>
        <w:rPr/>
      </w:pPr>
      <w:r>
        <w:rPr/>
      </w:r>
    </w:p>
    <w:sectPr>
      <w:type w:val="continuous"/>
      <w:pgSz w:w="11906" w:h="16838"/>
      <w:pgMar w:left="1134" w:right="1134" w:header="1134" w:top="1601" w:footer="1134" w:bottom="1729" w:gutter="0"/>
      <w:cols w:num="2" w:space="72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11</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07</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61</w:t>
    </w:r>
    <w:r>
      <w:rPr>
        <w:rFonts w:ascii="Times New Roman" w:hAnsi="Times New Roman"/>
        <w:i/>
        <w:iCs/>
        <w:sz w:val="16"/>
        <w:szCs w:val="16"/>
      </w:rPr>
      <w:t>-</w:t>
    </w:r>
    <w:r>
      <w:rPr>
        <w:rFonts w:ascii="Times New Roman" w:hAnsi="Times New Roman"/>
        <w:i/>
        <w:iCs/>
        <w:sz w:val="16"/>
        <w:szCs w:val="16"/>
      </w:rPr>
      <w:t>70</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61</w:t>
    </w:r>
    <w:r>
      <w:rPr>
        <w:rFonts w:ascii="Times New Roman" w:hAnsi="Times New Roman"/>
        <w:i/>
        <w:iCs/>
        <w:sz w:val="16"/>
        <w:szCs w:val="16"/>
      </w:rPr>
      <w:t>-</w:t>
    </w:r>
    <w:r>
      <w:rPr>
        <w:rFonts w:ascii="Times New Roman" w:hAnsi="Times New Roman"/>
        <w:i/>
        <w:iCs/>
        <w:sz w:val="16"/>
        <w:szCs w:val="16"/>
      </w:rPr>
      <w:t>70</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61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70</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ba2d27"/>
    <w:rPr>
      <w:color w:val="0563C1" w:themeColor="hyperlink"/>
      <w:u w:val="single"/>
    </w:rPr>
  </w:style>
  <w:style w:type="character" w:styleId="Character20style" w:customStyle="1">
    <w:name w:val="Character_20_style"/>
    <w:qFormat/>
    <w:rPr/>
  </w:style>
  <w:style w:type="character" w:styleId="HTMLconformatoprevioCar" w:customStyle="1">
    <w:name w:val="HTML con formato previo Car"/>
    <w:basedOn w:val="DefaultParagraphFont"/>
    <w:link w:val="HTMLconformatoprevio"/>
    <w:uiPriority w:val="99"/>
    <w:semiHidden/>
    <w:qFormat/>
    <w:rsid w:val="00945f08"/>
    <w:rPr>
      <w:rFonts w:ascii="Courier New" w:hAnsi="Courier New" w:eastAsia="Times New Roman" w:cs="Courier New"/>
      <w:kern w:val="0"/>
      <w:sz w:val="20"/>
      <w:szCs w:val="20"/>
      <w:lang w:eastAsia="es-MX" w:bidi="ar-SA"/>
    </w:rPr>
  </w:style>
  <w:style w:type="character" w:styleId="Y2iqfc" w:customStyle="1">
    <w:name w:val="y2iqfc"/>
    <w:basedOn w:val="DefaultParagraphFont"/>
    <w:qFormat/>
    <w:rsid w:val="00945f08"/>
    <w:rPr/>
  </w:style>
  <w:style w:type="character" w:styleId="UnresolvedMention" w:customStyle="1">
    <w:name w:val="Unresolved Mention"/>
    <w:basedOn w:val="DefaultParagraphFont"/>
    <w:uiPriority w:val="99"/>
    <w:semiHidden/>
    <w:unhideWhenUsed/>
    <w:qFormat/>
    <w:rsid w:val="005f0bc3"/>
    <w:rPr>
      <w:color w:val="605E5C"/>
      <w:shd w:fill="E1DFDD" w:val="clear"/>
    </w:rPr>
  </w:style>
  <w:style w:type="character" w:styleId="EnlacedeInternetvisitado">
    <w:name w:val="Enlace de Internet visitado"/>
    <w:basedOn w:val="DefaultParagraphFont"/>
    <w:uiPriority w:val="99"/>
    <w:semiHidden/>
    <w:unhideWhenUsed/>
    <w:rsid w:val="0006489c"/>
    <w:rPr>
      <w:color w:val="954F72" w:themeColor="followed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HTMLPreformatted">
    <w:name w:val="HTML Preformatted"/>
    <w:basedOn w:val="Normal"/>
    <w:link w:val="HTMLconformatoprevioCar"/>
    <w:uiPriority w:val="99"/>
    <w:semiHidden/>
    <w:unhideWhenUsed/>
    <w:qFormat/>
    <w:rsid w:val="00945f0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overflowPunct w:val="false"/>
    </w:pPr>
    <w:rPr>
      <w:rFonts w:ascii="Courier New" w:hAnsi="Courier New" w:eastAsia="Times New Roman" w:cs="Courier New"/>
      <w:kern w:val="0"/>
      <w:sz w:val="20"/>
      <w:szCs w:val="20"/>
      <w:lang w:eastAsia="es-MX"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hyperlink" Target="https://www.google.com.ec/books/edition/Contabilidad_de_activos_con_NIIF/PJgZEAAAQBAJ?hl=es&amp;gbpv=1&amp;dq=control+interno+de+inventario&amp;pg=PA205&amp;printsec=frontcover" TargetMode="External"/><Relationship Id="rId15" Type="http://schemas.openxmlformats.org/officeDocument/2006/relationships/hyperlink" Target="https://repositorio.unemi.edu.ec/xmlui/handle/123456789/4022" TargetMode="External"/><Relationship Id="rId16" Type="http://schemas.openxmlformats.org/officeDocument/2006/relationships/hyperlink" Target="https://www.academia.edu/41566455/Control_interno_de_caja_y_banco_primera_parte_CONTROL_INTERNO_DE_CAJA_Y_BANCO" TargetMode="External"/><Relationship Id="rId17" Type="http://schemas.openxmlformats.org/officeDocument/2006/relationships/hyperlink" Target="https://es.scribd.com/document/647112847/Evaluacion-Del-Control-Interno-a-Las-Cuentas-Por-Cobrar-Clientes-de-Empresas-Comerciales" TargetMode="External"/><Relationship Id="rId18" Type="http://schemas.openxmlformats.org/officeDocument/2006/relationships/hyperlink" Target="https://doi.org/10.48204/j.faeco.v6n2.a4011" TargetMode="External"/><Relationship Id="rId19" Type="http://schemas.openxmlformats.org/officeDocument/2006/relationships/hyperlink" Target="https://www.coso.org/Documents/990025P-Executive-Summary-final-spanish.pdf" TargetMode="External"/><Relationship Id="rId20" Type="http://schemas.openxmlformats.org/officeDocument/2006/relationships/hyperlink" Target="https://www.cinif.org.mx/" TargetMode="External"/><Relationship Id="rId21" Type="http://schemas.openxmlformats.org/officeDocument/2006/relationships/hyperlink" Target="https://doi.org/10.37811/cl_rcm.v7i4.6981" TargetMode="External"/><Relationship Id="rId22" Type="http://schemas.openxmlformats.org/officeDocument/2006/relationships/hyperlink" Target="https://www.inegi.org.mx/app/mapa/denue/default.aspx" TargetMode="External"/><Relationship Id="rId23" Type="http://schemas.openxmlformats.org/officeDocument/2006/relationships/hyperlink" Target="http://repositorio.ucc.edu.ni/id/eprint/1232" TargetMode="External"/><Relationship Id="rId24" Type="http://schemas.openxmlformats.org/officeDocument/2006/relationships/hyperlink" Target="https://doi.org/10.17162/riva.v10i1.2050" TargetMode="External"/><Relationship Id="rId25" Type="http://schemas.openxmlformats.org/officeDocument/2006/relationships/hyperlink" Target="http://repositorio.itb.edu.ec/handle/123456789/1270" TargetMode="External"/><Relationship Id="rId26" Type="http://schemas.openxmlformats.org/officeDocument/2006/relationships/hyperlink" Target="https://doi.org/10.2307/j.ctv18msn0j" TargetMode="External"/><Relationship Id="rId27" Type="http://schemas.openxmlformats.org/officeDocument/2006/relationships/hyperlink" Target="https://doi.org/10.6018/rcsar.470921" TargetMode="External"/><Relationship Id="rId28" Type="http://schemas.openxmlformats.org/officeDocument/2006/relationships/hyperlink" Target="https://doi.org/10.51798/sijis.v3i1.264" TargetMode="External"/><Relationship Id="rId29" Type="http://schemas.openxmlformats.org/officeDocument/2006/relationships/hyperlink" Target="https://revistavertice.unison.mx/index.php/rvu/article/view/312" TargetMode="External"/><Relationship Id="rId30" Type="http://schemas.openxmlformats.org/officeDocument/2006/relationships/hyperlink" Target="https://doi.org/10.33262/visionariodigital.v4i3.1363" TargetMode="External"/><Relationship Id="rId31" Type="http://schemas.openxmlformats.org/officeDocument/2006/relationships/hyperlink" Target="https://doi.org/10.48204/2953-3147.5490" TargetMode="External"/><Relationship Id="rId32" Type="http://schemas.openxmlformats.org/officeDocument/2006/relationships/hyperlink" Target="https://publicacionescd.uleam.edu.ec/index.php/corporatum-360/article/view/142" TargetMode="External"/><Relationship Id="rId33" Type="http://schemas.openxmlformats.org/officeDocument/2006/relationships/hyperlink" Target="https://doi.org/10.56712/latam.v4i5.1326" TargetMode="External"/><Relationship Id="rId34" Type="http://schemas.openxmlformats.org/officeDocument/2006/relationships/hyperlink" Target="http://publicaciones.unaula.edu.co/index.php/VisionContable/article/view/1292/1555" TargetMode="External"/><Relationship Id="rId35" Type="http://schemas.openxmlformats.org/officeDocument/2006/relationships/hyperlink" Target="http://dspace.ups.edu.ec/handle/123456789/20227" TargetMode="Externa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_rels/chart3.xml.rels><?xml version="1.0" encoding="UTF-8"?>
<Relationships xmlns="http://schemas.openxmlformats.org/package/2006/relationships"><Relationship Id="rId1" Type="http://schemas.openxmlformats.org/officeDocument/2006/relationships/package" Target="../embeddings/Hoja_de_c_lculo_de_Microsoft_Excel.xlsx"/>
</Relationships>
</file>

<file path=word/charts/_rels/chart4.xml.rels><?xml version="1.0" encoding="UTF-8"?>
<Relationships xmlns="http://schemas.openxmlformats.org/package/2006/relationships"><Relationship Id="rId1" Type="http://schemas.openxmlformats.org/officeDocument/2006/relationships/package" Target="../embeddings/Hoja_de_c_lculo_de_Microsoft_Excel1.xlsx"/>
</Relationships>
</file>

<file path=word/charts/_rels/chart5.xml.rels><?xml version="1.0" encoding="UTF-8"?>
<Relationships xmlns="http://schemas.openxmlformats.org/package/2006/relationships"><Relationship Id="rId1" Type="http://schemas.openxmlformats.org/officeDocument/2006/relationships/package" Target="../embeddings/Hoja_de_c_lculo_de_Microsoft_Excel2.xlsx"/>
</Relationships>
</file>

<file path=word/charts/_rels/chart6.xml.rels><?xml version="1.0" encoding="UTF-8"?>
<Relationships xmlns="http://schemas.openxmlformats.org/package/2006/relationships"><Relationship Id="rId1" Type="http://schemas.openxmlformats.org/officeDocument/2006/relationships/package" Target="../embeddings/Hoja_de_c_lculo_de_Microsoft_Excel3.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Serie1</c:v>
                </c:pt>
              </c:strCache>
            </c:strRef>
          </c:tx>
          <c:spPr>
            <a:solidFill>
              <a:srgbClr val="5b9bd5"/>
            </a:solidFill>
            <a:ln w="0">
              <a:noFill/>
            </a:ln>
          </c:spPr>
          <c:invertIfNegative val="0"/>
          <c:dLbls>
            <c:numFmt formatCode="0.0%" sourceLinked="0"/>
            <c:txPr>
              <a:bodyPr wrap="square"/>
              <a:lstStyle/>
              <a:p>
                <a:pPr>
                  <a:defRPr b="0" sz="800" spc="-1" strike="noStrike">
                    <a:solidFill>
                      <a:srgbClr val="40404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4"/>
                <c:pt idx="0">
                  <c:v>Totalmente en desacuerdo</c:v>
                </c:pt>
                <c:pt idx="1">
                  <c:v>En desacuerdo</c:v>
                </c:pt>
                <c:pt idx="2">
                  <c:v>De acuerdo</c:v>
                </c:pt>
                <c:pt idx="3">
                  <c:v>Totalmente de acuerdo</c:v>
                </c:pt>
              </c:strCache>
            </c:strRef>
          </c:cat>
          <c:val>
            <c:numRef>
              <c:f>0</c:f>
              <c:numCache>
                <c:formatCode>General</c:formatCode>
                <c:ptCount val="4"/>
                <c:pt idx="0">
                  <c:v>0.065</c:v>
                </c:pt>
                <c:pt idx="1">
                  <c:v>0.195</c:v>
                </c:pt>
                <c:pt idx="2">
                  <c:v>0.42</c:v>
                </c:pt>
                <c:pt idx="3">
                  <c:v>0.32</c:v>
                </c:pt>
              </c:numCache>
            </c:numRef>
          </c:val>
        </c:ser>
        <c:gapWidth val="219"/>
        <c:overlap val="-27"/>
        <c:axId val="59001436"/>
        <c:axId val="47225475"/>
      </c:barChart>
      <c:catAx>
        <c:axId val="5900143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800" spc="-1" strike="noStrike">
                <a:solidFill>
                  <a:srgbClr val="595959"/>
                </a:solidFill>
                <a:latin typeface="Times New Roman"/>
              </a:defRPr>
            </a:pPr>
          </a:p>
        </c:txPr>
        <c:crossAx val="47225475"/>
        <c:crosses val="autoZero"/>
        <c:auto val="1"/>
        <c:lblAlgn val="ctr"/>
        <c:lblOffset val="100"/>
        <c:noMultiLvlLbl val="0"/>
      </c:catAx>
      <c:valAx>
        <c:axId val="47225475"/>
        <c:scaling>
          <c:orientation val="minMax"/>
        </c:scaling>
        <c:delete val="0"/>
        <c:axPos val="l"/>
        <c:numFmt formatCode="0.0%" sourceLinked="0"/>
        <c:majorTickMark val="none"/>
        <c:minorTickMark val="none"/>
        <c:tickLblPos val="nextTo"/>
        <c:spPr>
          <a:ln w="6480">
            <a:noFill/>
          </a:ln>
        </c:spPr>
        <c:txPr>
          <a:bodyPr/>
          <a:lstStyle/>
          <a:p>
            <a:pPr>
              <a:defRPr b="0" sz="800" spc="-1" strike="noStrike">
                <a:solidFill>
                  <a:srgbClr val="595959"/>
                </a:solidFill>
                <a:latin typeface="Times New Roman"/>
              </a:defRPr>
            </a:pPr>
          </a:p>
        </c:txPr>
        <c:crossAx val="59001436"/>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Serie1</c:v>
                </c:pt>
              </c:strCache>
            </c:strRef>
          </c:tx>
          <c:spPr>
            <a:solidFill>
              <a:srgbClr val="5b9bd5"/>
            </a:solidFill>
            <a:ln w="0">
              <a:noFill/>
            </a:ln>
          </c:spPr>
          <c:invertIfNegative val="0"/>
          <c:dLbls>
            <c:numFmt formatCode="0%" sourceLinked="0"/>
            <c:txPr>
              <a:bodyPr wrap="square"/>
              <a:lstStyle/>
              <a:p>
                <a:pPr>
                  <a:defRPr b="0" sz="900" spc="-1" strike="noStrike">
                    <a:solidFill>
                      <a:srgbClr val="40404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4"/>
                <c:pt idx="0">
                  <c:v>Totalmente en desacuerdo</c:v>
                </c:pt>
                <c:pt idx="1">
                  <c:v>En desacuerdo</c:v>
                </c:pt>
                <c:pt idx="2">
                  <c:v>De acuerdo</c:v>
                </c:pt>
                <c:pt idx="3">
                  <c:v>Totalmente de acuerdo</c:v>
                </c:pt>
              </c:strCache>
            </c:strRef>
          </c:cat>
          <c:val>
            <c:numRef>
              <c:f>0</c:f>
              <c:numCache>
                <c:formatCode>General</c:formatCode>
                <c:ptCount val="4"/>
                <c:pt idx="0">
                  <c:v>0.19</c:v>
                </c:pt>
                <c:pt idx="1">
                  <c:v>0.07</c:v>
                </c:pt>
                <c:pt idx="2">
                  <c:v>0.51</c:v>
                </c:pt>
                <c:pt idx="3">
                  <c:v>0.23</c:v>
                </c:pt>
              </c:numCache>
            </c:numRef>
          </c:val>
        </c:ser>
        <c:gapWidth val="219"/>
        <c:overlap val="-27"/>
        <c:axId val="15930134"/>
        <c:axId val="97773949"/>
      </c:barChart>
      <c:catAx>
        <c:axId val="1593013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Times New Roman"/>
              </a:defRPr>
            </a:pPr>
          </a:p>
        </c:txPr>
        <c:crossAx val="97773949"/>
        <c:crosses val="autoZero"/>
        <c:auto val="1"/>
        <c:lblAlgn val="ctr"/>
        <c:lblOffset val="100"/>
        <c:noMultiLvlLbl val="0"/>
      </c:catAx>
      <c:valAx>
        <c:axId val="97773949"/>
        <c:scaling>
          <c:orientation val="minMax"/>
        </c:scaling>
        <c:delete val="0"/>
        <c:axPos val="l"/>
        <c:numFmt formatCode="0%" sourceLinked="0"/>
        <c:majorTickMark val="none"/>
        <c:minorTickMark val="none"/>
        <c:tickLblPos val="nextTo"/>
        <c:spPr>
          <a:ln w="6480">
            <a:noFill/>
          </a:ln>
        </c:spPr>
        <c:txPr>
          <a:bodyPr/>
          <a:lstStyle/>
          <a:p>
            <a:pPr>
              <a:defRPr b="0" sz="900" spc="-1" strike="noStrike">
                <a:solidFill>
                  <a:srgbClr val="595959"/>
                </a:solidFill>
                <a:latin typeface="Times New Roman"/>
              </a:defRPr>
            </a:pPr>
          </a:p>
        </c:txPr>
        <c:crossAx val="15930134"/>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Serie1</c:v>
                </c:pt>
              </c:strCache>
            </c:strRef>
          </c:tx>
          <c:spPr>
            <a:solidFill>
              <a:srgbClr val="5b9bd5"/>
            </a:solidFill>
            <a:ln w="0">
              <a:noFill/>
            </a:ln>
          </c:spPr>
          <c:invertIfNegative val="0"/>
          <c:dLbls>
            <c:numFmt formatCode="0%" sourceLinked="0"/>
            <c:txPr>
              <a:bodyPr wrap="square"/>
              <a:lstStyle/>
              <a:p>
                <a:pPr>
                  <a:defRPr b="0" sz="900" spc="-1" strike="noStrike">
                    <a:solidFill>
                      <a:srgbClr val="40404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4"/>
                <c:pt idx="0">
                  <c:v>Totalmente en desacuerdo</c:v>
                </c:pt>
                <c:pt idx="1">
                  <c:v>En desacuerdo</c:v>
                </c:pt>
                <c:pt idx="2">
                  <c:v>De acuerdo</c:v>
                </c:pt>
                <c:pt idx="3">
                  <c:v>Totalmente de acuerdo</c:v>
                </c:pt>
              </c:strCache>
            </c:strRef>
          </c:cat>
          <c:val>
            <c:numRef>
              <c:f>0</c:f>
              <c:numCache>
                <c:formatCode>General</c:formatCode>
                <c:ptCount val="4"/>
                <c:pt idx="0">
                  <c:v>0.32</c:v>
                </c:pt>
                <c:pt idx="1">
                  <c:v>0.1</c:v>
                </c:pt>
                <c:pt idx="2">
                  <c:v>0.35</c:v>
                </c:pt>
                <c:pt idx="3">
                  <c:v>0.23</c:v>
                </c:pt>
              </c:numCache>
            </c:numRef>
          </c:val>
        </c:ser>
        <c:gapWidth val="219"/>
        <c:overlap val="-27"/>
        <c:axId val="66694076"/>
        <c:axId val="41157583"/>
      </c:barChart>
      <c:catAx>
        <c:axId val="6669407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Times New Roman"/>
              </a:defRPr>
            </a:pPr>
          </a:p>
        </c:txPr>
        <c:crossAx val="41157583"/>
        <c:crosses val="autoZero"/>
        <c:auto val="1"/>
        <c:lblAlgn val="ctr"/>
        <c:lblOffset val="100"/>
        <c:noMultiLvlLbl val="0"/>
      </c:catAx>
      <c:valAx>
        <c:axId val="41157583"/>
        <c:scaling>
          <c:orientation val="minMax"/>
        </c:scaling>
        <c:delete val="0"/>
        <c:axPos val="l"/>
        <c:numFmt formatCode="0%" sourceLinked="0"/>
        <c:majorTickMark val="none"/>
        <c:minorTickMark val="none"/>
        <c:tickLblPos val="nextTo"/>
        <c:spPr>
          <a:ln w="6480">
            <a:noFill/>
          </a:ln>
        </c:spPr>
        <c:txPr>
          <a:bodyPr/>
          <a:lstStyle/>
          <a:p>
            <a:pPr>
              <a:defRPr b="0" sz="900" spc="-1" strike="noStrike">
                <a:solidFill>
                  <a:srgbClr val="595959"/>
                </a:solidFill>
                <a:latin typeface="Times New Roman"/>
              </a:defRPr>
            </a:pPr>
          </a:p>
        </c:txPr>
        <c:crossAx val="66694076"/>
        <c:crosses val="autoZero"/>
        <c:crossBetween val="between"/>
      </c:valAx>
      <c:spPr>
        <a:noFill/>
        <a:ln w="0">
          <a:noFill/>
        </a:ln>
      </c:spPr>
    </c:plotArea>
    <c:plotVisOnly val="1"/>
    <c:dispBlanksAs val="gap"/>
  </c:chart>
  <c:spPr>
    <a:solidFill>
      <a:srgbClr val="ffffff"/>
    </a:solidFill>
    <a:ln w="9360">
      <a:solidFill>
        <a:srgbClr val="d9d9d9"/>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375"/>
          <c:y val="0.0685555555555556"/>
          <c:w val="0.8453125"/>
          <c:h val="0.666777777777778"/>
        </c:manualLayout>
      </c:layout>
      <c:barChart>
        <c:barDir val="col"/>
        <c:grouping val="clustered"/>
        <c:varyColors val="0"/>
        <c:ser>
          <c:idx val="0"/>
          <c:order val="0"/>
          <c:tx>
            <c:strRef>
              <c:f>label 0</c:f>
              <c:strCache>
                <c:ptCount val="1"/>
                <c:pt idx="0">
                  <c:v>Serie1</c:v>
                </c:pt>
              </c:strCache>
            </c:strRef>
          </c:tx>
          <c:spPr>
            <a:solidFill>
              <a:srgbClr val="5b9bd5"/>
            </a:solidFill>
            <a:ln w="0">
              <a:noFill/>
            </a:ln>
          </c:spPr>
          <c:invertIfNegative val="0"/>
          <c:dLbls>
            <c:numFmt formatCode="0%" sourceLinked="0"/>
            <c:txPr>
              <a:bodyPr wrap="square"/>
              <a:lstStyle/>
              <a:p>
                <a:pPr>
                  <a:defRPr b="0" sz="900" spc="-1" strike="noStrike">
                    <a:solidFill>
                      <a:srgbClr val="40404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4"/>
                <c:pt idx="0">
                  <c:v>Totalmente en desacuerdo</c:v>
                </c:pt>
                <c:pt idx="1">
                  <c:v>En desacuerdo</c:v>
                </c:pt>
                <c:pt idx="2">
                  <c:v>De acuerdo</c:v>
                </c:pt>
                <c:pt idx="3">
                  <c:v>Totalmente de acuerdo</c:v>
                </c:pt>
              </c:strCache>
            </c:strRef>
          </c:cat>
          <c:val>
            <c:numRef>
              <c:f>0</c:f>
              <c:numCache>
                <c:formatCode>General</c:formatCode>
                <c:ptCount val="4"/>
                <c:pt idx="0">
                  <c:v>0.13</c:v>
                </c:pt>
                <c:pt idx="1">
                  <c:v>0.07</c:v>
                </c:pt>
                <c:pt idx="2">
                  <c:v>0.41</c:v>
                </c:pt>
                <c:pt idx="3">
                  <c:v>0.39</c:v>
                </c:pt>
              </c:numCache>
            </c:numRef>
          </c:val>
        </c:ser>
        <c:gapWidth val="219"/>
        <c:overlap val="-27"/>
        <c:axId val="80615075"/>
        <c:axId val="85399031"/>
      </c:barChart>
      <c:catAx>
        <c:axId val="8061507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Times New Roman"/>
              </a:defRPr>
            </a:pPr>
          </a:p>
        </c:txPr>
        <c:crossAx val="85399031"/>
        <c:crosses val="autoZero"/>
        <c:auto val="1"/>
        <c:lblAlgn val="ctr"/>
        <c:lblOffset val="100"/>
        <c:noMultiLvlLbl val="0"/>
      </c:catAx>
      <c:valAx>
        <c:axId val="85399031"/>
        <c:scaling>
          <c:orientation val="minMax"/>
        </c:scaling>
        <c:delete val="0"/>
        <c:axPos val="l"/>
        <c:numFmt formatCode="0%" sourceLinked="0"/>
        <c:majorTickMark val="none"/>
        <c:minorTickMark val="none"/>
        <c:tickLblPos val="nextTo"/>
        <c:spPr>
          <a:ln w="6480">
            <a:noFill/>
          </a:ln>
        </c:spPr>
        <c:txPr>
          <a:bodyPr/>
          <a:lstStyle/>
          <a:p>
            <a:pPr>
              <a:defRPr b="0" sz="900" spc="-1" strike="noStrike">
                <a:solidFill>
                  <a:srgbClr val="595959"/>
                </a:solidFill>
                <a:latin typeface="Times New Roman"/>
              </a:defRPr>
            </a:pPr>
          </a:p>
        </c:txPr>
        <c:crossAx val="80615075"/>
        <c:crosses val="autoZero"/>
        <c:crossBetween val="between"/>
      </c:valAx>
      <c:spPr>
        <a:noFill/>
        <a:ln w="0">
          <a:noFill/>
        </a:ln>
      </c:spPr>
    </c:plotArea>
    <c:plotVisOnly val="1"/>
    <c:dispBlanksAs val="gap"/>
  </c:chart>
  <c:spPr>
    <a:solidFill>
      <a:srgbClr val="ffffff"/>
    </a:solidFill>
    <a:ln w="9360">
      <a:solidFill>
        <a:srgbClr val="d9d9d9"/>
      </a:solidFill>
      <a:roun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Serie1</c:v>
                </c:pt>
              </c:strCache>
            </c:strRef>
          </c:tx>
          <c:spPr>
            <a:solidFill>
              <a:srgbClr val="5b9bd5"/>
            </a:solidFill>
            <a:ln w="0">
              <a:noFill/>
            </a:ln>
          </c:spPr>
          <c:invertIfNegative val="0"/>
          <c:dLbls>
            <c:numFmt formatCode="0%" sourceLinked="0"/>
            <c:txPr>
              <a:bodyPr wrap="square"/>
              <a:lstStyle/>
              <a:p>
                <a:pPr>
                  <a:defRPr b="0" sz="900" spc="-1" strike="noStrike">
                    <a:solidFill>
                      <a:srgbClr val="40404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4"/>
                <c:pt idx="0">
                  <c:v>Totalmente en desacuerdo</c:v>
                </c:pt>
                <c:pt idx="1">
                  <c:v>En desacuerdo</c:v>
                </c:pt>
                <c:pt idx="2">
                  <c:v>De acuerdo</c:v>
                </c:pt>
                <c:pt idx="3">
                  <c:v>Totalmente de acuerdo</c:v>
                </c:pt>
              </c:strCache>
            </c:strRef>
          </c:cat>
          <c:val>
            <c:numRef>
              <c:f>0</c:f>
              <c:numCache>
                <c:formatCode>General</c:formatCode>
                <c:ptCount val="4"/>
                <c:pt idx="0">
                  <c:v>0.19</c:v>
                </c:pt>
                <c:pt idx="1">
                  <c:v>0.29</c:v>
                </c:pt>
                <c:pt idx="2">
                  <c:v>0.29</c:v>
                </c:pt>
                <c:pt idx="3">
                  <c:v>0.23</c:v>
                </c:pt>
              </c:numCache>
            </c:numRef>
          </c:val>
        </c:ser>
        <c:gapWidth val="219"/>
        <c:overlap val="-27"/>
        <c:axId val="59032405"/>
        <c:axId val="6478799"/>
      </c:barChart>
      <c:catAx>
        <c:axId val="5903240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Times New Roman"/>
              </a:defRPr>
            </a:pPr>
          </a:p>
        </c:txPr>
        <c:crossAx val="6478799"/>
        <c:crosses val="autoZero"/>
        <c:auto val="1"/>
        <c:lblAlgn val="ctr"/>
        <c:lblOffset val="100"/>
        <c:noMultiLvlLbl val="0"/>
      </c:catAx>
      <c:valAx>
        <c:axId val="6478799"/>
        <c:scaling>
          <c:orientation val="minMax"/>
        </c:scaling>
        <c:delete val="0"/>
        <c:axPos val="l"/>
        <c:numFmt formatCode="0%" sourceLinked="0"/>
        <c:majorTickMark val="none"/>
        <c:minorTickMark val="none"/>
        <c:tickLblPos val="nextTo"/>
        <c:spPr>
          <a:ln w="6480">
            <a:noFill/>
          </a:ln>
        </c:spPr>
        <c:txPr>
          <a:bodyPr/>
          <a:lstStyle/>
          <a:p>
            <a:pPr>
              <a:defRPr b="0" sz="900" spc="-1" strike="noStrike">
                <a:solidFill>
                  <a:srgbClr val="595959"/>
                </a:solidFill>
                <a:latin typeface="Times New Roman"/>
              </a:defRPr>
            </a:pPr>
          </a:p>
        </c:txPr>
        <c:crossAx val="59032405"/>
        <c:crosses val="autoZero"/>
        <c:crossBetween val="between"/>
      </c:valAx>
      <c:spPr>
        <a:noFill/>
        <a:ln w="0">
          <a:noFill/>
        </a:ln>
      </c:spPr>
    </c:plotArea>
    <c:plotVisOnly val="1"/>
    <c:dispBlanksAs val="gap"/>
  </c:chart>
  <c:spPr>
    <a:solidFill>
      <a:srgbClr val="ffffff"/>
    </a:solidFill>
    <a:ln w="9360">
      <a:solidFill>
        <a:srgbClr val="d9d9d9"/>
      </a:solidFill>
      <a:roun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Serie1</c:v>
                </c:pt>
              </c:strCache>
            </c:strRef>
          </c:tx>
          <c:spPr>
            <a:solidFill>
              <a:srgbClr val="5b9bd5"/>
            </a:solidFill>
            <a:ln w="0">
              <a:noFill/>
            </a:ln>
          </c:spPr>
          <c:invertIfNegative val="0"/>
          <c:dLbls>
            <c:numFmt formatCode="0%" sourceLinked="0"/>
            <c:txPr>
              <a:bodyPr wrap="square"/>
              <a:lstStyle/>
              <a:p>
                <a:pPr>
                  <a:defRPr b="0" sz="900" spc="-1" strike="noStrike">
                    <a:solidFill>
                      <a:srgbClr val="404040"/>
                    </a:solidFill>
                    <a:latin typeface="Times New Roman"/>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4"/>
                <c:pt idx="0">
                  <c:v>Totalmente en desacuerdo</c:v>
                </c:pt>
                <c:pt idx="1">
                  <c:v>En desacuerdo</c:v>
                </c:pt>
                <c:pt idx="2">
                  <c:v>De acuerdo</c:v>
                </c:pt>
                <c:pt idx="3">
                  <c:v>Totalmente de acuerdo</c:v>
                </c:pt>
              </c:strCache>
            </c:strRef>
          </c:cat>
          <c:val>
            <c:numRef>
              <c:f>0</c:f>
              <c:numCache>
                <c:formatCode>General</c:formatCode>
                <c:ptCount val="4"/>
                <c:pt idx="0">
                  <c:v>0.16</c:v>
                </c:pt>
                <c:pt idx="1">
                  <c:v>0.13</c:v>
                </c:pt>
                <c:pt idx="2">
                  <c:v>0.23</c:v>
                </c:pt>
                <c:pt idx="3">
                  <c:v>0.48</c:v>
                </c:pt>
              </c:numCache>
            </c:numRef>
          </c:val>
        </c:ser>
        <c:gapWidth val="219"/>
        <c:overlap val="-27"/>
        <c:axId val="24989682"/>
        <c:axId val="60669156"/>
      </c:barChart>
      <c:catAx>
        <c:axId val="2498968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Times New Roman"/>
              </a:defRPr>
            </a:pPr>
          </a:p>
        </c:txPr>
        <c:crossAx val="60669156"/>
        <c:crosses val="autoZero"/>
        <c:auto val="1"/>
        <c:lblAlgn val="ctr"/>
        <c:lblOffset val="100"/>
        <c:noMultiLvlLbl val="0"/>
      </c:catAx>
      <c:valAx>
        <c:axId val="60669156"/>
        <c:scaling>
          <c:orientation val="minMax"/>
        </c:scaling>
        <c:delete val="0"/>
        <c:axPos val="l"/>
        <c:numFmt formatCode="0%" sourceLinked="0"/>
        <c:majorTickMark val="none"/>
        <c:minorTickMark val="none"/>
        <c:tickLblPos val="nextTo"/>
        <c:spPr>
          <a:ln w="6480">
            <a:noFill/>
          </a:ln>
        </c:spPr>
        <c:txPr>
          <a:bodyPr/>
          <a:lstStyle/>
          <a:p>
            <a:pPr>
              <a:defRPr b="0" sz="900" spc="-1" strike="noStrike">
                <a:solidFill>
                  <a:srgbClr val="595959"/>
                </a:solidFill>
                <a:latin typeface="Times New Roman"/>
              </a:defRPr>
            </a:pPr>
          </a:p>
        </c:txPr>
        <c:crossAx val="24989682"/>
        <c:crosses val="autoZero"/>
        <c:crossBetween val="between"/>
      </c:valAx>
      <c:spPr>
        <a:noFill/>
        <a:ln w="0">
          <a:noFill/>
        </a:ln>
      </c:spPr>
    </c:plotArea>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EF2A-8C45-43EF-96C9-6533C61C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3160</TotalTime>
  <Application>LibreOffice/7.0.4.2$Linux_X86_64 LibreOffice_project/00$Build-2</Application>
  <AppVersion>15.0000</AppVersion>
  <Pages>10</Pages>
  <Words>4921</Words>
  <Characters>28900</Characters>
  <CharactersWithSpaces>33579</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2023-12-27T21:59:00Z</dcterms:created>
  <dc:creator/>
  <dc:description/>
  <dc:language>es-MX</dc:language>
  <cp:lastModifiedBy/>
  <dcterms:modified xsi:type="dcterms:W3CDTF">2025-12-11T10:19:46Z</dcterms:modified>
  <cp:revision>121</cp:revision>
  <dc:subject/>
  <dc:title/>
</cp:coreProperties>
</file>

<file path=docProps/custom.xml><?xml version="1.0" encoding="utf-8"?>
<Properties xmlns="http://schemas.openxmlformats.org/officeDocument/2006/custom-properties" xmlns:vt="http://schemas.openxmlformats.org/officeDocument/2006/docPropsVTypes"/>
</file>