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5.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lineRule="auto" w:line="240" w:before="0" w:after="0"/>
        <w:ind w:left="0" w:hanging="0"/>
        <w:jc w:val="center"/>
        <w:rPr>
          <w:sz w:val="44"/>
          <w:szCs w:val="44"/>
        </w:rPr>
      </w:pPr>
      <w:r>
        <w:rPr>
          <w:rFonts w:eastAsia="Times New Roman" w:cs="Times New Roman" w:ascii="Times New Roman" w:hAnsi="Times New Roman"/>
          <w:b w:val="false"/>
          <w:sz w:val="44"/>
          <w:szCs w:val="44"/>
        </w:rPr>
        <w:t>Optimización de celdas solares DSCC para la generación de energía renovable</w:t>
      </w:r>
    </w:p>
    <w:p>
      <w:pPr>
        <w:pStyle w:val="Normal1"/>
        <w:ind w:left="118" w:right="115" w:hanging="0"/>
        <w:jc w:val="both"/>
        <w:rPr>
          <w:rFonts w:ascii="Times New Roman" w:hAnsi="Times New Roman" w:eastAsia="Times New Roman" w:cs="Times New Roman"/>
          <w:color w:val="000000"/>
          <w:sz w:val="36"/>
          <w:szCs w:val="36"/>
        </w:rPr>
      </w:pPr>
      <w:r>
        <w:rPr>
          <w:rFonts w:eastAsia="Times New Roman" w:cs="Times New Roman" w:ascii="Times New Roman" w:hAnsi="Times New Roman"/>
          <w:color w:val="000000"/>
          <w:sz w:val="36"/>
          <w:szCs w:val="36"/>
        </w:rPr>
      </w:r>
    </w:p>
    <w:p>
      <w:pPr>
        <w:pStyle w:val="Normal1"/>
        <w:keepNext w:val="false"/>
        <w:keepLines w:val="false"/>
        <w:pageBreakBefore w:val="false"/>
        <w:widowControl/>
        <w:pBdr/>
        <w:shd w:val="clear" w:fill="auto"/>
        <w:spacing w:lineRule="auto" w:line="240" w:before="0" w:after="0"/>
        <w:ind w:left="0" w:right="115"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36"/>
          <w:szCs w:val="3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 xml:space="preserve">Optimization of DSSC </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s</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 xml:space="preserve">olar </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 xml:space="preserve">ells for </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r</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 xml:space="preserve">enewable </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 xml:space="preserve">nergy </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36"/>
          <w:sz w:val="36"/>
          <w:szCs w:val="36"/>
          <w:u w:val="none"/>
          <w:shd w:fill="auto" w:val="clear"/>
          <w:vertAlign w:val="baseline"/>
        </w:rPr>
        <w:t>eneration</w:t>
      </w:r>
    </w:p>
    <w:p>
      <w:pPr>
        <w:pStyle w:val="Normal1"/>
        <w:ind w:right="115" w:hanging="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1"/>
        <w:ind w:right="115" w:hanging="0"/>
        <w:jc w:val="center"/>
        <w:rPr>
          <w:sz w:val="24"/>
          <w:szCs w:val="24"/>
        </w:rPr>
      </w:pPr>
      <w:r>
        <w:rPr>
          <w:rFonts w:eastAsia="Times New Roman" w:cs="Times New Roman" w:ascii="Times New Roman" w:hAnsi="Times New Roman"/>
          <w:color w:val="000000"/>
          <w:sz w:val="24"/>
          <w:szCs w:val="24"/>
        </w:rPr>
        <w:t>Mariana Camila Gomez-Valle</w:t>
      </w:r>
      <w:r>
        <w:rPr>
          <w:rFonts w:eastAsia="Times New Roman" w:cs="Times New Roman" w:ascii="Times New Roman" w:hAnsi="Times New Roman"/>
          <w:color w:val="000000"/>
          <w:sz w:val="24"/>
          <w:szCs w:val="24"/>
          <w:vertAlign w:val="superscript"/>
        </w:rPr>
        <w:t>1</w:t>
      </w:r>
      <w:r>
        <w:rPr>
          <w:rFonts w:eastAsia="Times New Roman" w:cs="Times New Roman" w:ascii="Times New Roman" w:hAnsi="Times New Roman"/>
          <w:color w:val="000000"/>
          <w:sz w:val="24"/>
          <w:szCs w:val="24"/>
        </w:rPr>
        <w:t xml:space="preserve"> y Maylú Guadalupe Romero-Sánchez</w:t>
      </w:r>
      <w:r>
        <w:rPr>
          <w:rFonts w:eastAsia="Times New Roman" w:cs="Times New Roman" w:ascii="Times New Roman" w:hAnsi="Times New Roman"/>
          <w:color w:val="000000"/>
          <w:sz w:val="24"/>
          <w:szCs w:val="24"/>
          <w:vertAlign w:val="superscript"/>
        </w:rPr>
        <w:t>2*</w:t>
      </w:r>
    </w:p>
    <w:p>
      <w:pPr>
        <w:pStyle w:val="Normal1"/>
        <w:ind w:right="115" w:hanging="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ind w:left="118" w:right="116" w:hanging="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ind w:left="118" w:hanging="0"/>
        <w:jc w:val="center"/>
        <w:rPr>
          <w:sz w:val="24"/>
          <w:szCs w:val="24"/>
        </w:rPr>
      </w:pPr>
      <w:bookmarkStart w:id="0" w:name="_heading=h.h1pdcaf5onnx"/>
      <w:bookmarkEnd w:id="0"/>
      <w:r>
        <w:rPr>
          <w:rFonts w:eastAsia="Times New Roman" w:cs="Times New Roman" w:ascii="Times New Roman" w:hAnsi="Times New Roman"/>
          <w:i/>
          <w:sz w:val="24"/>
          <w:szCs w:val="24"/>
          <w:vertAlign w:val="superscript"/>
        </w:rPr>
        <w:t>1</w:t>
      </w:r>
      <w:r>
        <w:rPr>
          <w:rFonts w:eastAsia="Times New Roman" w:cs="Times New Roman" w:ascii="Times New Roman" w:hAnsi="Times New Roman"/>
          <w:i/>
          <w:sz w:val="24"/>
          <w:szCs w:val="24"/>
        </w:rPr>
        <w:t xml:space="preserve">Universidad Politécnica de Querétaro, Carretera Estatal 420 S/N, El Rosario, </w:t>
      </w:r>
      <w:r>
        <w:rPr>
          <w:rFonts w:eastAsia="Times New Roman" w:cs="Times New Roman" w:ascii="Times New Roman" w:hAnsi="Times New Roman"/>
          <w:i/>
          <w:sz w:val="24"/>
          <w:szCs w:val="24"/>
        </w:rPr>
        <w:t xml:space="preserve">CP </w:t>
      </w:r>
      <w:r>
        <w:rPr>
          <w:rFonts w:eastAsia="Times New Roman" w:cs="Times New Roman" w:ascii="Times New Roman" w:hAnsi="Times New Roman"/>
          <w:i/>
          <w:sz w:val="24"/>
          <w:szCs w:val="24"/>
        </w:rPr>
        <w:t xml:space="preserve">76240, </w:t>
      </w:r>
    </w:p>
    <w:p>
      <w:pPr>
        <w:pStyle w:val="Normal1"/>
        <w:ind w:left="118" w:hanging="0"/>
        <w:jc w:val="center"/>
        <w:rPr>
          <w:sz w:val="24"/>
          <w:szCs w:val="24"/>
        </w:rPr>
      </w:pPr>
      <w:r>
        <w:rPr>
          <w:rFonts w:eastAsia="Times New Roman" w:cs="Times New Roman" w:ascii="Times New Roman" w:hAnsi="Times New Roman"/>
          <w:i/>
          <w:sz w:val="24"/>
          <w:szCs w:val="24"/>
        </w:rPr>
        <w:t>Santiago de Querétaro, Q</w:t>
      </w:r>
      <w:r>
        <w:rPr>
          <w:rFonts w:eastAsia="Times New Roman" w:cs="Times New Roman" w:ascii="Times New Roman" w:hAnsi="Times New Roman"/>
          <w:i/>
          <w:sz w:val="24"/>
          <w:szCs w:val="24"/>
        </w:rPr>
        <w:t>ueréta</w:t>
      </w:r>
      <w:r>
        <w:rPr>
          <w:rFonts w:eastAsia="Times New Roman" w:cs="Times New Roman" w:ascii="Times New Roman" w:hAnsi="Times New Roman"/>
          <w:i/>
          <w:sz w:val="24"/>
          <w:szCs w:val="24"/>
        </w:rPr>
        <w:t xml:space="preserve">ro, </w:t>
      </w:r>
      <w:r>
        <w:rPr>
          <w:rFonts w:eastAsia="Times New Roman" w:cs="Times New Roman" w:ascii="Times New Roman" w:hAnsi="Times New Roman"/>
          <w:i/>
          <w:sz w:val="24"/>
          <w:szCs w:val="24"/>
        </w:rPr>
        <w:t>México.</w:t>
      </w:r>
    </w:p>
    <w:p>
      <w:pPr>
        <w:pStyle w:val="Normal1"/>
        <w:ind w:right="116" w:hanging="0"/>
        <w:jc w:val="center"/>
        <w:rPr>
          <w:sz w:val="24"/>
          <w:szCs w:val="24"/>
        </w:rPr>
      </w:pPr>
      <w:bookmarkStart w:id="1" w:name="_heading=h.avcj3882l2qv"/>
      <w:bookmarkEnd w:id="1"/>
      <w:r>
        <w:rPr>
          <w:rFonts w:eastAsia="Times New Roman" w:cs="Times New Roman" w:ascii="Times New Roman" w:hAnsi="Times New Roman"/>
          <w:i/>
          <w:color w:val="000000"/>
          <w:sz w:val="24"/>
          <w:szCs w:val="24"/>
          <w:vertAlign w:val="superscript"/>
        </w:rPr>
        <w:t>2</w:t>
      </w:r>
      <w:r>
        <w:rPr>
          <w:rFonts w:eastAsia="Times New Roman" w:cs="Times New Roman" w:ascii="Times New Roman" w:hAnsi="Times New Roman"/>
          <w:i/>
          <w:color w:val="000000"/>
          <w:sz w:val="24"/>
          <w:szCs w:val="24"/>
        </w:rPr>
        <w:t>Tecnol</w:t>
      </w:r>
      <w:r>
        <w:rPr>
          <w:rFonts w:eastAsia="Times New Roman" w:cs="Times New Roman" w:ascii="Times New Roman" w:hAnsi="Times New Roman"/>
          <w:i/>
          <w:sz w:val="24"/>
          <w:szCs w:val="24"/>
        </w:rPr>
        <w:t>ó</w:t>
      </w:r>
      <w:r>
        <w:rPr>
          <w:rFonts w:eastAsia="Times New Roman" w:cs="Times New Roman" w:ascii="Times New Roman" w:hAnsi="Times New Roman"/>
          <w:i/>
          <w:color w:val="000000"/>
          <w:sz w:val="24"/>
          <w:szCs w:val="24"/>
        </w:rPr>
        <w:t xml:space="preserve">gico Nacional de México campus Querétaro, Av Tecnológico S/N, Centro Histórico, Centro, </w:t>
      </w:r>
      <w:r>
        <w:rPr>
          <w:rFonts w:eastAsia="Times New Roman" w:cs="Times New Roman" w:ascii="Times New Roman" w:hAnsi="Times New Roman"/>
          <w:i/>
          <w:color w:val="000000"/>
          <w:sz w:val="24"/>
          <w:szCs w:val="24"/>
        </w:rPr>
        <w:t xml:space="preserve">CP </w:t>
      </w:r>
      <w:r>
        <w:rPr>
          <w:rFonts w:eastAsia="Times New Roman" w:cs="Times New Roman" w:ascii="Times New Roman" w:hAnsi="Times New Roman"/>
          <w:i/>
          <w:color w:val="000000"/>
          <w:sz w:val="24"/>
          <w:szCs w:val="24"/>
        </w:rPr>
        <w:t>76000, Santiago de Querétaro, Q</w:t>
      </w:r>
      <w:r>
        <w:rPr>
          <w:rFonts w:eastAsia="Times New Roman" w:cs="Times New Roman" w:ascii="Times New Roman" w:hAnsi="Times New Roman"/>
          <w:i/>
          <w:color w:val="000000"/>
          <w:sz w:val="24"/>
          <w:szCs w:val="24"/>
        </w:rPr>
        <w:t>ueréta</w:t>
      </w:r>
      <w:r>
        <w:rPr>
          <w:rFonts w:eastAsia="Times New Roman" w:cs="Times New Roman" w:ascii="Times New Roman" w:hAnsi="Times New Roman"/>
          <w:i/>
          <w:color w:val="000000"/>
          <w:sz w:val="24"/>
          <w:szCs w:val="24"/>
        </w:rPr>
        <w:t xml:space="preserve">ro, </w:t>
      </w:r>
      <w:r>
        <w:rPr>
          <w:rFonts w:eastAsia="Times New Roman" w:cs="Times New Roman" w:ascii="Times New Roman" w:hAnsi="Times New Roman"/>
          <w:i/>
          <w:color w:val="000000"/>
          <w:sz w:val="24"/>
          <w:szCs w:val="24"/>
        </w:rPr>
        <w:t>México</w:t>
      </w:r>
      <w:r>
        <w:rPr>
          <w:rFonts w:eastAsia="Times New Roman" w:cs="Times New Roman" w:ascii="Times New Roman" w:hAnsi="Times New Roman"/>
          <w:i/>
          <w:color w:val="000000"/>
          <w:sz w:val="24"/>
          <w:szCs w:val="24"/>
        </w:rPr>
        <w:t>.</w:t>
      </w:r>
    </w:p>
    <w:p>
      <w:pPr>
        <w:pStyle w:val="Normal1"/>
        <w:ind w:left="118" w:hanging="0"/>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r>
    </w:p>
    <w:p>
      <w:pPr>
        <w:pStyle w:val="Normal1"/>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 xml:space="preserve">*Corresponding author: </w:t>
      </w:r>
    </w:p>
    <w:p>
      <w:pPr>
        <w:pStyle w:val="Normal1"/>
        <w:jc w:val="center"/>
        <w:rPr>
          <w:rFonts w:ascii="Times New Roman" w:hAnsi="Times New Roman" w:eastAsia="Times New Roman" w:cs="Times New Roman"/>
          <w:i/>
          <w:i/>
          <w:sz w:val="20"/>
          <w:szCs w:val="20"/>
        </w:rPr>
      </w:pPr>
      <w:r>
        <w:rPr>
          <w:rFonts w:eastAsia="Times New Roman" w:cs="Times New Roman" w:ascii="Times New Roman" w:hAnsi="Times New Roman"/>
          <w:i/>
          <w:sz w:val="20"/>
          <w:szCs w:val="20"/>
        </w:rPr>
        <w:t>maylu.rs@queretaro.tecnm.mx</w:t>
      </w:r>
    </w:p>
    <w:p>
      <w:pPr>
        <w:pStyle w:val="Normal1"/>
        <w:jc w:val="center"/>
        <w:rPr>
          <w:rFonts w:ascii="Times New Roman" w:hAnsi="Times New Roman" w:eastAsia="Times New Roman" w:cs="Times New Roman"/>
          <w:i/>
          <w:i/>
          <w:sz w:val="20"/>
          <w:szCs w:val="20"/>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100" w:charSpace="0"/>
        </w:sectPr>
      </w:pPr>
    </w:p>
    <w:p>
      <w:pPr>
        <w:pStyle w:val="Ttulo1"/>
        <w:widowControl w:val="false"/>
        <w:spacing w:lineRule="auto" w:line="240" w:before="0" w:after="0"/>
        <w:ind w:left="0" w:right="0" w:hanging="0"/>
        <w:jc w:val="both"/>
        <w:rPr>
          <w:rFonts w:ascii="Times New Roman" w:hAnsi="Times New Roman" w:eastAsia="Times New Roman" w:cs="Times New Roman"/>
        </w:rPr>
      </w:pPr>
      <w:r>
        <w:rPr>
          <w:rFonts w:eastAsia="Times New Roman" w:cs="Times New Roman" w:ascii="Times New Roman" w:hAnsi="Times New Roman"/>
        </w:rPr>
        <w:t>Resumen. Este estudio presenta el diseño, la fabricación y el análisis de una célula solar sensibilizada por colorante (DSSC) que utiliza dióxido de titanio (TiO₂) y un colorante natural extraído de la zarzamora. Se detalla la metodología experimental empleada, incluidos los procesos de preparación de materiales y ensamblaje. Los resultados muestran una generación de energía modesta pero significativa, lo que confirma la viabilidad del planteamiento experimental. Se discuten las limitaciones tecnológicas y se sugieren mejoras para aumentar la eficiencia de conversión. Este trabajo contribuye al conocimiento de las energías renovables y promueve el uso de materiales accesibles en el desarrollo de tecnologías fotovoltaicas.</w:t>
      </w:r>
    </w:p>
    <w:p>
      <w:pPr>
        <w:pStyle w:val="Normal1"/>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r>
    </w:p>
    <w:p>
      <w:pPr>
        <w:pStyle w:val="Normal1"/>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 xml:space="preserve">Palabras </w:t>
      </w:r>
      <w:r>
        <w:rPr>
          <w:rFonts w:eastAsia="Times New Roman" w:cs="Times New Roman" w:ascii="Times New Roman" w:hAnsi="Times New Roman"/>
          <w:b/>
          <w:sz w:val="20"/>
          <w:szCs w:val="20"/>
        </w:rPr>
        <w:t>c</w:t>
      </w:r>
      <w:r>
        <w:rPr>
          <w:rFonts w:eastAsia="Times New Roman" w:cs="Times New Roman" w:ascii="Times New Roman" w:hAnsi="Times New Roman"/>
          <w:b/>
          <w:sz w:val="20"/>
          <w:szCs w:val="20"/>
        </w:rPr>
        <w:t>lave: Celdas solares, dióxido de titanio, energía renovable, DSSC, spin coating.</w:t>
      </w:r>
    </w:p>
    <w:p>
      <w:pPr>
        <w:pStyle w:val="Normal1"/>
        <w:jc w:val="both"/>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p>
      <w:pPr>
        <w:pStyle w:val="Ttulo1"/>
        <w:widowControl w:val="false"/>
        <w:spacing w:lineRule="auto" w:line="240" w:before="0" w:after="0"/>
        <w:ind w:left="0" w:right="0" w:hanging="0"/>
        <w:jc w:val="both"/>
        <w:rPr>
          <w:rFonts w:ascii="Times New Roman" w:hAnsi="Times New Roman" w:eastAsia="Times New Roman" w:cs="Times New Roman"/>
        </w:rPr>
      </w:pPr>
      <w:r>
        <w:rPr>
          <w:rFonts w:eastAsia="Times New Roman" w:cs="Times New Roman" w:ascii="Times New Roman" w:hAnsi="Times New Roman"/>
        </w:rPr>
        <w:t>Abstract. This study presents the design, fabrication and analysis of a dye-sensitised solar cell (DSSC) using titanium dioxide (TiO₂) and a natural dye extracted from blackberries. The experimental methodology used, including material preparation and assembly processes, is detailed. The results show modest but significant power generation, confirming the feasibility of the experimental approach. Technological limitations are discussed, and improvements are suggested to increase the conversion efficiency. This work contributes to the knowledge of renewable energy and promotes the use of accessible materials in the development of photovoltaic technologies.</w:t>
      </w:r>
    </w:p>
    <w:p>
      <w:pPr>
        <w:pStyle w:val="Normal1"/>
        <w:widowControl w:val="false"/>
        <w:spacing w:lineRule="auto" w:line="240" w:before="0" w:after="0"/>
        <w:ind w:left="0" w:right="0" w:hanging="0"/>
        <w:jc w:val="both"/>
        <w:rPr>
          <w:rFonts w:ascii="Times New Roman" w:hAnsi="Times New Roman" w:eastAsia="Times New Roman" w:cs="Times New Roman"/>
        </w:rPr>
      </w:pPr>
      <w:r>
        <w:rPr/>
      </w:r>
    </w:p>
    <w:p>
      <w:pPr>
        <w:pStyle w:val="Normal1"/>
        <w:jc w:val="both"/>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Keywords: solar cells, titanium dioxide, renewable energy, DSSC, spin coating.</w:t>
      </w:r>
    </w:p>
    <w:p>
      <w:pPr>
        <w:pStyle w:val="Normal1"/>
        <w:ind w:left="118" w:hanging="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Ttulo1"/>
        <w:widowControl w:val="false"/>
        <w:spacing w:lineRule="auto" w:line="240" w:before="0" w:after="0"/>
        <w:ind w:left="0" w:right="0" w:hanging="0"/>
        <w:jc w:val="left"/>
        <w:rPr>
          <w:rFonts w:ascii="Times New Roman" w:hAnsi="Times New Roman" w:eastAsia="Times New Roman" w:cs="Times New Roman"/>
        </w:rPr>
      </w:pPr>
      <w:bookmarkStart w:id="2" w:name="_heading=h.97e7t0ql9gj5"/>
      <w:bookmarkEnd w:id="2"/>
      <w:r>
        <w:rPr>
          <w:rFonts w:eastAsia="Times New Roman" w:cs="Times New Roman" w:ascii="Times New Roman" w:hAnsi="Times New Roman"/>
        </w:rPr>
        <w:t>I. INTRODUCCIÓN</w:t>
      </w:r>
    </w:p>
    <w:p>
      <w:pPr>
        <w:pStyle w:val="Normal1"/>
        <w:keepNext w:val="false"/>
        <w:keepLines w:val="false"/>
        <w:pageBreakBefore w:val="false"/>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Las celdas solares sensibilizadas por colorante</w:t>
      </w: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(DSSC) han emergido como una alternativa prometedora en el campo de la energía renovable debido a su bajo costo de fabricación y su capacidad para operar en condiciones de baja iluminación. Sin embargo, la eficiencia de conversión sigue siendo un desafío clave en su desarrollo. Este estudio busca optimizar la fabricación de celdas DSSC utilizando el método spin-coating, con el fin de optimizar el depósito de las películas de las películas delgadas de dióxido de titanio (TiO₂) de manera más uniforme, más rápida y de fácil reproducibilidad y, por ende, la eficiencia en la conversión de energía solar.</w:t>
      </w:r>
    </w:p>
    <w:p>
      <w:pPr>
        <w:pStyle w:val="Normal1"/>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
    </w:p>
    <w:p>
      <w:pPr>
        <w:pStyle w:val="Normal1"/>
        <w:keepNext w:val="false"/>
        <w:keepLines w:val="false"/>
        <w:pageBreakBefore w:val="false"/>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Actualmente, las DSSC han sido ampliamente investigadas en la comunidad científica debido a su potencial como una tecnología fotovoltaica de próxima generación. Estudios recientes han demostrado que la optimización de la morfología de las películas de TiO₂ y la elección adecuada del colorante pueden mejorar significativamente su rendimiento (Abd Aziz et al., 2024; Ge et al., 2023). </w:t>
      </w:r>
    </w:p>
    <w:p>
      <w:pPr>
        <w:pStyle w:val="Normal1"/>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
    </w:p>
    <w:p>
      <w:pPr>
        <w:pStyle w:val="Normal1"/>
        <w:keepNext w:val="false"/>
        <w:keepLines w:val="false"/>
        <w:pageBreakBefore w:val="false"/>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A pesar de estos avances, sigue siendo un reto desarrollar procesos reproducibles y escalables que permitan mejorar su eficiencia sin comprometer su accesibilidad económica.</w:t>
      </w:r>
    </w:p>
    <w:p>
      <w:pPr>
        <w:pStyle w:val="Normal1"/>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
    </w:p>
    <w:p>
      <w:pPr>
        <w:pStyle w:val="Normal1"/>
        <w:keepNext w:val="false"/>
        <w:keepLines w:val="false"/>
        <w:pageBreakBefore w:val="false"/>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Este trabajo contribuye al estado del arte en celdas solares sensibilizadas por colorante al evaluar el impacto del colorante, la temperatura de calcinación y la técnica de deposición mediante spin-coating en la eficiencia de conversión. A través de un análisis comparativo de diferentes condiciones de fabricación, se proporcionan resultados relevantes sobre cómo mejorar el desempeño de estas celdas solares, facilitando su aplicación en tecnologías de energía renovable.</w:t>
      </w:r>
    </w:p>
    <w:p>
      <w:pPr>
        <w:pStyle w:val="Normal1"/>
        <w:keepNext w:val="false"/>
        <w:keepLines w:val="false"/>
        <w:pageBreakBefore w:val="false"/>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II. METODOLOGÍA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Se emplearon sustratos de vidrio conductor con óxido de indio-estaño (ITO), los cuales fueron limpiados con agua destilada y baño ultrasónico durante 10 min para eliminar impurezas. La suspensión de TiO₂ se preparó mediante la molienda de 2 gramos de polvo precursor con 2 ml de alcohol isopropílico en un mortero de ágata por 1 hora, para obtener partículas en el rango nanométrico sin degradar la estructura cristalina del TiO₂. Posteriormente,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se añadió ácido cítrico en solución acuosa para evitar la aglomeración de partículas, seguido de agitación por baño ultrasónico a una frecuencia de 42,000 ciclos durante 30 minutos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La pasta obtenida se depositó sobre el sustrato de vidrio mediante spin-coating a una velocidad de rotación de 1000 rpm durante 30 segundos, asegurando una distribución uniforme de la película delgada. Las muestras fueron calcinadas a 350°C, 380°C y 400°C durante 45 minutos, seleccionadas con base en literatura previa sobre la cristalización optima en estructuras anatasa y rutilo. Posteriormente, todas las muestras se tiñen con colorante natural de zarzamora para mejorar la absorción de luz durante 5 min. El colorante debe anclarse de manera eficiente a la superficie del dióxido de titanio (TiO₂). (O'Regan &amp; Grätzel, 1991; Hug et al., 2014).</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La presencia de grupos funcionales como carboxilos (-COOH) o hidroxilos (-OH) favorece la adsorción en la superficie del TiO₂, facilitando la inyección de electrones en la banda de conducción del semiconductor (Ge et al., 2023; Abdullah et al., 2022).</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El contraelectrodo se preparó depositando una capa de carbón activado sobre una segunda placa de vidrio conductor. El contraelectrodo debe facilitar la transferencia rápida de electrones para completar el circuito de la celda DSSC. El carbono, en sus diferentes formas como carbono activado, negro de humo o grafeno, ofrece una alta conductividad eléctrica, permitiendo una eficiente reducción del electrolito (Jiang et al., 2020; Kavan et al., 2003). Además, que</w:t>
      </w:r>
      <w:r>
        <w:rPr>
          <w:rFonts w:eastAsia="Times New Roman" w:cs="Times New Roman" w:ascii="Times New Roman" w:hAnsi="Times New Roman"/>
          <w:sz w:val="20"/>
          <w:szCs w:val="20"/>
        </w:rPr>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el carbono es químicamente inerte a la degradación bajo estos ambientes (Wang et al., 2014).</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Finalmente, las dos placas se ensamblaron utilizando una solución de yodo-lugol o como electrolito. Su uso ha sido reportado en estudios preliminares para entender el mecanismo de regeneración del colorante y el flujo de electrones (Karthick et al., 2019). Las placas correspondientes al electrodo y contraelectrodo fueron alineadas y sujetadas mediante broches mecánicos de presión, asegurando el contacto adecuado entre las superficies y evitando desplazamientos durante la operación de la celda.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Para evaluar el desempeño eléctrico de la celda, se midió la diferencia de potencial y la corriente de cortocircuito generada bajo iluminación solar controlada. Las mediciones se realizaron utilizando un multímetro digital de alta precisión, asegurando la correcta caracterización de la respuesta fotovoltaica del dispositivo. Se registraron los valores obtenidos en condiciones estándar de prueba (STC), bajo una intensidad de irradiancia de aproximadamente 5.5 kWh/m</w:t>
      </w:r>
      <w:r>
        <w:rPr>
          <w:rFonts w:eastAsia="Times New Roman" w:cs="Times New Roman" w:ascii="Times New Roman" w:hAnsi="Times New Roman"/>
          <w:sz w:val="20"/>
          <w:szCs w:val="20"/>
          <w:vertAlign w:val="superscript"/>
        </w:rPr>
        <w:t>2</w:t>
      </w:r>
      <w:r>
        <w:rPr>
          <w:rFonts w:eastAsia="Times New Roman" w:cs="Times New Roman" w:ascii="Times New Roman" w:hAnsi="Times New Roman"/>
          <w:sz w:val="20"/>
          <w:szCs w:val="20"/>
        </w:rPr>
        <w:t xml:space="preserve"> diaria (Energía Estratégica, 2023).</w:t>
      </w:r>
    </w:p>
    <w:p>
      <w:pPr>
        <w:pStyle w:val="Normal1"/>
        <w:jc w:val="both"/>
        <w:rPr>
          <w:rFonts w:ascii="Times New Roman" w:hAnsi="Times New Roman" w:eastAsia="Times New Roman" w:cs="Times New Roman"/>
          <w:sz w:val="20"/>
          <w:szCs w:val="20"/>
        </w:rPr>
      </w:pPr>
      <w:r>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III. RESULTADOS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Las celdas fueron sometidas a iluminación solar directa y se midieron sus parámetros eléctricos con un multímetro. Los resultados obtenidos se presentan en la Tabla 1.</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Tabla 1. Mediciones voltaje y corriente de cada celda, con respecto a diferentes temperaturas de calcinación Fuente: Elaboración propia.</w:t>
      </w:r>
    </w:p>
    <w:tbl>
      <w:tblPr>
        <w:tblStyle w:val="Table1"/>
        <w:tblW w:w="4678" w:type="dxa"/>
        <w:jc w:val="center"/>
        <w:tblInd w:w="0" w:type="dxa"/>
        <w:tblLayout w:type="fixed"/>
        <w:tblCellMar>
          <w:top w:w="55" w:type="dxa"/>
          <w:left w:w="108" w:type="dxa"/>
          <w:bottom w:w="55" w:type="dxa"/>
          <w:right w:w="108" w:type="dxa"/>
        </w:tblCellMar>
        <w:tblLook w:val="0400"/>
      </w:tblPr>
      <w:tblGrid>
        <w:gridCol w:w="993"/>
        <w:gridCol w:w="1186"/>
        <w:gridCol w:w="1153"/>
        <w:gridCol w:w="1345"/>
      </w:tblGrid>
      <w:tr>
        <w:trPr/>
        <w:tc>
          <w:tcPr>
            <w:tcW w:w="993"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Muestra</w:t>
            </w:r>
          </w:p>
        </w:tc>
        <w:tc>
          <w:tcPr>
            <w:tcW w:w="1186" w:type="dxa"/>
            <w:tcBorders>
              <w:top w:val="single" w:sz="4" w:space="0" w:color="000000"/>
              <w:left w:val="single" w:sz="4" w:space="0" w:color="000000"/>
              <w:bottom w:val="single" w:sz="4" w:space="0" w:color="000000"/>
            </w:tcBorders>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Temperatura (°C)</w:t>
            </w:r>
          </w:p>
        </w:tc>
        <w:tc>
          <w:tcPr>
            <w:tcW w:w="1153" w:type="dxa"/>
            <w:tcBorders>
              <w:top w:val="single" w:sz="4" w:space="0" w:color="000000"/>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Voltaje (mV)</w:t>
            </w:r>
          </w:p>
        </w:tc>
        <w:tc>
          <w:tcPr>
            <w:tcW w:w="1345" w:type="dxa"/>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Corriente (µA)</w:t>
            </w:r>
          </w:p>
        </w:tc>
      </w:tr>
      <w:tr>
        <w:trPr/>
        <w:tc>
          <w:tcPr>
            <w:tcW w:w="993" w:type="dxa"/>
            <w:tcBorders>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C1-350</w:t>
            </w:r>
          </w:p>
        </w:tc>
        <w:tc>
          <w:tcPr>
            <w:tcW w:w="1186" w:type="dxa"/>
            <w:tcBorders>
              <w:left w:val="single" w:sz="4" w:space="0" w:color="000000"/>
              <w:bottom w:val="single" w:sz="4" w:space="0" w:color="000000"/>
            </w:tcBorders>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350</w:t>
            </w:r>
          </w:p>
        </w:tc>
        <w:tc>
          <w:tcPr>
            <w:tcW w:w="1153" w:type="dxa"/>
            <w:tcBorders>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5.6</w:t>
            </w:r>
          </w:p>
        </w:tc>
        <w:tc>
          <w:tcPr>
            <w:tcW w:w="1345" w:type="dxa"/>
            <w:tcBorders>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136.6</w:t>
            </w:r>
          </w:p>
        </w:tc>
      </w:tr>
      <w:tr>
        <w:trPr/>
        <w:tc>
          <w:tcPr>
            <w:tcW w:w="993" w:type="dxa"/>
            <w:tcBorders>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C2-380</w:t>
            </w:r>
          </w:p>
        </w:tc>
        <w:tc>
          <w:tcPr>
            <w:tcW w:w="1186" w:type="dxa"/>
            <w:tcBorders>
              <w:left w:val="single" w:sz="4" w:space="0" w:color="000000"/>
              <w:bottom w:val="single" w:sz="4" w:space="0" w:color="000000"/>
            </w:tcBorders>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380</w:t>
            </w:r>
          </w:p>
        </w:tc>
        <w:tc>
          <w:tcPr>
            <w:tcW w:w="1153" w:type="dxa"/>
            <w:tcBorders>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8.3</w:t>
            </w:r>
          </w:p>
        </w:tc>
        <w:tc>
          <w:tcPr>
            <w:tcW w:w="1345" w:type="dxa"/>
            <w:tcBorders>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150.6</w:t>
            </w:r>
          </w:p>
        </w:tc>
      </w:tr>
      <w:tr>
        <w:trPr/>
        <w:tc>
          <w:tcPr>
            <w:tcW w:w="993" w:type="dxa"/>
            <w:tcBorders>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C3-400</w:t>
            </w:r>
          </w:p>
        </w:tc>
        <w:tc>
          <w:tcPr>
            <w:tcW w:w="1186" w:type="dxa"/>
            <w:tcBorders>
              <w:left w:val="single" w:sz="4" w:space="0" w:color="000000"/>
              <w:bottom w:val="single" w:sz="4" w:space="0" w:color="000000"/>
            </w:tcBorders>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400</w:t>
            </w:r>
          </w:p>
        </w:tc>
        <w:tc>
          <w:tcPr>
            <w:tcW w:w="1153" w:type="dxa"/>
            <w:tcBorders>
              <w:left w:val="single" w:sz="4" w:space="0" w:color="000000"/>
              <w:bottom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13.0</w:t>
            </w:r>
          </w:p>
        </w:tc>
        <w:tc>
          <w:tcPr>
            <w:tcW w:w="1345" w:type="dxa"/>
            <w:tcBorders>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193.7</w:t>
            </w:r>
          </w:p>
        </w:tc>
      </w:tr>
    </w:tbl>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Para analizar los datos obtenidos, se realizó un análisis de varianza (ANOVA) para comparar la variabilidad entre cada muestra y la variabilidad dentro de las muestras: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Tomando en cuenta el </w:t>
      </w:r>
      <w:r>
        <w:rPr>
          <w:rFonts w:eastAsia="Times New Roman" w:cs="Times New Roman" w:ascii="Times New Roman" w:hAnsi="Times New Roman"/>
          <w:sz w:val="20"/>
          <w:szCs w:val="20"/>
        </w:rPr>
        <w:t>cálculo</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de la media general (1):</w:t>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
    </w:p>
    <w:p>
      <w:pPr>
        <w:pStyle w:val="Normal1"/>
        <w:jc w:val="center"/>
        <w:rPr>
          <w:rFonts w:ascii="Cambria Math" w:hAnsi="Cambria Math" w:eastAsia="Cambria Math" w:cs="Cambria Math"/>
          <w:b w:val="false"/>
          <w:b w:val="false"/>
          <w:i w:val="false"/>
          <w:i w:val="false"/>
          <w:caps w:val="false"/>
          <w:smallCaps w:val="false"/>
          <w:strike w:val="false"/>
          <w:dstrike w:val="false"/>
          <w:color w:val="000000"/>
          <w:position w:val="0"/>
          <w:sz w:val="24"/>
          <w:sz w:val="20"/>
          <w:szCs w:val="20"/>
          <w:u w:val="none"/>
          <w:shd w:fill="auto" w:val="clear"/>
          <w:vertAlign w:val="baseline"/>
        </w:rPr>
      </w:pPr>
      <w:r>
        <w:rPr/>
      </w:r>
      <m:oMathPara xmlns:m="http://schemas.openxmlformats.org/officeDocument/2006/math">
        <m:oMathParaPr>
          <m:jc m:val="center"/>
        </m:oMathParaPr>
        <m:oMath>
          <m:bar>
            <m:barPr>
              <m:pos m:val="bot"/>
            </m:barPr>
            <m:e>
              <m:r>
                <w:rPr>
                  <w:rFonts w:ascii="Cambria Math" w:hAnsi="Cambria Math"/>
                </w:rPr>
                <m:t xml:space="preserve">x</m:t>
              </m:r>
            </m:e>
          </m:bar>
          <m:r>
            <w:rPr>
              <w:rFonts w:ascii="Cambria Math" w:hAnsi="Cambria Math"/>
            </w:rPr>
            <m:t xml:space="preserve">=</m:t>
          </m:r>
          <m:f>
            <m:num>
              <m:r>
                <w:rPr>
                  <w:rFonts w:ascii="Cambria Math" w:hAnsi="Cambria Math"/>
                </w:rPr>
                <m:t xml:space="preserve">5.6</m:t>
              </m:r>
              <m:r>
                <w:rPr>
                  <w:rFonts w:ascii="Cambria Math" w:hAnsi="Cambria Math"/>
                </w:rPr>
                <m:t xml:space="preserve">+</m:t>
              </m:r>
              <m:r>
                <w:rPr>
                  <w:rFonts w:ascii="Cambria Math" w:hAnsi="Cambria Math"/>
                </w:rPr>
                <m:t xml:space="preserve">8.3</m:t>
              </m:r>
              <m:r>
                <w:rPr>
                  <w:rFonts w:ascii="Cambria Math" w:hAnsi="Cambria Math"/>
                </w:rPr>
                <m:t xml:space="preserve">+</m:t>
              </m:r>
              <m:r>
                <w:rPr>
                  <w:rFonts w:ascii="Cambria Math" w:hAnsi="Cambria Math"/>
                </w:rPr>
                <m:t xml:space="preserve">13.0</m:t>
              </m:r>
            </m:num>
            <m:den>
              <m:r>
                <w:rPr>
                  <w:rFonts w:ascii="Cambria Math" w:hAnsi="Cambria Math"/>
                </w:rPr>
                <m:t xml:space="preserve">3</m:t>
              </m:r>
            </m:den>
          </m:f>
          <m:r>
            <w:rPr>
              <w:rFonts w:ascii="Cambria Math" w:hAnsi="Cambria Math"/>
            </w:rPr>
            <m:t xml:space="preserve">=</m:t>
          </m:r>
          <m:r>
            <w:rPr>
              <w:rFonts w:ascii="Cambria Math" w:hAnsi="Cambria Math"/>
            </w:rPr>
            <m:t xml:space="preserve">8.97</m:t>
          </m:r>
          <m:r>
            <w:rPr>
              <w:rFonts w:ascii="Cambria Math" w:hAnsi="Cambria Math"/>
            </w:rPr>
            <m:t xml:space="preserve">mV</m:t>
          </m:r>
          <m:d>
            <m:dPr>
              <m:begChr m:val="("/>
              <m:endChr m:val=")"/>
            </m:dPr>
            <m:e>
              <m:r>
                <w:rPr>
                  <w:rFonts w:ascii="Cambria Math" w:hAnsi="Cambria Math"/>
                </w:rPr>
                <m:t xml:space="preserve">1</m:t>
              </m:r>
            </m:e>
          </m:d>
        </m:oMath>
      </m:oMathPara>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Se realiza la suma de cuadrados total (SST), que mide la variabilidad total de los datos obtenidos (2).</w:t>
      </w:r>
    </w:p>
    <w:p>
      <w:pPr>
        <w:pStyle w:val="Normal1"/>
        <w:jc w:val="center"/>
        <w:rPr>
          <w:rFonts w:ascii="Cambria Math" w:hAnsi="Cambria Math" w:eastAsia="Cambria Math" w:cs="Cambria Math"/>
          <w:b w:val="false"/>
          <w:b w:val="false"/>
          <w:i w:val="false"/>
          <w:i w:val="false"/>
          <w:caps w:val="false"/>
          <w:smallCaps w:val="false"/>
          <w:strike w:val="false"/>
          <w:dstrike w:val="false"/>
          <w:color w:val="000000"/>
          <w:position w:val="0"/>
          <w:sz w:val="24"/>
          <w:sz w:val="20"/>
          <w:szCs w:val="20"/>
          <w:u w:val="none"/>
          <w:shd w:fill="auto" w:val="clear"/>
          <w:vertAlign w:val="baseline"/>
        </w:rPr>
      </w:pPr>
      <w:r>
        <w:rPr/>
      </w:r>
      <m:oMathPara xmlns:m="http://schemas.openxmlformats.org/officeDocument/2006/math">
        <m:oMathParaPr>
          <m:jc m:val="center"/>
        </m:oMathParaPr>
        <m:oMath>
          <m:r>
            <w:rPr>
              <w:rFonts w:ascii="Cambria Math" w:hAnsi="Cambria Math"/>
            </w:rPr>
            <m:t xml:space="preserve">SST</m:t>
          </m:r>
          <m:r>
            <w:rPr>
              <w:rFonts w:ascii="Cambria Math" w:hAnsi="Cambria Math"/>
            </w:rPr>
            <m:t xml:space="preserve">=</m:t>
          </m:r>
          <m:nary>
            <m:naryPr>
              <m:chr m:val="∑"/>
            </m:naryPr>
            <m:sub/>
            <m:sup/>
            <m:e>
              <m:sSup>
                <m:e>
                  <m:d>
                    <m:dPr>
                      <m:begChr m:val="("/>
                      <m:endChr m:val=")"/>
                    </m:dPr>
                    <m:e>
                      <m:sSub>
                        <m:e>
                          <m:r>
                            <w:rPr>
                              <w:rFonts w:ascii="Cambria Math" w:hAnsi="Cambria Math"/>
                            </w:rPr>
                            <m:t xml:space="preserve">x</m:t>
                          </m:r>
                        </m:e>
                        <m:sub>
                          <m:r>
                            <w:rPr>
                              <w:rFonts w:ascii="Cambria Math" w:hAnsi="Cambria Math"/>
                            </w:rPr>
                            <m:t xml:space="preserve">i</m:t>
                          </m:r>
                        </m:sub>
                      </m:sSub>
                      <m:r>
                        <w:rPr>
                          <w:rFonts w:ascii="Cambria Math" w:hAnsi="Cambria Math"/>
                        </w:rPr>
                        <m:t xml:space="preserve">−</m:t>
                      </m:r>
                      <m:bar>
                        <m:barPr>
                          <m:pos m:val="bot"/>
                        </m:barPr>
                        <m:e>
                          <m:r>
                            <w:rPr>
                              <w:rFonts w:ascii="Cambria Math" w:hAnsi="Cambria Math"/>
                            </w:rPr>
                            <m:t xml:space="preserve">x</m:t>
                          </m:r>
                        </m:e>
                      </m:bar>
                    </m:e>
                  </m:d>
                </m:e>
                <m:sup>
                  <m:r>
                    <w:rPr>
                      <w:rFonts w:ascii="Cambria Math" w:hAnsi="Cambria Math"/>
                    </w:rPr>
                    <m:t xml:space="preserve">2</m:t>
                  </m:r>
                </m:sup>
              </m:sSup>
            </m:e>
          </m:nary>
          <m:r>
            <w:rPr>
              <w:rFonts w:ascii="Cambria Math" w:hAnsi="Cambria Math"/>
            </w:rPr>
            <m:t xml:space="preserve">=</m:t>
          </m:r>
          <m:r>
            <w:rPr>
              <w:rFonts w:ascii="Cambria Math" w:hAnsi="Cambria Math"/>
            </w:rPr>
            <m:t xml:space="preserve">28.05</m:t>
          </m:r>
          <m:d>
            <m:dPr>
              <m:begChr m:val="("/>
              <m:endChr m:val=")"/>
            </m:dPr>
            <m:e>
              <m:r>
                <w:rPr>
                  <w:rFonts w:ascii="Cambria Math" w:hAnsi="Cambria Math"/>
                </w:rPr>
                <m:t xml:space="preserve">2</m:t>
              </m:r>
            </m:e>
          </m:d>
        </m:oMath>
      </m:oMathPara>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Con lo anterior, se puede determinar la diferencia entre las medias de los grupos, con una suma de cuadrados entre grupos (SSB) (3):</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jc w:val="center"/>
        <w:rPr>
          <w:rFonts w:ascii="Cambria Math" w:hAnsi="Cambria Math" w:eastAsia="Cambria Math" w:cs="Cambria Math"/>
          <w:b w:val="false"/>
          <w:b w:val="false"/>
          <w:i w:val="false"/>
          <w:i w:val="false"/>
          <w:caps w:val="false"/>
          <w:smallCaps w:val="false"/>
          <w:strike w:val="false"/>
          <w:dstrike w:val="false"/>
          <w:color w:val="000000"/>
          <w:position w:val="0"/>
          <w:sz w:val="24"/>
          <w:sz w:val="20"/>
          <w:szCs w:val="20"/>
          <w:u w:val="none"/>
          <w:shd w:fill="auto" w:val="clear"/>
          <w:vertAlign w:val="baseline"/>
        </w:rPr>
      </w:pPr>
      <w:r>
        <w:rPr/>
      </w:r>
      <m:oMathPara xmlns:m="http://schemas.openxmlformats.org/officeDocument/2006/math">
        <m:oMathParaPr>
          <m:jc m:val="center"/>
        </m:oMathParaPr>
        <m:oMath>
          <m:r>
            <w:rPr>
              <w:rFonts w:ascii="Cambria Math" w:hAnsi="Cambria Math"/>
            </w:rPr>
            <m:t xml:space="preserve">SSB</m:t>
          </m:r>
          <m:r>
            <w:rPr>
              <w:rFonts w:ascii="Cambria Math" w:hAnsi="Cambria Math"/>
            </w:rPr>
            <m:t xml:space="preserve">=</m:t>
          </m:r>
          <m:sSub>
            <m:e>
              <m:r>
                <w:rPr>
                  <w:rFonts w:ascii="Cambria Math" w:hAnsi="Cambria Math"/>
                </w:rPr>
                <m:t xml:space="preserve">n</m:t>
              </m:r>
            </m:e>
            <m:sub>
              <m:r>
                <w:rPr>
                  <w:rFonts w:ascii="Cambria Math" w:hAnsi="Cambria Math"/>
                </w:rPr>
                <m:t xml:space="preserve">1</m:t>
              </m:r>
            </m:sub>
          </m:sSub>
          <m:sSup>
            <m:e>
              <m:d>
                <m:dPr>
                  <m:begChr m:val="("/>
                  <m:endChr m:val=")"/>
                </m:dPr>
                <m:e>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bar>
                    <m:barPr>
                      <m:pos m:val="bot"/>
                    </m:barPr>
                    <m:e>
                      <m:r>
                        <w:rPr>
                          <w:rFonts w:ascii="Cambria Math" w:hAnsi="Cambria Math"/>
                        </w:rPr>
                        <m:t xml:space="preserve">x</m:t>
                      </m:r>
                    </m:e>
                  </m:bar>
                </m:e>
              </m:d>
            </m:e>
            <m:sup>
              <m:r>
                <w:rPr>
                  <w:rFonts w:ascii="Cambria Math" w:hAnsi="Cambria Math"/>
                </w:rPr>
                <m:t xml:space="preserve">2</m:t>
              </m:r>
            </m:sup>
          </m:sSup>
          <m:r>
            <w:rPr>
              <w:rFonts w:ascii="Cambria Math" w:hAnsi="Cambria Math"/>
            </w:rPr>
            <m:t xml:space="preserve">+</m:t>
          </m:r>
          <m:sSub>
            <m:e>
              <m:r>
                <w:rPr>
                  <w:rFonts w:ascii="Cambria Math" w:hAnsi="Cambria Math"/>
                </w:rPr>
                <m:t xml:space="preserve">n</m:t>
              </m:r>
            </m:e>
            <m:sub>
              <m:r>
                <w:rPr>
                  <w:rFonts w:ascii="Cambria Math" w:hAnsi="Cambria Math"/>
                </w:rPr>
                <m:t xml:space="preserve">2</m:t>
              </m:r>
            </m:sub>
          </m:sSub>
          <m:sSup>
            <m:e>
              <m:d>
                <m:dPr>
                  <m:begChr m:val="("/>
                  <m:endChr m:val=")"/>
                </m:dPr>
                <m:e>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bar>
                    <m:barPr>
                      <m:pos m:val="bot"/>
                    </m:barPr>
                    <m:e>
                      <m:r>
                        <w:rPr>
                          <w:rFonts w:ascii="Cambria Math" w:hAnsi="Cambria Math"/>
                        </w:rPr>
                        <m:t xml:space="preserve">x</m:t>
                      </m:r>
                    </m:e>
                  </m:bar>
                </m:e>
              </m:d>
            </m:e>
            <m:sup>
              <m:r>
                <w:rPr>
                  <w:rFonts w:ascii="Cambria Math" w:hAnsi="Cambria Math"/>
                </w:rPr>
                <m:t xml:space="preserve">2</m:t>
              </m:r>
            </m:sup>
          </m:sSup>
          <m:r>
            <w:rPr>
              <w:rFonts w:ascii="Cambria Math" w:hAnsi="Cambria Math"/>
            </w:rPr>
            <m:t xml:space="preserve">+</m:t>
          </m:r>
          <m:sSub>
            <m:e>
              <m:r>
                <w:rPr>
                  <w:rFonts w:ascii="Cambria Math" w:hAnsi="Cambria Math"/>
                </w:rPr>
                <m:t xml:space="preserve">n</m:t>
              </m:r>
            </m:e>
            <m:sub>
              <m:r>
                <w:rPr>
                  <w:rFonts w:ascii="Cambria Math" w:hAnsi="Cambria Math"/>
                </w:rPr>
                <m:t xml:space="preserve">3</m:t>
              </m:r>
            </m:sub>
          </m:sSub>
          <m:sSup>
            <m:e>
              <m:d>
                <m:dPr>
                  <m:begChr m:val="("/>
                  <m:endChr m:val=")"/>
                </m:dPr>
                <m:e>
                  <m:sSub>
                    <m:e>
                      <m:r>
                        <w:rPr>
                          <w:rFonts w:ascii="Cambria Math" w:hAnsi="Cambria Math"/>
                        </w:rPr>
                        <m:t xml:space="preserve">x</m:t>
                      </m:r>
                    </m:e>
                    <m:sub>
                      <m:r>
                        <w:rPr>
                          <w:rFonts w:ascii="Cambria Math" w:hAnsi="Cambria Math"/>
                        </w:rPr>
                        <m:t xml:space="preserve">3</m:t>
                      </m:r>
                    </m:sub>
                  </m:sSub>
                  <m:r>
                    <w:rPr>
                      <w:rFonts w:ascii="Cambria Math" w:hAnsi="Cambria Math"/>
                    </w:rPr>
                    <m:t xml:space="preserve">−</m:t>
                  </m:r>
                  <m:bar>
                    <m:barPr>
                      <m:pos m:val="bot"/>
                    </m:barPr>
                    <m:e>
                      <m:r>
                        <w:rPr>
                          <w:rFonts w:ascii="Cambria Math" w:hAnsi="Cambria Math"/>
                        </w:rPr>
                        <m:t xml:space="preserve">x</m:t>
                      </m:r>
                    </m:e>
                  </m:bar>
                </m:e>
              </m:d>
            </m:e>
            <m:sup>
              <m:r>
                <w:rPr>
                  <w:rFonts w:ascii="Cambria Math" w:hAnsi="Cambria Math"/>
                </w:rPr>
                <m:t xml:space="preserve">2</m:t>
              </m:r>
            </m:sup>
          </m:sSup>
          <m:d>
            <m:dPr>
              <m:begChr m:val="("/>
              <m:endChr m:val=")"/>
            </m:dPr>
            <m:e>
              <m:r>
                <w:rPr>
                  <w:rFonts w:ascii="Cambria Math" w:hAnsi="Cambria Math"/>
                </w:rPr>
                <m:t xml:space="preserve">3</m:t>
              </m:r>
            </m:e>
          </m:d>
        </m:oMath>
      </m:oMathPara>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Donde n</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1</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=n</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2</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=n</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3</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=1, que se interpretarían una observación realizada de cada muestra, donde se obtiene una suma de 28.05</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Finalmente se realiza el cálculo estadístico mediante la media cuadrática entre grupos (MSB) y la media cuadrática dentro de los grupos (MSW), con (4) y (5):</w:t>
      </w:r>
    </w:p>
    <w:p>
      <w:pPr>
        <w:pStyle w:val="Normal1"/>
        <w:jc w:val="center"/>
        <w:rPr>
          <w:rFonts w:ascii="Cambria Math" w:hAnsi="Cambria Math" w:eastAsia="Cambria Math" w:cs="Cambria Math"/>
          <w:b w:val="false"/>
          <w:b w:val="false"/>
          <w:i w:val="false"/>
          <w:i w:val="false"/>
          <w:caps w:val="false"/>
          <w:smallCaps w:val="false"/>
          <w:strike w:val="false"/>
          <w:dstrike w:val="false"/>
          <w:color w:val="000000"/>
          <w:position w:val="0"/>
          <w:sz w:val="24"/>
          <w:sz w:val="20"/>
          <w:szCs w:val="20"/>
          <w:u w:val="none"/>
          <w:shd w:fill="auto" w:val="clear"/>
          <w:vertAlign w:val="baseline"/>
        </w:rPr>
      </w:pPr>
      <w:r>
        <w:rPr/>
      </w:r>
      <m:oMathPara xmlns:m="http://schemas.openxmlformats.org/officeDocument/2006/math">
        <m:oMathParaPr>
          <m:jc m:val="center"/>
        </m:oMathParaPr>
        <m:oMath>
          <m:r>
            <w:rPr>
              <w:rFonts w:ascii="Cambria Math" w:hAnsi="Cambria Math"/>
            </w:rPr>
            <m:t xml:space="preserve">MSB</m:t>
          </m:r>
          <m:r>
            <w:rPr>
              <w:rFonts w:ascii="Cambria Math" w:hAnsi="Cambria Math"/>
            </w:rPr>
            <m:t xml:space="preserve">=</m:t>
          </m:r>
          <m:f>
            <m:num>
              <m:r>
                <w:rPr>
                  <w:rFonts w:ascii="Cambria Math" w:hAnsi="Cambria Math"/>
                </w:rPr>
                <m:t xml:space="preserve">SSB</m:t>
              </m:r>
            </m:num>
            <m:den>
              <m:r>
                <w:rPr>
                  <w:rFonts w:ascii="Cambria Math" w:hAnsi="Cambria Math"/>
                </w:rPr>
                <m:t xml:space="preserve">k</m:t>
              </m:r>
              <m:r>
                <w:rPr>
                  <w:rFonts w:ascii="Cambria Math" w:hAnsi="Cambria Math"/>
                </w:rPr>
                <m:t xml:space="preserve">−</m:t>
              </m:r>
              <m:r>
                <w:rPr>
                  <w:rFonts w:ascii="Cambria Math" w:hAnsi="Cambria Math"/>
                </w:rPr>
                <m:t xml:space="preserve">1</m:t>
              </m:r>
            </m:den>
          </m:f>
          <m:d>
            <m:dPr>
              <m:begChr m:val="("/>
              <m:endChr m:val=")"/>
            </m:dPr>
            <m:e>
              <m:r>
                <w:rPr>
                  <w:rFonts w:ascii="Cambria Math" w:hAnsi="Cambria Math"/>
                </w:rPr>
                <m:t xml:space="preserve">4</m:t>
              </m:r>
            </m:e>
          </m:d>
        </m:oMath>
      </m:oMathPara>
    </w:p>
    <w:p>
      <w:pPr>
        <w:pStyle w:val="Normal1"/>
        <w:jc w:val="center"/>
        <w:rPr>
          <w:rFonts w:ascii="Cambria Math" w:hAnsi="Cambria Math" w:eastAsia="Cambria Math" w:cs="Cambria Math"/>
          <w:b w:val="false"/>
          <w:b w:val="false"/>
          <w:i w:val="false"/>
          <w:i w:val="false"/>
          <w:caps w:val="false"/>
          <w:smallCaps w:val="false"/>
          <w:strike w:val="false"/>
          <w:dstrike w:val="false"/>
          <w:color w:val="000000"/>
          <w:position w:val="0"/>
          <w:sz w:val="24"/>
          <w:sz w:val="20"/>
          <w:szCs w:val="20"/>
          <w:u w:val="none"/>
          <w:shd w:fill="auto" w:val="clear"/>
          <w:vertAlign w:val="baseline"/>
        </w:rPr>
      </w:pPr>
      <w:r>
        <w:rPr/>
      </w:r>
      <m:oMathPara xmlns:m="http://schemas.openxmlformats.org/officeDocument/2006/math">
        <m:oMathParaPr>
          <m:jc m:val="center"/>
        </m:oMathParaPr>
        <m:oMath>
          <m:r>
            <w:rPr>
              <w:rFonts w:ascii="Cambria Math" w:hAnsi="Cambria Math"/>
            </w:rPr>
            <m:t xml:space="preserve">MSW</m:t>
          </m:r>
          <m:r>
            <w:rPr>
              <w:rFonts w:ascii="Cambria Math" w:hAnsi="Cambria Math"/>
            </w:rPr>
            <m:t xml:space="preserve">=</m:t>
          </m:r>
          <m:f>
            <m:num>
              <m:r>
                <w:rPr>
                  <w:rFonts w:ascii="Cambria Math" w:hAnsi="Cambria Math"/>
                </w:rPr>
                <m:t xml:space="preserve">SSW</m:t>
              </m:r>
            </m:num>
            <m:den>
              <m:r>
                <w:rPr>
                  <w:rFonts w:ascii="Cambria Math" w:hAnsi="Cambria Math"/>
                </w:rPr>
                <m:t xml:space="preserve">N</m:t>
              </m:r>
              <m:r>
                <w:rPr>
                  <w:rFonts w:ascii="Cambria Math" w:hAnsi="Cambria Math"/>
                </w:rPr>
                <m:t xml:space="preserve">−</m:t>
              </m:r>
              <m:r>
                <w:rPr>
                  <w:rFonts w:ascii="Cambria Math" w:hAnsi="Cambria Math"/>
                </w:rPr>
                <m:t xml:space="preserve">k</m:t>
              </m:r>
            </m:den>
          </m:f>
          <m:d>
            <m:dPr>
              <m:begChr m:val="("/>
              <m:endChr m:val=")"/>
            </m:dPr>
            <m:e>
              <m:r>
                <w:rPr>
                  <w:rFonts w:ascii="Cambria Math" w:hAnsi="Cambria Math"/>
                </w:rPr>
                <m:t xml:space="preserve">5</m:t>
              </m:r>
            </m:e>
          </m:d>
        </m:oMath>
      </m:oMathPara>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Donde para este análisis en particular la suma de cuadrado dentro de los grupos (SSW) es igual a 0, puesto que solo se </w:t>
      </w:r>
      <w:r>
        <w:rPr>
          <w:rFonts w:eastAsia="Times New Roman" w:cs="Times New Roman" w:ascii="Times New Roman" w:hAnsi="Times New Roman"/>
          <w:sz w:val="20"/>
          <w:szCs w:val="20"/>
        </w:rPr>
        <w:t>logró</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obtener un solo dato por muestra. Al igual se considera un valor de k = 3 (por número de grupos) y N = 3 (número total de observaciones). Dando un resultado de MSB = 14.03 y MSW = 0. El estadístico (F) se </w:t>
      </w:r>
      <w:r>
        <w:rPr>
          <w:rFonts w:eastAsia="Times New Roman" w:cs="Times New Roman" w:ascii="Times New Roman" w:hAnsi="Times New Roman"/>
          <w:sz w:val="20"/>
          <w:szCs w:val="20"/>
        </w:rPr>
        <w:t>obtiene</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dividiendo el resultado de MSB sobre MSW, que para este caso en particular tiene a infinito (DataCamp, s.f). Lo que indicaría que este valor </w:t>
      </w:r>
      <w:r>
        <w:rPr>
          <w:rFonts w:eastAsia="Times New Roman" w:cs="Times New Roman" w:ascii="Times New Roman" w:hAnsi="Times New Roman"/>
          <w:sz w:val="20"/>
          <w:szCs w:val="20"/>
        </w:rPr>
        <w:t>está completamente</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relacionado a la temperatura sometidas a la capa de TiO</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2</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Se observa entonces, que el incremento de la temperatura de calcinación mejora la eficiencia de conversión fotovoltaica, alcanzando el mayor rendimiento en la muestra C3-400.  Que se atribuye directamente a una mayor cristalinidad del TiO₂, lo que facilita la transferencia de electrones en la celda (Ge et al., 2023).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Para determinar la eficiencia de las celdas solares se define con (6).</w:t>
      </w:r>
    </w:p>
    <w:p>
      <w:pPr>
        <w:pStyle w:val="Normal1"/>
        <w:jc w:val="center"/>
        <w:rPr>
          <w:rFonts w:ascii="Cambria Math" w:hAnsi="Cambria Math" w:eastAsia="Cambria Math" w:cs="Cambria Math"/>
          <w:b w:val="false"/>
          <w:b w:val="false"/>
          <w:i w:val="false"/>
          <w:i w:val="false"/>
          <w:caps w:val="false"/>
          <w:smallCaps w:val="false"/>
          <w:strike w:val="false"/>
          <w:dstrike w:val="false"/>
          <w:color w:val="000000"/>
          <w:position w:val="0"/>
          <w:sz w:val="24"/>
          <w:sz w:val="20"/>
          <w:szCs w:val="20"/>
          <w:u w:val="none"/>
          <w:shd w:fill="auto" w:val="clear"/>
          <w:vertAlign w:val="baseline"/>
        </w:rPr>
      </w:pPr>
      <w:r>
        <w:rPr/>
      </w:r>
      <m:oMathPara xmlns:m="http://schemas.openxmlformats.org/officeDocument/2006/math">
        <m:oMathParaPr>
          <m:jc m:val="center"/>
        </m:oMathParaPr>
        <m:oMath>
          <m:r>
            <w:rPr>
              <w:rFonts w:ascii="Cambria Math" w:hAnsi="Cambria Math"/>
            </w:rPr>
            <m:t xml:space="preserve">η</m:t>
          </m:r>
          <m:r>
            <w:rPr>
              <w:rFonts w:ascii="Cambria Math" w:hAnsi="Cambria Math"/>
            </w:rPr>
            <m:t xml:space="preserve">=</m:t>
          </m:r>
          <m:f>
            <m:num>
              <m:sSub>
                <m:e>
                  <m:r>
                    <w:rPr>
                      <w:rFonts w:ascii="Cambria Math" w:hAnsi="Cambria Math"/>
                    </w:rPr>
                    <m:t xml:space="preserve">P</m:t>
                  </m:r>
                </m:e>
                <m:sub>
                  <m:r>
                    <w:rPr>
                      <w:rFonts w:ascii="Cambria Math" w:hAnsi="Cambria Math"/>
                    </w:rPr>
                    <m:t xml:space="preserve">salida</m:t>
                  </m:r>
                </m:sub>
              </m:sSub>
            </m:num>
            <m:den>
              <m:sSub>
                <m:e>
                  <m:r>
                    <w:rPr>
                      <w:rFonts w:ascii="Cambria Math" w:hAnsi="Cambria Math"/>
                    </w:rPr>
                    <m:t xml:space="preserve">P</m:t>
                  </m:r>
                </m:e>
                <m:sub>
                  <m:r>
                    <w:rPr>
                      <w:rFonts w:ascii="Cambria Math" w:hAnsi="Cambria Math"/>
                    </w:rPr>
                    <m:t xml:space="preserve">entrada</m:t>
                  </m:r>
                </m:sub>
              </m:sSub>
            </m:den>
          </m:f>
          <m:r>
            <w:rPr>
              <w:rFonts w:ascii="Cambria Math" w:hAnsi="Cambria Math"/>
            </w:rPr>
            <m:t xml:space="preserve">x</m:t>
          </m:r>
          <m:r>
            <w:rPr>
              <w:rFonts w:ascii="Cambria Math" w:hAnsi="Cambria Math"/>
            </w:rPr>
            <m:t xml:space="preserve">100</m:t>
          </m:r>
          <m:d>
            <m:dPr>
              <m:begChr m:val="("/>
              <m:endChr m:val=")"/>
            </m:dPr>
            <m:e>
              <m:r>
                <w:rPr>
                  <w:rFonts w:ascii="Cambria Math" w:hAnsi="Cambria Math"/>
                </w:rPr>
                <m:t xml:space="preserve">6</m:t>
              </m:r>
            </m:e>
          </m:d>
        </m:oMath>
      </m:oMathPara>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Donde la P</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 xml:space="preserve">salida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V</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mpp</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*I</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mpp</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que representa el voltaje y corriente en el punto de máxima potencia (mmp) de la celda respectivamente. P</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 xml:space="preserve">entrada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I</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solar</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*A, donde I</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bscript"/>
        </w:rPr>
        <w:t>solar</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es la irradiancia solar en W/m</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y A es el área activa de la celda solar en donde se realizó la medición que sería de 1 x 10</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-4</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m</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Los datos obtenidos se muestran en la Figura 1.</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drawing>
          <wp:inline distT="0" distB="0" distL="0" distR="0">
            <wp:extent cx="2763520" cy="1978025"/>
            <wp:effectExtent l="0" t="0" r="0" b="0"/>
            <wp:docPr id="2" name="image2.png"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Gráfico, Gráfico de líneas&#10;&#10;El contenido generado por IA puede ser incorrecto."/>
                    <pic:cNvPicPr>
                      <a:picLocks noChangeAspect="1" noChangeArrowheads="1"/>
                    </pic:cNvPicPr>
                  </pic:nvPicPr>
                  <pic:blipFill>
                    <a:blip r:embed="rId8"/>
                    <a:stretch>
                      <a:fillRect/>
                    </a:stretch>
                  </pic:blipFill>
                  <pic:spPr bwMode="auto">
                    <a:xfrm>
                      <a:off x="0" y="0"/>
                      <a:ext cx="2763520" cy="1978025"/>
                    </a:xfrm>
                    <a:prstGeom prst="rect">
                      <a:avLst/>
                    </a:prstGeom>
                  </pic:spPr>
                </pic:pic>
              </a:graphicData>
            </a:graphic>
          </wp:inline>
        </w:drawing>
      </w:r>
    </w:p>
    <w:p>
      <w:pPr>
        <w:pStyle w:val="Normal1"/>
        <w:keepNext w:val="false"/>
        <w:keepLines w:val="false"/>
        <w:pageBreakBefore w:val="false"/>
        <w:widowControl/>
        <w:pBdr/>
        <w:shd w:val="clear" w:fill="auto"/>
        <w:spacing w:lineRule="auto" w:line="240" w:before="0" w:after="0"/>
        <w:ind w:left="0" w:right="0" w:hanging="0"/>
        <w:jc w:val="center"/>
        <w:rPr/>
      </w:pPr>
      <w:r>
        <w:rPr>
          <w:rFonts w:eastAsia="Times New Roman" w:cs="Times New Roman" w:ascii="Times New Roman" w:hAnsi="Times New Roman"/>
          <w:b w:val="false"/>
          <w:i/>
          <w:caps w:val="false"/>
          <w:smallCaps w:val="false"/>
          <w:strike w:val="false"/>
          <w:dstrike w:val="false"/>
          <w:color w:val="000000"/>
          <w:position w:val="0"/>
          <w:sz w:val="20"/>
          <w:sz w:val="20"/>
          <w:szCs w:val="20"/>
          <w:u w:val="none"/>
          <w:shd w:fill="auto" w:val="clear"/>
          <w:vertAlign w:val="baseline"/>
        </w:rPr>
        <w:t>Figura 1. Eficiencia de conversión vs Temperatura de calcinación. Fuente: Elaboración propia</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IV. DISCUSIÓN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Los resultados obtenidos muestran un incremento en la eficiencia de conversión con el aumento de la temperatura de calcinación. La celda calcinada a 400°C presentó la mayor eficiencia, lo que indica que un tratamiento térmico óptimo mejora la estructura cristalina del TiO₂ y, en consecuencia, la movilidad de los electrones dentro de la celda. Este comportamiento es consistente con estudios previos que demuestran que una mayor cristalinidad del TiO₂ reduce la recombinación de electrones y mejora la inyección de carga en la banda de conducción del semiconductor (Ge et al., 2023).</w:t>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En comparación con otros estudios sobre DSSC con colorantes naturales, la eficiencia obtenida sigue siendo baja en relación con celdas sensibilizadas por colorantes sintéticos como el N719, que pueden alcanzar eficiencias superiores al 10% (Hao et al., 2006). Sin embargo, el uso de materiales accesibles y de bajo costo en este estudio permite considerar la viabilidad de DSSC para aplicaciones donde la sostenibilidad y la economía son prioritarias.</w:t>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El uso de yodo-lugol como electrolito en este estudio, aunque viable para experimentos preliminares, presenta limitaciones en comparación con los electrolitos basados en disolventes orgánicos como el acetonitrilo. Investigaciones previas han demostrado que estos solventes mejoran la estabilidad operativa de las celdas DSSC al reducir la evaporación y mantener un mejor transporte iónico a largo plazo (Yan et al., 2018). Futuras investigaciones pueden enfocarse en la optimización del electrolito para mejorar la estabilidad y el rendimiento de la celda.</w:t>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Desde el punto de vista estadístico, el análisis de varianza (ANOVA) indicó una diferencia significativa entre los voltajes obtenidos a distintas temperaturas de calcinación.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0"/>
          <w:sz w:val="20"/>
          <w:szCs w:val="20"/>
          <w:u w:val="none"/>
          <w:shd w:fill="auto" w:val="clear"/>
          <w:vertAlign w:val="baseline"/>
        </w:rPr>
      </w:r>
    </w:p>
    <w:p>
      <w:pPr>
        <w:pStyle w:val="Normal1"/>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V. CONCLUSIONES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El estudio demuestra que la temperatura de calcinación tiene un impacto significativo en el rendimiento de celdas solares DSSC, con la mejor eficiencia observada a 400°C. La optimización térmica del TiO₂ mejora la movilidad de los electrones y reduce la recombinación de carga, lo que sugiere que este parámetro es crucial en el diseño de DSSC más eficientes.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FF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FF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Si bien la eficiencia obtenida es modesta en comparación con tecnologías fotovoltaicas convencionales, la accesibilidad de los materiales utilizados refuerza el potencial de estas celdas para aplicaciones de bajo costo y producción sostenible de energía. No obstante, la estabilidad del electrolito sigue siendo un desafío clave, lo que abre la posibilidad de investigar alternativas más eficientes y duraderas.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Es recomendable continuar en la mejora de la selección del electrolito y en la exploración de colorantes con mayor estabilidad y capacidad de absorción de luz. Además, la repetición del experimento con un mayor número de muestras permitiría realizar un análisis estadístico más robusto para validar la tendencia observada en la eficiencia de conversión.</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REFERENCIAS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Abdullah, A. H., Rahman, M. M., y Ismail, J. (2022). Dye-sensitized solar cells: Fundamentals and improved performance strategies. Journal of Photovoltaic Science, 14(2), 123-136.https://doi.org/10.1002/pvs.2022</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DataCamp. (s.f.). Guía de ANOVA en Excel: Cómo realizar un análisis de varianza en Excel. Recuperado el 12 de marzo de 2025, dehttps://www.datacamp.com/es/tutorial/excel-anova-guide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Energía Estratégica. (2023). Radiografía solar de México: los estados con mayor promedio de irradiancia y los parques fotovoltaicos en operación comercial. Recuperado el 12 de marzo de 2025, dehttps://www.energiaestrategica.com/radiografia-solar-de-mexico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Ge, X., Li, W., y Zhang, Y. (2023). Optimization of dye-sensitized solar cells with TiO₂ films. Solar Energy Materials &amp; Solar Cells, 250, 112078.https://doi.org/10.1016/j.solmat.2022.112078</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Hao, S., Wu, J., Huang, Y., y Lin, J. (2006). Natural dyes as photosensitizers for dye-sensitized solar cells. Solar Energy, 80(2), 209–214.https://doi.org/10.1016/j.solener.2005.01.002</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Jiang, Q., Tian, C., y Fu, H. (2020). Carbon materials for counter electrodes of dye-sensitized solar cells: A review. Journal of Energy Chemistry, 49, 231-244.https://doi.org/10.1016/j.jechem.2020.02.011</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Karthick, S. N., Chandrasekaran, J., y Manoharan, S. (2019). Alternative electrolytes for dye-sensitized solar cells: A review. Renewable and Sustainable Energy Reviews, 109, 202-222.https://doi.org/10.1016/j.rser.2019.04.039</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Kavan, L., Grätzel, M., Gilbert, S. E., Klemenz, C., y Scheel, H. J. (2003). Electrochemical and photoelectrochemical investigation of single-crystal anatase. Journal of the American Chemical Society, 118(28), 6716-6723.https://doi.org/10.1021/ja960323d</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Minitab Blog. (s.f.). Comprensión del análisis de varianza ANOVA y la prueba F. Recuperado el 12 de marzo de 2025, dehttps://blog.minitab.com/es/comprension-del-analisis-de-varianza-anova-y-la-prueba-f</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O'Regan, B., y Grätzel, M. (1991). A low-cost, high-efficiency solar cell based on dye-sensitized colloidal TiO₂ films. Nature, 353(6346), 737–740.https://doi.org/10.1038/353737a0</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Wang, M., Sun, L., y Grätzel, M. (2014). Design of carbon materials as counter electrodes for dye-sensitized solar cells. Chemical Society Reviews, 43(14), 4373-4396.https://doi.org/10.1039/C3CS60374A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Yan, Y., Lü, J., Zhao, X., y Yu, Z. (2018). Advances in electrolyte solutions for dye-sensitized solar cells. Electrochimica Acta, 277, 132-143.https://doi.org/10.1016/j.electacta.2018.04.059</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i/>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124"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0"/>
          <w:szCs w:val="20"/>
          <w:u w:val="none"/>
          <w:shd w:fill="auto" w:val="clear"/>
          <w:vertAlign w:val="baseline"/>
        </w:rPr>
      </w:pPr>
      <w:r>
        <w:rPr/>
      </w:r>
    </w:p>
    <w:p>
      <w:pPr>
        <w:sectPr>
          <w:type w:val="continuous"/>
          <w:pgSz w:w="11906" w:h="16838"/>
          <w:pgMar w:left="1134" w:right="1134" w:header="1134" w:top="1601" w:footer="1134" w:bottom="1729" w:gutter="0"/>
          <w:cols w:num="2" w:space="282" w:equalWidth="true" w:sep="false"/>
          <w:formProt w:val="false"/>
          <w:textDirection w:val="lrTb"/>
          <w:docGrid w:type="default" w:linePitch="100" w:charSpace="0"/>
        </w:sectPr>
      </w:pPr>
    </w:p>
    <w:sectPr>
      <w:headerReference w:type="even" r:id="rId9"/>
      <w:headerReference w:type="default" r:id="rId10"/>
      <w:footerReference w:type="even" r:id="rId11"/>
      <w:footerReference w:type="default" r:id="rId12"/>
      <w:type w:val="continuous"/>
      <w:pgSz w:w="11906" w:h="16838"/>
      <w:pgMar w:left="1134" w:right="1134" w:header="1134" w:top="1601" w:footer="1134" w:bottom="172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Georgia">
    <w:charset w:val="01"/>
    <w:family w:val="roman"/>
    <w:pitch w:val="variable"/>
  </w:font>
  <w:font w:name="Times New Roman">
    <w:charset w:val="01"/>
    <w:family w:val="roman"/>
    <w:pitch w:val="variable"/>
  </w:font>
  <w:font w:name="Cantarell">
    <w:charset w:val="01"/>
    <w:family w:val="roman"/>
    <w:pitch w:val="variable"/>
  </w:font>
  <w:font w:name="Cambria Math">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spacing w:lineRule="auto" w:line="240" w:before="120" w:after="6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spacing w:lineRule="auto" w:line="240" w:before="120" w:after="6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ntarell" w:cs="Cantarell" w:ascii="Cantarell" w:hAnsi="Cantarel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bl>
    <w:tblPr>
      <w:tblStyle w:val="Table3"/>
      <w:tblW w:w="9405" w:type="dxa"/>
      <w:jc w:val="left"/>
      <w:tblInd w:w="55" w:type="dxa"/>
      <w:tblLayout w:type="fixed"/>
      <w:tblCellMar>
        <w:top w:w="0" w:type="dxa"/>
        <w:left w:w="108" w:type="dxa"/>
        <w:bottom w:w="0" w:type="dxa"/>
        <w:right w:w="108" w:type="dxa"/>
      </w:tblCellMar>
      <w:tblLook w:val="0400"/>
    </w:tblPr>
    <w:tblGrid>
      <w:gridCol w:w="2481"/>
      <w:gridCol w:w="4142"/>
      <w:gridCol w:w="2782"/>
    </w:tblGrid>
    <w:tr>
      <w:trPr/>
      <w:tc>
        <w:tcPr>
          <w:tcW w:w="2481" w:type="dxa"/>
          <w:tcBorders/>
          <w:shd w:fill="auto" w:val="clear"/>
        </w:tcPr>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16"/>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 xml:space="preserve">Recibido: </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02</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Abril</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2025</w:t>
          </w:r>
        </w:p>
        <w:p>
          <w:pPr>
            <w:pStyle w:val="Normal1"/>
            <w:keepNext w:val="false"/>
            <w:keepLines w:val="false"/>
            <w:widowControl w:val="false"/>
            <w:pBdr/>
            <w:shd w:val="clear" w:fill="auto"/>
            <w:spacing w:lineRule="auto" w:line="240"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16"/>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 xml:space="preserve">Aceptado: </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03</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Octubre</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2025</w:t>
          </w:r>
        </w:p>
      </w:tc>
      <w:tc>
        <w:tcPr>
          <w:tcW w:w="4142" w:type="dxa"/>
          <w:tcBorders/>
          <w:shd w:fill="auto" w:val="clear"/>
        </w:tcPr>
        <w:p>
          <w:pPr>
            <w:pStyle w:val="Normal1"/>
            <w:keepNext w:val="false"/>
            <w:keepLines w:val="false"/>
            <w:widowControl w:val="false"/>
            <w:pBdr/>
            <w:shd w:val="clear" w:fill="auto"/>
            <w:spacing w:lineRule="auto" w:line="240" w:before="120" w:after="6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16"/>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TecNM – Instituto Tecnológico Superior Progreso</w:t>
          </w:r>
        </w:p>
      </w:tc>
      <w:tc>
        <w:tcPr>
          <w:tcW w:w="2782" w:type="dxa"/>
          <w:tcBorders/>
          <w:shd w:fill="auto" w:val="clear"/>
        </w:tcPr>
        <w:p>
          <w:pPr>
            <w:pStyle w:val="Normal1"/>
            <w:keepNext w:val="false"/>
            <w:keepLines w:val="false"/>
            <w:widowControl w:val="false"/>
            <w:pBdr/>
            <w:shd w:val="clear" w:fill="auto"/>
            <w:spacing w:lineRule="auto" w:line="240" w:before="120" w:after="6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c>
    </w:tr>
  </w:tbl>
  <w:p>
    <w:pPr>
      <w:pStyle w:val="Normal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spacing w:lineRule="auto" w:line="240" w:before="120" w:after="6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spacing w:lineRule="auto" w:line="240" w:before="120" w:after="6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Cantarell" w:cs="Cantarell" w:ascii="Cantarell" w:hAnsi="Cantarel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16"/>
        <w:sz w:val="16"/>
        <w:szCs w:val="16"/>
        <w:u w:val="none"/>
        <w:shd w:fill="auto" w:val="clear"/>
        <w:vertAlign w:val="baseline"/>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820" w:leader="none"/>
        <w:tab w:val="right" w:pos="9640" w:leader="none"/>
      </w:tabs>
      <w:spacing w:lineRule="auto" w:line="240" w:before="0" w:after="16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Advances in Engineering and Innovation Vol.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11</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 No.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24</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 pp.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6</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9</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Enero - Junio 2026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820" w:leader="none"/>
        <w:tab w:val="right" w:pos="9640" w:leader="none"/>
      </w:tabs>
      <w:spacing w:lineRule="auto" w:line="240" w:before="0" w:after="16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Advances in Engineering and Innovation Vol.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11</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 No.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24</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 pp.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6</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9</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Enero - Junio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val="false"/>
      <w:pBdr/>
      <w:shd w:val="clear" w:fill="auto"/>
      <w:spacing w:lineRule="auto" w:line="276" w:before="0" w:after="0"/>
      <w:ind w:left="0" w:right="0" w:hanging="0"/>
      <w:jc w:val="lef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tbl>
    <w:tblPr>
      <w:tblStyle w:val="Table2"/>
      <w:tblW w:w="11131" w:type="dxa"/>
      <w:jc w:val="left"/>
      <w:tblInd w:w="-833" w:type="dxa"/>
      <w:tblLayout w:type="fixed"/>
      <w:tblCellMar>
        <w:top w:w="0" w:type="dxa"/>
        <w:left w:w="108" w:type="dxa"/>
        <w:bottom w:w="0" w:type="dxa"/>
        <w:right w:w="108" w:type="dxa"/>
      </w:tblCellMar>
      <w:tblLook w:val="0600"/>
    </w:tblPr>
    <w:tblGrid>
      <w:gridCol w:w="3331"/>
      <w:gridCol w:w="4111"/>
      <w:gridCol w:w="3689"/>
    </w:tblGrid>
    <w:tr>
      <w:trPr>
        <w:trHeight w:val="420" w:hRule="atLeast"/>
      </w:trPr>
      <w:tc>
        <w:tcPr>
          <w:tcW w:w="3331" w:type="dxa"/>
          <w:tcBorders/>
          <w:shd w:fill="auto" w:val="clear"/>
        </w:tcPr>
        <w:p>
          <w:pPr>
            <w:pStyle w:val="Normal1"/>
            <w:widowControl w:val="false"/>
            <w:jc w:val="center"/>
            <w:rPr/>
          </w:pPr>
          <w:r>
            <w:rPr/>
            <w:drawing>
              <wp:inline distT="0" distB="0" distL="0" distR="0">
                <wp:extent cx="1685925" cy="800100"/>
                <wp:effectExtent l="0" t="0" r="0" b="0"/>
                <wp:docPr id="1" name="image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1"/>
            <w:widowControl w:val="false"/>
            <w:tabs>
              <w:tab w:val="clear" w:pos="720"/>
              <w:tab w:val="center" w:pos="4419" w:leader="none"/>
              <w:tab w:val="right" w:pos="8838" w:leader="none"/>
            </w:tabs>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widowControl w:val="false"/>
            <w:tabs>
              <w:tab w:val="clear" w:pos="720"/>
              <w:tab w:val="center" w:pos="4419" w:leader="none"/>
              <w:tab w:val="right" w:pos="8838" w:leader="none"/>
            </w:tabs>
            <w:jc w:val="center"/>
            <w:rPr/>
          </w:pPr>
          <w:r>
            <w:rPr>
              <w:rFonts w:eastAsia="Times New Roman" w:cs="Times New Roman" w:ascii="Times New Roman" w:hAnsi="Times New Roman"/>
              <w:sz w:val="20"/>
              <w:szCs w:val="20"/>
            </w:rPr>
            <w:t>Advances in Engineering and Innovation</w:t>
          </w:r>
        </w:p>
        <w:p>
          <w:pPr>
            <w:pStyle w:val="Normal1"/>
            <w:widowControl w:val="false"/>
            <w:tabs>
              <w:tab w:val="clear" w:pos="720"/>
              <w:tab w:val="center" w:pos="4419" w:leader="none"/>
              <w:tab w:val="right" w:pos="8838" w:leader="none"/>
            </w:tabs>
            <w:jc w:val="center"/>
            <w:rPr/>
          </w:pPr>
          <w:r>
            <w:rPr>
              <w:rFonts w:eastAsia="Times New Roman" w:cs="Times New Roman" w:ascii="Times New Roman" w:hAnsi="Times New Roman"/>
              <w:sz w:val="20"/>
              <w:szCs w:val="20"/>
            </w:rPr>
            <w:t xml:space="preserve">Vol. </w:t>
          </w:r>
          <w:r>
            <w:rPr>
              <w:rFonts w:eastAsia="Times New Roman" w:cs="Times New Roman" w:ascii="Times New Roman" w:hAnsi="Times New Roman"/>
              <w:sz w:val="20"/>
              <w:szCs w:val="20"/>
            </w:rPr>
            <w:t>11</w:t>
          </w:r>
          <w:r>
            <w:rPr>
              <w:rFonts w:eastAsia="Times New Roman" w:cs="Times New Roman" w:ascii="Times New Roman" w:hAnsi="Times New Roman"/>
              <w:sz w:val="20"/>
              <w:szCs w:val="20"/>
            </w:rPr>
            <w:t xml:space="preserve">, No. </w:t>
          </w:r>
          <w:r>
            <w:rPr>
              <w:rFonts w:eastAsia="Times New Roman" w:cs="Times New Roman" w:ascii="Times New Roman" w:hAnsi="Times New Roman"/>
              <w:sz w:val="20"/>
              <w:szCs w:val="20"/>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6</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9</w:t>
          </w:r>
        </w:p>
        <w:p>
          <w:pPr>
            <w:pStyle w:val="Normal1"/>
            <w:widowControl w:val="false"/>
            <w:tabs>
              <w:tab w:val="clear" w:pos="720"/>
              <w:tab w:val="center" w:pos="4419" w:leader="none"/>
              <w:tab w:val="right" w:pos="8838" w:leader="none"/>
            </w:tabs>
            <w:jc w:val="center"/>
            <w:rPr/>
          </w:pPr>
          <w:r>
            <w:rPr>
              <w:rFonts w:eastAsia="Times New Roman" w:cs="Times New Roman" w:ascii="Times New Roman" w:hAnsi="Times New Roman"/>
              <w:sz w:val="20"/>
              <w:szCs w:val="20"/>
            </w:rPr>
            <w:t>Enero - Junio 2026</w:t>
          </w:r>
        </w:p>
      </w:tc>
      <w:tc>
        <w:tcPr>
          <w:tcW w:w="3689" w:type="dxa"/>
          <w:tcBorders/>
          <w:shd w:fill="auto" w:val="clear"/>
        </w:tcPr>
        <w:p>
          <w:pPr>
            <w:pStyle w:val="Normal1"/>
            <w:widowControl w:val="false"/>
            <w:tabs>
              <w:tab w:val="clear" w:pos="720"/>
              <w:tab w:val="center" w:pos="4419" w:leader="none"/>
              <w:tab w:val="right" w:pos="8838" w:leader="none"/>
            </w:tabs>
            <w:jc w:val="right"/>
            <w:rPr>
              <w:rFonts w:ascii="Times New Roman" w:hAnsi="Times New Roman" w:eastAsia="Times New Roman" w:cs="Times New Roman"/>
            </w:rPr>
          </w:pPr>
          <w:r>
            <w:rPr>
              <w:rFonts w:eastAsia="Times New Roman" w:cs="Times New Roman" w:ascii="Times New Roman" w:hAnsi="Times New Roman"/>
            </w:rPr>
          </w:r>
        </w:p>
        <w:p>
          <w:pPr>
            <w:pStyle w:val="Normal1"/>
            <w:widowControl w:val="false"/>
            <w:tabs>
              <w:tab w:val="clear" w:pos="720"/>
              <w:tab w:val="center" w:pos="4419" w:leader="none"/>
              <w:tab w:val="right" w:pos="8838" w:leader="none"/>
            </w:tabs>
            <w:jc w:val="right"/>
            <w:rPr/>
          </w:pPr>
          <w:r>
            <w:rPr>
              <w:rFonts w:eastAsia="Times New Roman" w:cs="Times New Roman" w:ascii="Times New Roman" w:hAnsi="Times New Roman"/>
              <w:color w:val="000000"/>
              <w:sz w:val="20"/>
              <w:szCs w:val="20"/>
              <w:u w:val="none"/>
            </w:rPr>
            <w:t>www.progreso.tecnm.mx/revistaAEI</w:t>
          </w:r>
        </w:p>
        <w:p>
          <w:pPr>
            <w:pStyle w:val="Normal1"/>
            <w:widowControl w:val="false"/>
            <w:tabs>
              <w:tab w:val="clear" w:pos="720"/>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1"/>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820" w:leader="none"/>
        <w:tab w:val="right" w:pos="9640" w:leader="none"/>
      </w:tabs>
      <w:spacing w:lineRule="auto" w:line="240" w:before="0" w:after="16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Advances in Engineering and Innovation Vol.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11</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 No.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24</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 pp.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6</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9</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Enero - Junio 2026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820" w:leader="none"/>
        <w:tab w:val="right" w:pos="9640" w:leader="none"/>
      </w:tabs>
      <w:spacing w:lineRule="auto" w:line="240" w:before="0" w:after="160"/>
      <w:ind w:left="0" w:right="0" w:hanging="0"/>
      <w:jc w:val="center"/>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Advances in Engineering and Innovation Vol.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11</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 No.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24</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xml:space="preserve">, pp. </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6</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9</w:t>
    </w:r>
    <w:r>
      <w:rPr>
        <w:rFonts w:eastAsia="Times New Roman" w:cs="Times New Roman" w:ascii="Times New Roman" w:hAnsi="Times New Roman"/>
        <w:b w:val="false"/>
        <w:i/>
        <w:caps w:val="false"/>
        <w:smallCaps w:val="false"/>
        <w:strike w:val="false"/>
        <w:dstrike w:val="false"/>
        <w:color w:val="000000"/>
        <w:position w:val="0"/>
        <w:sz w:val="16"/>
        <w:sz w:val="16"/>
        <w:szCs w:val="16"/>
        <w:u w:val="none"/>
        <w:shd w:fill="auto" w:val="clear"/>
        <w:vertAlign w:val="baseline"/>
      </w:rPr>
      <w:t>, Enero - Junio 2026</w:t>
    </w:r>
  </w:p>
</w:hdr>
</file>

<file path=word/settings.xml><?xml version="1.0" encoding="utf-8"?>
<w:settings xmlns:w="http://schemas.openxmlformats.org/wordprocessingml/2006/main">
  <w:zoom w:percent="120"/>
  <w:defaultTabStop w:val="720"/>
  <w:autoHyphenation w:val="true"/>
  <w:evenAndOddHeaders/>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s-MX" w:eastAsia="zh-CN" w:bidi="hi-IN"/>
      </w:rPr>
    </w:rPrDefault>
    <w:pPrDefault>
      <w:pPr>
        <w:suppressAutoHyphens w:val="true"/>
      </w:pPr>
    </w:pPrDefault>
  </w:docDefaults>
  <w:style w:type="paragraph" w:styleId="Normal" w:default="1">
    <w:name w:val="Normal"/>
    <w:qFormat/>
    <w:pPr>
      <w:widowControl/>
      <w:overflowPunct w:val="true"/>
      <w:bidi w:val="0"/>
      <w:spacing w:before="0" w:after="0"/>
      <w:jc w:val="left"/>
    </w:pPr>
    <w:rPr>
      <w:rFonts w:ascii="Liberation Serif" w:hAnsi="Liberation Serif" w:eastAsia="Liberation Serif" w:cs="Liberation Serif"/>
      <w:color w:val="auto"/>
      <w:kern w:val="0"/>
      <w:sz w:val="24"/>
      <w:szCs w:val="24"/>
      <w:lang w:val="es-MX" w:eastAsia="zh-CN" w:bidi="hi-IN"/>
    </w:rPr>
  </w:style>
  <w:style w:type="paragraph" w:styleId="Ttulo1">
    <w:name w:val="Heading 1"/>
    <w:basedOn w:val="Normal1"/>
    <w:next w:val="Normal1"/>
    <w:uiPriority w:val="9"/>
    <w:qFormat/>
    <w:pPr>
      <w:spacing w:before="79" w:after="0"/>
      <w:ind w:left="2899" w:right="2900" w:hanging="0"/>
      <w:jc w:val="center"/>
      <w:outlineLvl w:val="0"/>
    </w:pPr>
    <w:rPr>
      <w:b/>
      <w:bCs/>
      <w:sz w:val="20"/>
      <w:szCs w:val="20"/>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162d57"/>
    <w:rPr>
      <w:color w:val="467886" w:themeColor="hyperlink"/>
      <w:u w:val="single"/>
    </w:rPr>
  </w:style>
  <w:style w:type="character" w:styleId="Character20style" w:customStyle="1">
    <w:name w:val="Character_20_style"/>
    <w:qFormat/>
    <w:rPr/>
  </w:style>
  <w:style w:type="character" w:styleId="UnresolvedMention">
    <w:name w:val="Unresolved Mention"/>
    <w:basedOn w:val="DefaultParagraphFont"/>
    <w:uiPriority w:val="99"/>
    <w:semiHidden/>
    <w:unhideWhenUsed/>
    <w:qFormat/>
    <w:rsid w:val="00162d57"/>
    <w:rPr>
      <w:color w:val="605E5C"/>
      <w:shd w:fill="E1DFDD" w:val="clear"/>
    </w:rPr>
  </w:style>
  <w:style w:type="character" w:styleId="PlaceholderText">
    <w:name w:val="Placeholder Text"/>
    <w:basedOn w:val="DefaultParagraphFont"/>
    <w:uiPriority w:val="99"/>
    <w:semiHidden/>
    <w:qFormat/>
    <w:rsid w:val="007b7a9a"/>
    <w:rPr>
      <w:color w:val="66666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1"/>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1"/>
    <w:qFormat/>
    <w:pPr>
      <w:suppressLineNumbers/>
    </w:pPr>
    <w:rPr/>
  </w:style>
  <w:style w:type="paragraph" w:styleId="Normal1" w:default="1">
    <w:name w:val="LO-normal1"/>
    <w:qFormat/>
    <w:pPr>
      <w:widowControl/>
      <w:bidi w:val="0"/>
      <w:spacing w:before="0" w:after="0"/>
      <w:jc w:val="left"/>
    </w:pPr>
    <w:rPr>
      <w:rFonts w:ascii="Liberation Serif" w:hAnsi="Liberation Serif" w:eastAsia="Liberation Serif" w:cs="Liberation Serif"/>
      <w:color w:val="auto"/>
      <w:kern w:val="0"/>
      <w:sz w:val="24"/>
      <w:szCs w:val="24"/>
      <w:lang w:val="es-MX" w:eastAsia="zh-CN" w:bidi="hi-IN"/>
    </w:rPr>
  </w:style>
  <w:style w:type="paragraph" w:styleId="Ttulogeneral">
    <w:name w:val="Title"/>
    <w:basedOn w:val="Normal1"/>
    <w:next w:val="Cuerpodetexto"/>
    <w:uiPriority w:val="10"/>
    <w:qFormat/>
    <w:pPr>
      <w:spacing w:before="80" w:after="0"/>
      <w:ind w:left="118" w:hanging="0"/>
      <w:jc w:val="both"/>
    </w:pPr>
    <w:rPr>
      <w:b/>
      <w:bCs/>
    </w:rPr>
  </w:style>
  <w:style w:type="paragraph" w:styleId="Caption">
    <w:name w:val="caption"/>
    <w:basedOn w:val="Normal1"/>
    <w:next w:val="Normal1"/>
    <w:qFormat/>
    <w:pPr>
      <w:spacing w:before="0" w:after="200"/>
    </w:pPr>
    <w:rPr>
      <w:i/>
      <w:iCs/>
      <w:color w:val="1F497D"/>
      <w:sz w:val="18"/>
      <w:szCs w:val="18"/>
    </w:rPr>
  </w:style>
  <w:style w:type="paragraph" w:styleId="Textopreformateado" w:customStyle="1">
    <w:name w:val="Texto preformateado"/>
    <w:basedOn w:val="Normal1"/>
    <w:qFormat/>
    <w:pPr/>
    <w:rPr>
      <w:rFonts w:ascii="Liberation Mono" w:hAnsi="Liberation Mono" w:eastAsia="Liberation Mono" w:cs="Liberation Mono"/>
      <w:sz w:val="20"/>
      <w:szCs w:val="20"/>
    </w:rPr>
  </w:style>
  <w:style w:type="paragraph" w:styleId="Cabeceraypie" w:customStyle="1">
    <w:name w:val="Cabecera y pie"/>
    <w:basedOn w:val="Normal1"/>
    <w:qFormat/>
    <w:pPr>
      <w:suppressLineNumbers/>
      <w:tabs>
        <w:tab w:val="clear" w:pos="720"/>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1"/>
    <w:qFormat/>
    <w:pPr>
      <w:ind w:left="831" w:hanging="356"/>
    </w:pPr>
    <w:rPr/>
  </w:style>
  <w:style w:type="paragraph" w:styleId="Contenidodelatabla" w:customStyle="1">
    <w:name w:val="Contenido de la tabla"/>
    <w:basedOn w:val="Normal1"/>
    <w:qFormat/>
    <w:pPr/>
    <w:rPr/>
  </w:style>
  <w:style w:type="paragraph" w:styleId="LOnormal" w:customStyle="1">
    <w:name w:val="LO-normal"/>
    <w:qFormat/>
    <w:pPr>
      <w:widowControl/>
      <w:bidi w:val="0"/>
      <w:spacing w:lineRule="auto" w:line="276" w:before="0" w:after="0"/>
      <w:jc w:val="left"/>
    </w:pPr>
    <w:rPr>
      <w:rFonts w:ascii="Liberation Serif" w:hAnsi="Liberation Serif" w:eastAsia="Liberation Serif" w:cs="Liberation Serif"/>
      <w:color w:val="auto"/>
      <w:kern w:val="0"/>
      <w:sz w:val="24"/>
      <w:szCs w:val="24"/>
      <w:lang w:val="es-MX" w:eastAsia="zh-CN" w:bidi="hi-IN"/>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J4lc4v9rE1/omZZtEUEfohupdGA==">CgMxLjAyDmguajYxZW1lZWMxc25uMg5oLmgxcGRjYWY1b25ueDIOaC5hdmNqMzg4MmwycXYyDmguOTdlN3QwcWw5Z2o1OAByITF6QlNfY2t5VVNnU2xKNXRTa1FIZ19yZ3pIR1Z6UWtRVA==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18</TotalTime>
  <Application>LibreOffice/7.0.4.2$Linux_X86_64 LibreOffice_project/00$Build-2</Application>
  <AppVersion>15.0000</AppVersion>
  <Pages>4</Pages>
  <Words>2284</Words>
  <Characters>13393</Characters>
  <CharactersWithSpaces>15572</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2023-12-27T21:59:00Z</dcterms:created>
  <dc:creator/>
  <dc:description/>
  <dc:language>es-MX</dc:language>
  <cp:lastModifiedBy/>
  <dcterms:modified xsi:type="dcterms:W3CDTF">2025-12-02T14:12:53Z</dcterms:modified>
  <cp:revision>5</cp:revision>
  <dc:subject/>
  <dc:title/>
</cp:coreProperties>
</file>