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_rels/header3.xml.rels" ContentType="application/vnd.openxmlformats-package.relationships+xml"/>
  <Override PartName="/word/footer5.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settings.xml" ContentType="application/vnd.openxmlformats-officedocument.wordprocessingml.settings+xml"/>
  <Override PartName="/word/footer1.xml" ContentType="application/vnd.openxmlformats-officedocument.wordprocessingml.footer+xml"/>
  <Override PartName="/word/numbering.xml" ContentType="application/vnd.openxmlformats-officedocument.wordprocessingml.numbering+xml"/>
  <Override PartName="/word/document.xml" ContentType="application/vnd.openxmlformats-officedocument.wordprocessingml.document.main+xml"/>
  <Override PartName="/word/header2.xml" ContentType="application/vnd.openxmlformats-officedocument.wordprocessingml.header+xml"/>
  <Override PartName="/word/media/image1.png" ContentType="image/png"/>
  <Override PartName="/word/fontTable.xml" ContentType="application/vnd.openxmlformats-officedocument.wordprocessingml.fontTable+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tulogeneral"/>
        <w:spacing w:before="0" w:after="0"/>
        <w:ind w:left="0" w:hanging="0"/>
        <w:jc w:val="center"/>
        <w:rPr>
          <w:rFonts w:ascii="Times New Roman" w:hAnsi="Times New Roman"/>
          <w:b w:val="false"/>
          <w:b w:val="false"/>
          <w:bCs w:val="false"/>
          <w:sz w:val="44"/>
          <w:szCs w:val="44"/>
        </w:rPr>
      </w:pPr>
      <w:r>
        <w:rPr>
          <w:rFonts w:ascii="Times New Roman" w:hAnsi="Times New Roman"/>
          <w:b w:val="false"/>
          <w:bCs w:val="false"/>
          <w:sz w:val="44"/>
          <w:szCs w:val="44"/>
        </w:rPr>
        <w:t>Espacios de innovación social en comunidades indigenas: Una aproximación desde la metodología STEAM y la Economía Social y Solidaria</w:t>
      </w:r>
      <w:bookmarkStart w:id="0" w:name="OLE_LINK6"/>
      <w:bookmarkStart w:id="1" w:name="OLE_LINK5"/>
      <w:bookmarkEnd w:id="0"/>
      <w:bookmarkEnd w:id="1"/>
    </w:p>
    <w:p>
      <w:pPr>
        <w:pStyle w:val="Normal"/>
        <w:ind w:left="118" w:right="115" w:hanging="0"/>
        <w:jc w:val="both"/>
        <w:rPr>
          <w:rFonts w:ascii="Times New Roman" w:hAnsi="Times New Roman"/>
          <w:color w:val="000000"/>
          <w:sz w:val="20"/>
          <w:szCs w:val="20"/>
        </w:rPr>
      </w:pPr>
      <w:r>
        <w:rPr>
          <w:rFonts w:ascii="Times New Roman" w:hAnsi="Times New Roman"/>
          <w:color w:val="000000"/>
          <w:sz w:val="20"/>
          <w:szCs w:val="20"/>
        </w:rPr>
      </w:r>
    </w:p>
    <w:p>
      <w:pPr>
        <w:pStyle w:val="Textopreformateado"/>
        <w:ind w:right="115" w:hanging="0"/>
        <w:jc w:val="center"/>
        <w:rPr>
          <w:sz w:val="36"/>
          <w:szCs w:val="36"/>
        </w:rPr>
      </w:pPr>
      <w:r>
        <w:rPr>
          <w:rFonts w:ascii="Times New Roman" w:hAnsi="Times New Roman"/>
          <w:color w:val="000000"/>
          <w:sz w:val="36"/>
          <w:szCs w:val="36"/>
          <w:lang w:val="en-US"/>
        </w:rPr>
        <w:t>Spaces for social innovation in indigenous communities: An approach from the STEAM methodology and the Social and Solidarity Economy</w:t>
      </w:r>
    </w:p>
    <w:p>
      <w:pPr>
        <w:pStyle w:val="Normal"/>
        <w:ind w:right="115" w:hanging="0"/>
        <w:jc w:val="both"/>
        <w:rPr>
          <w:rFonts w:ascii="Times New Roman" w:hAnsi="Times New Roman"/>
          <w:color w:val="000000"/>
          <w:sz w:val="20"/>
          <w:szCs w:val="20"/>
          <w:lang w:val="en-US"/>
        </w:rPr>
      </w:pPr>
      <w:r>
        <w:rPr>
          <w:rFonts w:ascii="Times New Roman" w:hAnsi="Times New Roman"/>
          <w:color w:val="000000"/>
          <w:sz w:val="20"/>
          <w:szCs w:val="20"/>
          <w:lang w:val="en-US"/>
        </w:rPr>
      </w:r>
    </w:p>
    <w:p>
      <w:pPr>
        <w:pStyle w:val="Normal"/>
        <w:ind w:right="115" w:hanging="0"/>
        <w:jc w:val="center"/>
        <w:rPr>
          <w:rFonts w:ascii="Times New Roman" w:hAnsi="Times New Roman"/>
          <w:color w:val="000000"/>
        </w:rPr>
      </w:pPr>
      <w:r>
        <w:rPr>
          <w:rFonts w:ascii="Times New Roman" w:hAnsi="Times New Roman"/>
          <w:color w:val="000000"/>
        </w:rPr>
        <w:t>Glendy Marisol Burgos-Gonzalez</w:t>
      </w:r>
      <w:r>
        <w:rPr>
          <w:rFonts w:ascii="Times New Roman" w:hAnsi="Times New Roman"/>
          <w:color w:val="000000"/>
          <w:vertAlign w:val="superscript"/>
        </w:rPr>
        <w:t>1</w:t>
      </w:r>
      <w:r>
        <w:rPr>
          <w:rFonts w:ascii="Times New Roman" w:hAnsi="Times New Roman"/>
          <w:color w:val="000000"/>
        </w:rPr>
        <w:t>, Fabian Russell Ceballos-Hernández</w:t>
      </w:r>
      <w:r>
        <w:rPr>
          <w:rFonts w:ascii="Times New Roman" w:hAnsi="Times New Roman"/>
          <w:color w:val="000000"/>
          <w:vertAlign w:val="superscript"/>
        </w:rPr>
        <w:t>2*</w:t>
      </w:r>
      <w:r>
        <w:rPr>
          <w:rFonts w:ascii="Times New Roman" w:hAnsi="Times New Roman"/>
          <w:color w:val="000000"/>
        </w:rPr>
        <w:t xml:space="preserve"> y Cintia Arely May-Cen</w:t>
      </w:r>
      <w:r>
        <w:rPr>
          <w:rFonts w:ascii="Times New Roman" w:hAnsi="Times New Roman"/>
          <w:color w:val="000000"/>
          <w:vertAlign w:val="superscript"/>
        </w:rPr>
        <w:t>1</w:t>
      </w:r>
      <w:r>
        <w:rPr>
          <w:rFonts w:ascii="Times New Roman" w:hAnsi="Times New Roman"/>
          <w:color w:val="000000"/>
        </w:rPr>
        <w:t xml:space="preserve"> </w:t>
      </w:r>
    </w:p>
    <w:p>
      <w:pPr>
        <w:pStyle w:val="Normal"/>
        <w:ind w:right="115" w:hanging="0"/>
        <w:jc w:val="center"/>
        <w:rPr>
          <w:sz w:val="20"/>
          <w:szCs w:val="20"/>
        </w:rPr>
      </w:pPr>
      <w:r>
        <w:rPr>
          <w:sz w:val="20"/>
          <w:szCs w:val="20"/>
        </w:rPr>
      </w:r>
    </w:p>
    <w:p>
      <w:pPr>
        <w:pStyle w:val="Normal"/>
        <w:ind w:right="115" w:hanging="0"/>
        <w:jc w:val="center"/>
        <w:rPr>
          <w:i/>
          <w:i/>
          <w:iCs/>
        </w:rPr>
      </w:pPr>
      <w:r>
        <w:rPr>
          <w:rFonts w:ascii="Times New Roman" w:hAnsi="Times New Roman"/>
          <w:i/>
          <w:iCs/>
          <w:color w:val="000000"/>
          <w:vertAlign w:val="superscript"/>
        </w:rPr>
        <w:t>1</w:t>
      </w:r>
      <w:r>
        <w:rPr>
          <w:rFonts w:ascii="Times New Roman" w:hAnsi="Times New Roman"/>
          <w:i/>
          <w:iCs/>
          <w:color w:val="000000"/>
        </w:rPr>
        <w:t>Tecnológio Nacional de México, Instituto Tecnológico Superior Progreso, Boulevard Tecnológico de Progreso x 62 SN, CP 97320, Progreso, Yucatán, México.</w:t>
      </w:r>
    </w:p>
    <w:p>
      <w:pPr>
        <w:pStyle w:val="Normal"/>
        <w:ind w:right="115" w:hanging="0"/>
        <w:jc w:val="center"/>
        <w:rPr>
          <w:i/>
          <w:i/>
          <w:iCs/>
          <w:sz w:val="20"/>
          <w:szCs w:val="20"/>
        </w:rPr>
      </w:pPr>
      <w:r>
        <w:rPr>
          <w:i/>
          <w:iCs/>
          <w:sz w:val="20"/>
          <w:szCs w:val="20"/>
        </w:rPr>
      </w:r>
    </w:p>
    <w:p>
      <w:pPr>
        <w:pStyle w:val="Normal"/>
        <w:ind w:right="115" w:hanging="0"/>
        <w:jc w:val="center"/>
        <w:rPr>
          <w:i/>
          <w:i/>
          <w:iCs/>
        </w:rPr>
      </w:pPr>
      <w:r>
        <w:rPr>
          <w:rFonts w:ascii="Times New Roman" w:hAnsi="Times New Roman"/>
          <w:i/>
          <w:iCs/>
          <w:color w:val="000000"/>
          <w:vertAlign w:val="superscript"/>
        </w:rPr>
        <w:t>2</w:t>
      </w:r>
      <w:r>
        <w:rPr>
          <w:rFonts w:ascii="Times New Roman" w:hAnsi="Times New Roman"/>
          <w:i/>
          <w:iCs/>
          <w:color w:val="000000"/>
        </w:rPr>
        <w:t>Tecnológio Nacional de México, Instituto Tecnológico de Mérida, C. 10, Colonia Plan de Ayala, CP 97118, Mérida, Yucatán, México.</w:t>
      </w:r>
    </w:p>
    <w:p>
      <w:pPr>
        <w:pStyle w:val="Normal"/>
        <w:ind w:right="115" w:hanging="0"/>
        <w:jc w:val="center"/>
        <w:rPr>
          <w:rFonts w:ascii="Times New Roman" w:hAnsi="Times New Roman"/>
          <w:i/>
          <w:i/>
          <w:iCs/>
          <w:sz w:val="20"/>
          <w:szCs w:val="20"/>
        </w:rPr>
      </w:pPr>
      <w:r>
        <w:rPr>
          <w:rFonts w:ascii="Times New Roman" w:hAnsi="Times New Roman"/>
          <w:i/>
          <w:iCs/>
          <w:sz w:val="20"/>
          <w:szCs w:val="20"/>
        </w:rPr>
      </w:r>
    </w:p>
    <w:p>
      <w:pPr>
        <w:pStyle w:val="Normal"/>
        <w:ind w:right="115" w:hanging="0"/>
        <w:jc w:val="center"/>
        <w:rPr>
          <w:rFonts w:ascii="Times New Roman" w:hAnsi="Times New Roman"/>
          <w:i/>
          <w:i/>
          <w:iCs/>
          <w:sz w:val="20"/>
          <w:szCs w:val="20"/>
        </w:rPr>
      </w:pPr>
      <w:r>
        <w:rPr>
          <w:rFonts w:ascii="Times New Roman" w:hAnsi="Times New Roman"/>
          <w:i/>
          <w:iCs/>
          <w:sz w:val="20"/>
          <w:szCs w:val="20"/>
        </w:rPr>
        <w:t>*</w:t>
      </w:r>
      <w:r>
        <w:rPr>
          <w:rFonts w:ascii="Times New Roman" w:hAnsi="Times New Roman"/>
          <w:i/>
          <w:iCs/>
          <w:sz w:val="20"/>
          <w:szCs w:val="20"/>
        </w:rPr>
        <w:t>Corresponding author:</w:t>
      </w:r>
    </w:p>
    <w:p>
      <w:pPr>
        <w:pStyle w:val="Normal"/>
        <w:ind w:right="115" w:hanging="0"/>
        <w:jc w:val="center"/>
        <w:rPr>
          <w:rFonts w:ascii="Times New Roman" w:hAnsi="Times New Roman"/>
          <w:i/>
          <w:i/>
          <w:iCs/>
          <w:sz w:val="20"/>
          <w:szCs w:val="20"/>
        </w:rPr>
      </w:pPr>
      <w:r>
        <w:rPr>
          <w:rFonts w:ascii="Times New Roman" w:hAnsi="Times New Roman"/>
          <w:i/>
          <w:iCs/>
          <w:sz w:val="20"/>
          <w:szCs w:val="20"/>
        </w:rPr>
        <w:t>fabian.ch@merida.tecnm.mx</w:t>
      </w:r>
    </w:p>
    <w:p>
      <w:pPr>
        <w:pStyle w:val="Normal"/>
        <w:rPr>
          <w:rFonts w:ascii="Times New Roman" w:hAnsi="Times New Roman"/>
          <w:color w:val="000000"/>
          <w:sz w:val="20"/>
          <w:szCs w:val="20"/>
        </w:rPr>
      </w:pPr>
      <w:r>
        <w:rPr>
          <w:rFonts w:ascii="Times New Roman" w:hAnsi="Times New Roman"/>
          <w:color w:val="000000"/>
          <w:sz w:val="20"/>
          <w:szCs w:val="20"/>
        </w:rPr>
      </w:r>
    </w:p>
    <w:p>
      <w:pPr>
        <w:sectPr>
          <w:headerReference w:type="even" r:id="rId2"/>
          <w:headerReference w:type="default" r:id="rId3"/>
          <w:headerReference w:type="first" r:id="rId4"/>
          <w:footerReference w:type="even" r:id="rId5"/>
          <w:footerReference w:type="default" r:id="rId6"/>
          <w:footerReference w:type="first" r:id="rId7"/>
          <w:type w:val="nextPage"/>
          <w:pgSz w:w="11906" w:h="16838"/>
          <w:pgMar w:left="1134" w:right="1134" w:header="1134" w:top="1601" w:footer="1134" w:bottom="1729" w:gutter="0"/>
          <w:pgNumType w:start="1" w:fmt="decimal"/>
          <w:formProt w:val="false"/>
          <w:titlePg/>
          <w:textDirection w:val="lrTb"/>
          <w:docGrid w:type="default" w:linePitch="600" w:charSpace="32768"/>
        </w:sectPr>
      </w:pPr>
    </w:p>
    <w:p>
      <w:pPr>
        <w:pStyle w:val="Ttulo1"/>
        <w:widowControl w:val="false"/>
        <w:spacing w:before="0" w:after="0"/>
        <w:ind w:left="0" w:right="0" w:hanging="0"/>
        <w:jc w:val="both"/>
        <w:rPr>
          <w:rFonts w:ascii="Times New Roman" w:hAnsi="Times New Roman"/>
          <w:b w:val="false"/>
          <w:b w:val="false"/>
        </w:rPr>
      </w:pPr>
      <w:r>
        <w:rPr>
          <w:rFonts w:ascii="Times New Roman" w:hAnsi="Times New Roman"/>
        </w:rPr>
        <w:t xml:space="preserve">Resumen. </w:t>
      </w:r>
      <w:bookmarkStart w:id="2" w:name="OLE_LINK2"/>
      <w:bookmarkStart w:id="3" w:name="OLE_LINK1"/>
      <w:r>
        <w:rPr>
          <w:rFonts w:ascii="Times New Roman" w:hAnsi="Times New Roman"/>
          <w:bCs/>
          <w:sz w:val="20"/>
          <w:szCs w:val="20"/>
        </w:rPr>
        <w:t>La educación, al ser un pilar para el desarrollo de una nación, se considera prioritaria, tanto en la Agenda 2030 de la ONU a través de la ODS4 como a nivel nacional, siendo eje en los Plan de Desarrollo y como uno de las 10 iniciativas prioritarias del CONAHCYT a través de los Programas Estratégicos Nacionales (PRONACES). Por lo cual, surge este proyecto cuyo objetivo es la construcción de un espacio STEAM; para el fomento de ciencia, tecnología e innovación social, en alumnos de la telesecundaria y telebachillerato comunitario, con el fin de fortalecer las actividades de la NODESS: Red de Conocimiento Sustentable de la comisaría de Dzityá en Mérida, Yucatán. Se concluye, que la aportación técnica y científicas de los actores involucrados puede ayudar a desarrollar competencias que tendrá un impacto positivo en la siguientes generaciones de los</w:t>
      </w:r>
      <w:r>
        <w:rPr>
          <w:rFonts w:ascii="Times New Roman" w:hAnsi="Times New Roman"/>
          <w:b/>
          <w:bCs/>
          <w:sz w:val="20"/>
          <w:szCs w:val="20"/>
        </w:rPr>
        <w:t xml:space="preserve"> habitantes más jovenes del dicha comunidad.</w:t>
      </w:r>
      <w:bookmarkEnd w:id="2"/>
      <w:bookmarkEnd w:id="3"/>
    </w:p>
    <w:p>
      <w:pPr>
        <w:pStyle w:val="Normal"/>
        <w:jc w:val="both"/>
        <w:rPr>
          <w:rFonts w:ascii="Times New Roman" w:hAnsi="Times New Roman"/>
          <w:b/>
          <w:b/>
          <w:bCs/>
          <w:sz w:val="20"/>
          <w:szCs w:val="20"/>
        </w:rPr>
      </w:pPr>
      <w:r>
        <w:rPr>
          <w:rFonts w:ascii="Times New Roman" w:hAnsi="Times New Roman"/>
          <w:b/>
          <w:bCs/>
          <w:sz w:val="20"/>
          <w:szCs w:val="20"/>
        </w:rPr>
      </w:r>
    </w:p>
    <w:p>
      <w:pPr>
        <w:pStyle w:val="Normal"/>
        <w:jc w:val="both"/>
        <w:rPr>
          <w:b/>
          <w:b/>
          <w:bCs/>
        </w:rPr>
      </w:pPr>
      <w:r>
        <w:rPr>
          <w:rFonts w:ascii="Times New Roman" w:hAnsi="Times New Roman"/>
          <w:b/>
          <w:bCs/>
          <w:sz w:val="20"/>
          <w:szCs w:val="20"/>
        </w:rPr>
        <w:t xml:space="preserve">Palabras </w:t>
      </w:r>
      <w:r>
        <w:rPr>
          <w:rFonts w:ascii="Times New Roman" w:hAnsi="Times New Roman"/>
          <w:b/>
          <w:bCs/>
          <w:sz w:val="20"/>
          <w:szCs w:val="20"/>
        </w:rPr>
        <w:t>c</w:t>
      </w:r>
      <w:r>
        <w:rPr>
          <w:rFonts w:ascii="Times New Roman" w:hAnsi="Times New Roman"/>
          <w:b/>
          <w:bCs/>
          <w:sz w:val="20"/>
          <w:szCs w:val="20"/>
        </w:rPr>
        <w:t xml:space="preserve">lave: </w:t>
      </w:r>
      <w:bookmarkStart w:id="4" w:name="OLE_LINK4"/>
      <w:bookmarkStart w:id="5" w:name="OLE_LINK3"/>
      <w:r>
        <w:rPr>
          <w:rFonts w:ascii="Times New Roman" w:hAnsi="Times New Roman"/>
          <w:b/>
          <w:bCs/>
          <w:sz w:val="20"/>
          <w:szCs w:val="20"/>
        </w:rPr>
        <w:t>Espacio STEAM, innovación social NODESS, transdisciplina</w:t>
      </w:r>
      <w:bookmarkEnd w:id="4"/>
      <w:bookmarkEnd w:id="5"/>
      <w:r>
        <w:rPr>
          <w:rFonts w:ascii="Times New Roman" w:hAnsi="Times New Roman"/>
          <w:b/>
          <w:bCs/>
          <w:sz w:val="20"/>
          <w:szCs w:val="20"/>
        </w:rPr>
        <w:t>.</w:t>
      </w:r>
    </w:p>
    <w:p>
      <w:pPr>
        <w:pStyle w:val="Normal"/>
        <w:jc w:val="both"/>
        <w:rPr>
          <w:rFonts w:ascii="Times New Roman" w:hAnsi="Times New Roman"/>
          <w:b/>
          <w:b/>
          <w:bCs/>
          <w:color w:val="000000"/>
          <w:sz w:val="20"/>
          <w:szCs w:val="20"/>
        </w:rPr>
      </w:pPr>
      <w:r>
        <w:rPr>
          <w:rFonts w:ascii="Times New Roman" w:hAnsi="Times New Roman"/>
          <w:b/>
          <w:bCs/>
          <w:color w:val="000000"/>
          <w:sz w:val="20"/>
          <w:szCs w:val="20"/>
        </w:rPr>
      </w:r>
    </w:p>
    <w:p>
      <w:pPr>
        <w:pStyle w:val="Ttulo1"/>
        <w:widowControl w:val="false"/>
        <w:spacing w:before="0" w:after="0"/>
        <w:ind w:left="0" w:right="0" w:hanging="0"/>
        <w:jc w:val="both"/>
        <w:rPr>
          <w:b/>
          <w:b/>
          <w:bCs/>
        </w:rPr>
      </w:pPr>
      <w:r>
        <w:rPr>
          <w:rFonts w:ascii="Times New Roman" w:hAnsi="Times New Roman"/>
          <w:b/>
          <w:bCs/>
        </w:rPr>
        <w:t xml:space="preserve">Abstract. </w:t>
      </w:r>
      <w:r>
        <w:rPr>
          <w:rFonts w:ascii="Times New Roman" w:hAnsi="Times New Roman"/>
          <w:b/>
          <w:bCs/>
          <w:sz w:val="20"/>
          <w:szCs w:val="20"/>
          <w:lang w:val="en-US"/>
        </w:rPr>
        <w:t>Education, being a pillar for the development of a nation, is considered a priority, both in the 2030 Agenda of the UN through the SDG4 and at the national level, being an axis in the Development Plan and as one of the 10 priority initiatives of CONAHCYT through the National Strategic Programs (PRONACES). Therefore, this project arises whose objective is the construction of a STEAM space; for the promotion of science, technology and social innovation, in students of the telesecondary and community telebaccaureate, in order to strengthen the activities of the NODESS: Sustainable Knowledge Network of the Dzityá police station in Mérida, Yucatan. It is concluded that the technical and scientific contribution of the involved actors can help develop skills that will have a positive impact on the next generations of the youngest inhabitants of that community.</w:t>
      </w:r>
    </w:p>
    <w:p>
      <w:pPr>
        <w:pStyle w:val="Normal"/>
        <w:jc w:val="both"/>
        <w:rPr>
          <w:b/>
          <w:b/>
          <w:bCs/>
        </w:rPr>
      </w:pPr>
      <w:r>
        <w:rPr>
          <w:b/>
          <w:bCs/>
        </w:rPr>
      </w:r>
    </w:p>
    <w:p>
      <w:pPr>
        <w:pStyle w:val="Normal"/>
        <w:jc w:val="both"/>
        <w:rPr>
          <w:b/>
          <w:b/>
          <w:bCs/>
        </w:rPr>
      </w:pPr>
      <w:r>
        <w:rPr>
          <w:rFonts w:ascii="Times New Roman" w:hAnsi="Times New Roman"/>
          <w:b/>
          <w:bCs/>
          <w:sz w:val="20"/>
          <w:szCs w:val="20"/>
          <w:lang w:val="en-US"/>
        </w:rPr>
        <w:t>Keywords: STEAM space, social innovation NODESS, transdiscipline.</w:t>
      </w:r>
    </w:p>
    <w:p>
      <w:pPr>
        <w:pStyle w:val="Normal"/>
        <w:ind w:left="118" w:hanging="0"/>
        <w:rPr>
          <w:rFonts w:ascii="Times New Roman" w:hAnsi="Times New Roman"/>
          <w:sz w:val="20"/>
          <w:szCs w:val="20"/>
          <w:lang w:val="en-US"/>
        </w:rPr>
      </w:pPr>
      <w:r>
        <w:rPr>
          <w:rFonts w:ascii="Times New Roman" w:hAnsi="Times New Roman"/>
          <w:sz w:val="20"/>
          <w:szCs w:val="20"/>
          <w:lang w:val="en-US"/>
        </w:rPr>
      </w:r>
    </w:p>
    <w:p>
      <w:pPr>
        <w:pStyle w:val="Ttulo1"/>
        <w:widowControl w:val="false"/>
        <w:spacing w:before="0" w:after="0"/>
        <w:ind w:left="0" w:right="0" w:hanging="0"/>
        <w:jc w:val="left"/>
        <w:rPr>
          <w:rFonts w:ascii="Times New Roman" w:hAnsi="Times New Roman"/>
        </w:rPr>
      </w:pPr>
      <w:bookmarkStart w:id="6" w:name="_heading=h.97e7t0ql9gj5"/>
      <w:bookmarkEnd w:id="6"/>
      <w:r>
        <w:rPr>
          <w:rFonts w:ascii="Times New Roman" w:hAnsi="Times New Roman"/>
        </w:rPr>
        <w:t>I. INTRODUCCIÓN</w:t>
      </w:r>
    </w:p>
    <w:p>
      <w:pPr>
        <w:pStyle w:val="LOnormal"/>
        <w:ind w:right="124" w:hanging="0"/>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t>La educación es un pilar importante en el desarrollo de una nación y tiene una correlación directa con la economía, tal y como se muestra en último reporte de la UNESCO del 2023, en materia de ciencia y tecnología. No obstante, también es la encargada del desarrollo habilidades y competencias de la población (RYCYT, 2023).</w:t>
      </w:r>
    </w:p>
    <w:p>
      <w:pPr>
        <w:pStyle w:val="LOnormal"/>
        <w:ind w:right="124" w:hanging="0"/>
        <w:jc w:val="both"/>
        <w:rPr>
          <w:rFonts w:ascii="Times New Roman" w:hAnsi="Times New Roman" w:eastAsia="Times New Roman" w:cs="Times New Roman"/>
          <w:color w:val="000000"/>
          <w:sz w:val="20"/>
          <w:szCs w:val="20"/>
        </w:rPr>
      </w:pPr>
      <w:r>
        <w:rPr/>
      </w:r>
    </w:p>
    <w:p>
      <w:pPr>
        <w:pStyle w:val="LOnormal"/>
        <w:ind w:right="124" w:hanging="0"/>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t xml:space="preserve">Sin perder de vista que, también puede ser un espacio para el fomento de diferentes enfoques, como la educación ambiental, la interculturalidad, la solidaridad, los buenos vivires, entre otros. </w:t>
      </w:r>
    </w:p>
    <w:p>
      <w:pPr>
        <w:pStyle w:val="LOnormal"/>
        <w:ind w:right="124" w:hanging="0"/>
        <w:jc w:val="both"/>
        <w:rPr>
          <w:rFonts w:ascii="Times New Roman" w:hAnsi="Times New Roman" w:eastAsia="Times New Roman" w:cs="Times New Roman"/>
          <w:color w:val="000000"/>
          <w:sz w:val="20"/>
          <w:szCs w:val="20"/>
        </w:rPr>
      </w:pPr>
      <w:r>
        <w:rPr/>
      </w:r>
    </w:p>
    <w:p>
      <w:pPr>
        <w:pStyle w:val="LOnormal"/>
        <w:ind w:right="124" w:hanging="0"/>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t xml:space="preserve">No obstante, unos de los efectos del modelo económico actual, es el deterioro del derecho al acceso a la educación para las personas más vulnerables en situación de pobreza, que regularmente se encuentran en las periferias de las grandes ciudades o en su caso en comisarias o comunidades originarias que han sido absorbidas por el crecimiento urbano de las metrópolis (Muñoz, 2001; Navarrete y Ocaña, 2022). </w:t>
      </w:r>
    </w:p>
    <w:p>
      <w:pPr>
        <w:pStyle w:val="LOnormal"/>
        <w:ind w:right="124" w:hanging="0"/>
        <w:jc w:val="both"/>
        <w:rPr>
          <w:rFonts w:ascii="Times New Roman" w:hAnsi="Times New Roman" w:eastAsia="Times New Roman" w:cs="Times New Roman"/>
          <w:color w:val="000000"/>
          <w:sz w:val="20"/>
          <w:szCs w:val="20"/>
        </w:rPr>
      </w:pPr>
      <w:r>
        <w:rPr/>
      </w:r>
    </w:p>
    <w:p>
      <w:pPr>
        <w:pStyle w:val="LOnormal"/>
        <w:ind w:right="124" w:hanging="0"/>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t>Por tal motivo, quienes sufren más la falta de acceso a una educación de calidad regularmente son los mas jovenes que viven en estas comunidades y que quedan limitados al acceso de la educación media superior y superior (García y Oliva, 2012, Gracia y Horbath, 2019). Este fenómeno no es aislado a Mexico, sino, que pasa otras partes del mundo; por lo que, la ONU a través de l agenda 2030  ha determinado que la ODS 4 se enfoque en promover una educación de calidad. En México esto ha sido una prioridad y se ha plasmado a través de los Planes de Desarrollo de diferentes administraciones y hoy actualmente se encuentra también como uno de los ejes principales de los Programas Nacionales Estratégicos (PRONACES, 2024).</w:t>
      </w:r>
    </w:p>
    <w:p>
      <w:pPr>
        <w:pStyle w:val="LOnormal"/>
        <w:ind w:right="124" w:hanging="0"/>
        <w:jc w:val="both"/>
        <w:rPr>
          <w:rFonts w:ascii="Times New Roman" w:hAnsi="Times New Roman" w:eastAsia="Times New Roman" w:cs="Times New Roman"/>
          <w:color w:val="000000"/>
          <w:sz w:val="20"/>
          <w:szCs w:val="20"/>
        </w:rPr>
      </w:pPr>
      <w:r>
        <w:rPr/>
      </w:r>
    </w:p>
    <w:p>
      <w:pPr>
        <w:pStyle w:val="LOnormal"/>
        <w:ind w:right="124" w:hanging="0"/>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t xml:space="preserve">Desde la perspectiva de la educación, dada su importancia y relevancia para la sociedad, esta investigación sustenta un proyecto, que, tiene la finalidad de construir un espacio con la comunidad donde se puedan realizar actividades para un desarrollo comunitario a través del fortalecimiento de habilidades y competencias tecno-científicas en los alumnos de la telesecundaria y del telebachillerato comunitario de la comisaría de Dzityá en Mérida, Yucatán. </w:t>
      </w:r>
    </w:p>
    <w:p>
      <w:pPr>
        <w:pStyle w:val="LOnormal"/>
        <w:ind w:right="124" w:hanging="0"/>
        <w:jc w:val="both"/>
        <w:rPr>
          <w:rFonts w:ascii="Times New Roman" w:hAnsi="Times New Roman" w:eastAsia="Times New Roman" w:cs="Times New Roman"/>
          <w:color w:val="000000"/>
          <w:sz w:val="20"/>
          <w:szCs w:val="20"/>
        </w:rPr>
      </w:pPr>
      <w:r>
        <w:rPr/>
      </w:r>
    </w:p>
    <w:p>
      <w:pPr>
        <w:pStyle w:val="LOnormal"/>
        <w:ind w:right="124" w:hanging="0"/>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t>Por tanto un enfoque de estos espacios hacia el desarrollo de habilidades blandas como el pensamiento matemático, el pensamiento crítico, entre otros, pueden ayudar a fomentar una vocación científica, para otorgarles una mayor oportunidad para acceder a la educación superior, como la que ofrece el TECNM/ IT de Mérida a través del desarrollo de ecosistemas de economía social y solidaria para el diseño de soluciones territoriales y construir procesos de innovación social, que ayuden a implementar soluciones colectivas, que son una alternativa para lograr disminuir la exclusión social y a revalorizar la identidad cultural como propone la INAES (2023).</w:t>
      </w:r>
    </w:p>
    <w:p>
      <w:pPr>
        <w:pStyle w:val="LOnormal"/>
        <w:ind w:right="124" w:hanging="0"/>
        <w:jc w:val="both"/>
        <w:rPr>
          <w:rFonts w:ascii="Times New Roman" w:hAnsi="Times New Roman" w:eastAsia="Times New Roman" w:cs="Times New Roman"/>
          <w:color w:val="000000"/>
          <w:sz w:val="20"/>
          <w:szCs w:val="20"/>
        </w:rPr>
      </w:pPr>
      <w:r>
        <w:rPr/>
      </w:r>
    </w:p>
    <w:p>
      <w:pPr>
        <w:pStyle w:val="LOnormal"/>
        <w:ind w:right="124" w:hanging="0"/>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t>La construcción de este espacio comunitario educativo puede ser una realidad por la NODESS que existe dentro del marco del Instituto Tecnológico de Mérida con la comisaria de Dzityá y la asociación de artesanos de madera de Dzityá, por ello se propone el siguiente objetivo: Desarrollar un espacio STEAM para ciencia, tecnología, innovación social y ODS 4 para fortalecer las actividad de la NODESS: Red de Conocimiento Sustentable de la comisaría de Dzityá en Mérida, Yucatán</w:t>
      </w:r>
    </w:p>
    <w:p>
      <w:pPr>
        <w:pStyle w:val="LOnormal"/>
        <w:spacing w:lineRule="auto" w:line="240"/>
        <w:ind w:right="124" w:hanging="0"/>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p>
      <w:pPr>
        <w:pStyle w:val="LOnormal"/>
        <w:spacing w:lineRule="auto" w:line="240"/>
        <w:ind w:right="124" w:hanging="0"/>
        <w:jc w:val="both"/>
        <w:rPr>
          <w:b w:val="false"/>
          <w:b w:val="false"/>
          <w:bCs w:val="false"/>
          <w:i/>
          <w:i/>
          <w:iCs/>
        </w:rPr>
      </w:pPr>
      <w:r>
        <w:rPr>
          <w:rFonts w:eastAsia="Times New Roman" w:cs="Times New Roman" w:ascii="Times New Roman" w:hAnsi="Times New Roman"/>
          <w:b w:val="false"/>
          <w:bCs w:val="false"/>
          <w:i/>
          <w:iCs/>
          <w:color w:val="000000"/>
          <w:sz w:val="20"/>
          <w:szCs w:val="20"/>
        </w:rPr>
        <w:t>A.</w:t>
      </w:r>
      <w:r>
        <w:rPr>
          <w:rFonts w:eastAsia="Times New Roman" w:cs="Times New Roman" w:ascii="Times New Roman" w:hAnsi="Times New Roman"/>
          <w:b w:val="false"/>
          <w:bCs w:val="false"/>
          <w:i/>
          <w:iCs/>
          <w:color w:val="000000"/>
          <w:sz w:val="20"/>
          <w:szCs w:val="20"/>
        </w:rPr>
        <w:t xml:space="preserve"> Revisión de literatura</w:t>
      </w:r>
    </w:p>
    <w:p>
      <w:pPr>
        <w:pStyle w:val="LOnormal"/>
        <w:ind w:right="124" w:hanging="0"/>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t xml:space="preserve">La economía social y solidaria (ESS) centra su atención en lograr una Justicia de reconocimiento, de las comunidades vulnerables, a través de su cultura liberadora busca emancipar a la comunidad, a través de innovación social basada en el la equidad, interculturalidad y la autodeterminación , siendo un soporte importante la educación contextual, intercultural y con un enfoque hacia el desarrollo comunitario y sustentable (INAES, 2023) . </w:t>
      </w:r>
    </w:p>
    <w:p>
      <w:pPr>
        <w:pStyle w:val="LOnormal"/>
        <w:ind w:right="124" w:hanging="0"/>
        <w:jc w:val="both"/>
        <w:rPr>
          <w:rFonts w:ascii="Times New Roman" w:hAnsi="Times New Roman" w:eastAsia="Times New Roman" w:cs="Times New Roman"/>
          <w:color w:val="000000"/>
          <w:sz w:val="20"/>
          <w:szCs w:val="20"/>
        </w:rPr>
      </w:pPr>
      <w:r>
        <w:rPr/>
      </w:r>
    </w:p>
    <w:p>
      <w:pPr>
        <w:pStyle w:val="LOnormal"/>
        <w:ind w:right="124" w:hanging="0"/>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t xml:space="preserve">Se busca que los principales protagonistas sean los integrantes de las comunidades, al ser ellos quienes conocen sus principales problemas y necesidades, los cuales están relacionados, principalmente, con educación, salud, actividades productivas, entre otros. La ESS, relata la importancia de la solidaridad a través de la </w:t>
      </w:r>
      <w:r>
        <w:rPr>
          <w:rFonts w:eastAsia="Times New Roman" w:cs="Times New Roman" w:ascii="Times New Roman" w:hAnsi="Times New Roman"/>
          <w:sz w:val="20"/>
          <w:szCs w:val="20"/>
        </w:rPr>
        <w:t>comunalidad</w:t>
      </w:r>
      <w:r>
        <w:rPr>
          <w:rFonts w:eastAsia="Times New Roman" w:cs="Times New Roman" w:ascii="Times New Roman" w:hAnsi="Times New Roman"/>
          <w:color w:val="000000"/>
          <w:sz w:val="20"/>
          <w:szCs w:val="20"/>
        </w:rPr>
        <w:t xml:space="preserve"> y puede ser aplicado en proyectos de cooperativismo. Sin embargo, se tiene que romper el paradigma del actual modelo de desarrollo, que individualiza, homogeneiza y descarta elementos de trabajo comunitario, por lo se deben buscar nuevas formas de trabajo, para este cooperativismo, desde una visión de los buenos vivires (Villalba-Eguiluz y Pérez-de-Mendiguren, 2019).</w:t>
      </w:r>
    </w:p>
    <w:p>
      <w:pPr>
        <w:pStyle w:val="LOnormal"/>
        <w:ind w:right="124" w:hanging="0"/>
        <w:jc w:val="both"/>
        <w:rPr>
          <w:rFonts w:ascii="Times New Roman" w:hAnsi="Times New Roman" w:eastAsia="Times New Roman" w:cs="Times New Roman"/>
          <w:color w:val="000000"/>
          <w:sz w:val="20"/>
          <w:szCs w:val="20"/>
        </w:rPr>
      </w:pPr>
      <w:r>
        <w:rPr/>
      </w:r>
    </w:p>
    <w:p>
      <w:pPr>
        <w:pStyle w:val="LOnormal"/>
        <w:ind w:right="124" w:hanging="0"/>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t>En gran medida la educación juega un papel importante en el soporte de las bases de la economía , por lo que trabajar con alumnos de nivel secundaria ayudaría a sentar bases de cooperativismo, educación ambiental y habilidades blandas y para la vida como el pensamiento matemático, pensamiento critico y trabajo en equipo intercultural y transdisciplinario; mismos que podrían ayudar para una formación de nivel universitario, logrando con esto la profesionalización de futuros proyectos relacionados con la ESS (Cáceres y  Barneix, 2021; Garino, 2022).</w:t>
      </w:r>
    </w:p>
    <w:p>
      <w:pPr>
        <w:pStyle w:val="LOnormal"/>
        <w:ind w:right="124" w:hanging="0"/>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p>
      <w:pPr>
        <w:pStyle w:val="LOnormal"/>
        <w:ind w:right="124" w:hanging="0"/>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t>En este sentido existen numerosos estudios acerca de la implementación de la educación STEAM y demuestran los avences en lograr el desarrollo de comeptencias y habilidades, pero también puede ser un espacio de inclusión, de trabajo comunitario y de diálogo intercultural, por lo que la implementación de actividades  relacionadas a esta metodología puede promover por un lado, un trabajo transdisciplinario entre los actores sociales involucrados como comunidad, academia gobiernos y diferentes OSC (Rivera, Novoa, Mamani., Huamán y Sevillano, 2024). Rivera et. al. (2024) indica que “Al invertir en Educación STEAM, podemos empoderar a las personas para que se adapten a los desafíos planteados por la Década de Acción, la Cuarta Revolución Tecnológica Industrial y las secuelas de la pandemia de COVID-19” (p.8).</w:t>
      </w:r>
    </w:p>
    <w:p>
      <w:pPr>
        <w:pStyle w:val="LOnormal"/>
        <w:ind w:right="124" w:hanging="0"/>
        <w:jc w:val="both"/>
        <w:rPr>
          <w:rFonts w:ascii="Times New Roman" w:hAnsi="Times New Roman" w:eastAsia="Times New Roman" w:cs="Times New Roman"/>
          <w:color w:val="000000"/>
          <w:sz w:val="20"/>
          <w:szCs w:val="20"/>
        </w:rPr>
      </w:pPr>
      <w:r>
        <w:rPr/>
      </w:r>
    </w:p>
    <w:p>
      <w:pPr>
        <w:pStyle w:val="LOnormal"/>
        <w:ind w:right="124" w:hanging="0"/>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t>En este sentido, centrar en el desarrollo de habilidades y espacio colectivos puede ayudar a mejorar  las habilidades obtenidas del sistema educativo, aportando valor para lograr mejorar el grado de escolaridad actual, por ello la metodología STEAM puede ser coadyuvante para el fortalecimiento de las habilidades descritas con anterioridad, ademas que construir un espacio comunitario  con esta metodología puede ayudar a la innovación social  a través de ciencia, tecnología  y artes ( Arteaga, I. H., Muñoz y Castañeda, 2018; Quintero, 2019; Veciana, 2022;Red educación y solidaridad, 2024). Promoviendo con estas actividades la aplicación de los objetivos de la ODS 4 de Educación de calidad y promoviendo proyectos que sean parte de los PRONACES.</w:t>
      </w:r>
    </w:p>
    <w:p>
      <w:pPr>
        <w:pStyle w:val="LOnormal"/>
        <w:ind w:right="124" w:hanging="0"/>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p>
      <w:pPr>
        <w:pStyle w:val="LOnormal"/>
        <w:ind w:right="124" w:hanging="0"/>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p>
      <w:pPr>
        <w:pStyle w:val="LOnormal"/>
        <w:jc w:val="both"/>
        <w:rPr/>
      </w:pPr>
      <w:r>
        <w:rPr>
          <w:rFonts w:eastAsia="Times New Roman" w:cs="Times New Roman" w:ascii="Times New Roman" w:hAnsi="Times New Roman"/>
          <w:b/>
          <w:bCs/>
          <w:sz w:val="20"/>
          <w:szCs w:val="20"/>
        </w:rPr>
        <w:t>II. METODOLOGÍA</w:t>
      </w:r>
    </w:p>
    <w:p>
      <w:pPr>
        <w:pStyle w:val="LOnormal"/>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A partir de una revisión de literatura para encontrar estudios relacionados a espacios de innovación social, espacios maker, steam, transdisciplinarios y de economía social y solidaria. Se aplicaron técnicas de la Investigación acción participativa transdisciplinaria como mesa de diálogos y entrevistas con actores sociales de la comunidad, academia y de gobierno (Francés, Alaminos, Penalva y Santacreu, 2015, Merçon, 2022). Se pudo construir un proyecto  para la construcción un espacio transdisciplinario, participativo y comunitario de formación y desarrollo de habilidades y competencias para soluciones comunitirarias y territoriales.</w:t>
      </w:r>
    </w:p>
    <w:p>
      <w:pPr>
        <w:pStyle w:val="LOnormal"/>
        <w:jc w:val="both"/>
        <w:rPr/>
      </w:pPr>
      <w:r>
        <w:rPr/>
      </w:r>
    </w:p>
    <w:p>
      <w:pPr>
        <w:pStyle w:val="LOnormal"/>
        <w:jc w:val="both"/>
        <w:rPr>
          <w:b/>
          <w:b/>
          <w:bCs/>
        </w:rPr>
      </w:pPr>
      <w:r>
        <w:rPr>
          <w:rFonts w:eastAsia="Times New Roman" w:cs="Times New Roman" w:ascii="Times New Roman" w:hAnsi="Times New Roman"/>
          <w:b/>
          <w:bCs/>
          <w:sz w:val="20"/>
          <w:szCs w:val="20"/>
        </w:rPr>
        <w:t>III. RESULTADOS</w:t>
      </w:r>
    </w:p>
    <w:p>
      <w:pPr>
        <w:pStyle w:val="LOnormal"/>
        <w:ind w:hanging="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A continuación se presenta un diagnóstico y análisis de la problemática planteada de manera comunitaria y académica, para  explicar una propuesta de trabajo para la implementación del proyecto sugerido.</w:t>
      </w:r>
    </w:p>
    <w:p>
      <w:pPr>
        <w:pStyle w:val="LOnormal"/>
        <w:jc w:val="both"/>
        <w:rPr/>
      </w:pPr>
      <w:r>
        <w:rPr/>
      </w:r>
    </w:p>
    <w:p>
      <w:pPr>
        <w:pStyle w:val="LOnormal"/>
        <w:jc w:val="both"/>
        <w:rPr>
          <w:i/>
          <w:i/>
          <w:iCs/>
        </w:rPr>
      </w:pPr>
      <w:r>
        <w:rPr>
          <w:rFonts w:eastAsia="Times New Roman" w:cs="Times New Roman" w:ascii="Times New Roman" w:hAnsi="Times New Roman"/>
          <w:i/>
          <w:iCs/>
          <w:sz w:val="20"/>
          <w:szCs w:val="20"/>
        </w:rPr>
        <w:t>A.</w:t>
      </w:r>
      <w:r>
        <w:rPr>
          <w:rFonts w:eastAsia="Times New Roman" w:cs="Times New Roman" w:ascii="Times New Roman" w:hAnsi="Times New Roman"/>
          <w:i/>
          <w:iCs/>
          <w:sz w:val="20"/>
          <w:szCs w:val="20"/>
        </w:rPr>
        <w:t xml:space="preserve"> Diagnóstico</w:t>
      </w:r>
    </w:p>
    <w:p>
      <w:pPr>
        <w:pStyle w:val="LOnormal"/>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El desarrollo urbano de la ciudad de Mérida en Yucatán a ha tenido una rápida expansión en los últimos años, esto principalmente al ser considerada una de las ciudades más seguras a nivel nacional y de las más reconocidas a nivel mundial; lo que ha provocado una migración importante y con ello, un crecimiento inmobiliario exponencial provocando diferentes impactos en las comisarías de las periferias de dicha ciudad desde la construcción de edificios, residencias hasta el encarecimiento de los productos y servicios de la zona, provocando una vulneración a las comisarias periféricas de la ciudad de Mérida en Yucatán y con ellos problemas como la perdida de la identidad cultural, espacios de convivencias, deforestación, entre otros (Gracia y Horbath, 2019) . Entre 1985 y el 2020 se autorizaron cerca de 7310 hectáreas para la urbanización y de desarrollo inmobiliario principalmente para casa habitación (Dirección de Desarrollo Urbano, 2021).</w:t>
      </w:r>
    </w:p>
    <w:p>
      <w:pPr>
        <w:pStyle w:val="LOnormal"/>
        <w:jc w:val="both"/>
        <w:rPr>
          <w:rFonts w:ascii="Times New Roman" w:hAnsi="Times New Roman" w:eastAsia="Times New Roman" w:cs="Times New Roman"/>
          <w:sz w:val="20"/>
          <w:szCs w:val="20"/>
        </w:rPr>
      </w:pPr>
      <w:r>
        <w:rPr/>
      </w:r>
    </w:p>
    <w:p>
      <w:pPr>
        <w:pStyle w:val="LOnormal"/>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xml:space="preserve">De acuerdo con el atlas de riesgos de la ciudad de Mérida 2023, se considera que el número de habitantes de la comisaría de Dzityá ha tenido un aumento significativo debido a la migración de personas y familias que se establecen principalmente en los desarrollo inmobiliarios alrededor de la comisaría y en algunos casos ya dentro de la misma comisaría (Council, 2018). Este aumento de la población se puede observar en la siguiente </w:t>
      </w:r>
      <w:r>
        <w:rPr>
          <w:rFonts w:eastAsia="Times New Roman" w:cs="Times New Roman" w:ascii="Times New Roman" w:hAnsi="Times New Roman"/>
          <w:sz w:val="20"/>
          <w:szCs w:val="20"/>
        </w:rPr>
        <w:t>T</w:t>
      </w:r>
      <w:r>
        <w:rPr>
          <w:rFonts w:eastAsia="Times New Roman" w:cs="Times New Roman" w:ascii="Times New Roman" w:hAnsi="Times New Roman"/>
          <w:sz w:val="20"/>
          <w:szCs w:val="20"/>
        </w:rPr>
        <w:t>abla 1.</w:t>
      </w:r>
    </w:p>
    <w:p>
      <w:pPr>
        <w:pStyle w:val="LOnormal"/>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LOnormal"/>
        <w:jc w:val="center"/>
        <w:rPr>
          <w:b/>
          <w:b/>
          <w:bCs/>
        </w:rPr>
      </w:pPr>
      <w:r>
        <w:rPr>
          <w:rFonts w:eastAsia="Times New Roman" w:cs="Times New Roman" w:ascii="Times New Roman" w:hAnsi="Times New Roman"/>
          <w:b/>
          <w:bCs/>
          <w:sz w:val="20"/>
          <w:szCs w:val="20"/>
        </w:rPr>
        <w:t xml:space="preserve">Tabla 1. Crecimiento demográfico en Dzityá. Fuente: INEGI </w:t>
      </w:r>
      <w:r>
        <w:rPr>
          <w:rFonts w:eastAsia="Times New Roman" w:cs="Times New Roman" w:ascii="Times New Roman" w:hAnsi="Times New Roman"/>
          <w:b/>
          <w:bCs/>
          <w:sz w:val="20"/>
          <w:szCs w:val="20"/>
        </w:rPr>
        <w:t>(</w:t>
      </w:r>
      <w:r>
        <w:rPr>
          <w:rFonts w:eastAsia="Times New Roman" w:cs="Times New Roman" w:ascii="Times New Roman" w:hAnsi="Times New Roman"/>
          <w:b/>
          <w:bCs/>
          <w:sz w:val="20"/>
          <w:szCs w:val="20"/>
        </w:rPr>
        <w:t>2020</w:t>
      </w:r>
      <w:r>
        <w:rPr>
          <w:rFonts w:eastAsia="Times New Roman" w:cs="Times New Roman" w:ascii="Times New Roman" w:hAnsi="Times New Roman"/>
          <w:b/>
          <w:bCs/>
          <w:sz w:val="20"/>
          <w:szCs w:val="20"/>
        </w:rPr>
        <w:t>).</w:t>
      </w:r>
    </w:p>
    <w:tbl>
      <w:tblPr>
        <w:tblW w:w="4660" w:type="dxa"/>
        <w:jc w:val="center"/>
        <w:tblInd w:w="0" w:type="dxa"/>
        <w:tblLayout w:type="fixed"/>
        <w:tblCellMar>
          <w:top w:w="60" w:type="dxa"/>
          <w:left w:w="60" w:type="dxa"/>
          <w:bottom w:w="60" w:type="dxa"/>
          <w:right w:w="60" w:type="dxa"/>
        </w:tblCellMar>
        <w:tblLook w:val="04a0" w:noHBand="0" w:noVBand="1" w:firstColumn="1" w:lastRow="0" w:lastColumn="0" w:firstRow="1"/>
      </w:tblPr>
      <w:tblGrid>
        <w:gridCol w:w="1048"/>
        <w:gridCol w:w="1210"/>
        <w:gridCol w:w="1208"/>
        <w:gridCol w:w="1193"/>
      </w:tblGrid>
      <w:tr>
        <w:trPr>
          <w:trHeight w:val="345" w:hRule="atLeast"/>
        </w:trPr>
        <w:tc>
          <w:tcPr>
            <w:tcW w:w="1048"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false"/>
              <w:overflowPunct w:val="false"/>
              <w:jc w:val="center"/>
              <w:rPr>
                <w:rFonts w:ascii="Times New Roman" w:hAnsi="Times New Roman" w:eastAsia="Times New Roman" w:cs="Times New Roman"/>
                <w:kern w:val="0"/>
                <w:sz w:val="20"/>
                <w:szCs w:val="20"/>
                <w:lang w:eastAsia="es-MX" w:bidi="ar-SA"/>
              </w:rPr>
            </w:pPr>
            <w:r>
              <w:rPr>
                <w:rFonts w:eastAsia="Times New Roman" w:cs="Times New Roman" w:ascii="Times New Roman" w:hAnsi="Times New Roman"/>
                <w:color w:val="000000"/>
                <w:kern w:val="0"/>
                <w:sz w:val="20"/>
                <w:szCs w:val="20"/>
                <w:lang w:eastAsia="es-MX" w:bidi="ar-SA"/>
              </w:rPr>
              <w:t>Año</w:t>
            </w:r>
          </w:p>
        </w:tc>
        <w:tc>
          <w:tcPr>
            <w:tcW w:w="1210"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false"/>
              <w:overflowPunct w:val="false"/>
              <w:jc w:val="center"/>
              <w:rPr>
                <w:rFonts w:ascii="Times New Roman" w:hAnsi="Times New Roman" w:eastAsia="Times New Roman" w:cs="Times New Roman"/>
                <w:kern w:val="0"/>
                <w:sz w:val="20"/>
                <w:szCs w:val="20"/>
                <w:lang w:eastAsia="es-MX" w:bidi="ar-SA"/>
              </w:rPr>
            </w:pPr>
            <w:r>
              <w:rPr>
                <w:rFonts w:eastAsia="Times New Roman" w:cs="Times New Roman" w:ascii="Times New Roman" w:hAnsi="Times New Roman"/>
                <w:color w:val="000000"/>
                <w:kern w:val="0"/>
                <w:sz w:val="20"/>
                <w:szCs w:val="20"/>
                <w:lang w:eastAsia="es-MX" w:bidi="ar-SA"/>
              </w:rPr>
              <w:t>Habitantes mujeres</w:t>
            </w:r>
          </w:p>
        </w:tc>
        <w:tc>
          <w:tcPr>
            <w:tcW w:w="1208"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false"/>
              <w:overflowPunct w:val="false"/>
              <w:jc w:val="center"/>
              <w:rPr>
                <w:rFonts w:ascii="Times New Roman" w:hAnsi="Times New Roman" w:eastAsia="Times New Roman" w:cs="Times New Roman"/>
                <w:kern w:val="0"/>
                <w:sz w:val="20"/>
                <w:szCs w:val="20"/>
                <w:lang w:eastAsia="es-MX" w:bidi="ar-SA"/>
              </w:rPr>
            </w:pPr>
            <w:r>
              <w:rPr>
                <w:rFonts w:eastAsia="Times New Roman" w:cs="Times New Roman" w:ascii="Times New Roman" w:hAnsi="Times New Roman"/>
                <w:color w:val="000000"/>
                <w:kern w:val="0"/>
                <w:sz w:val="20"/>
                <w:szCs w:val="20"/>
                <w:lang w:eastAsia="es-MX" w:bidi="ar-SA"/>
              </w:rPr>
              <w:t>Habitantes hombres</w:t>
            </w:r>
          </w:p>
        </w:tc>
        <w:tc>
          <w:tcPr>
            <w:tcW w:w="1193"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false"/>
              <w:overflowPunct w:val="false"/>
              <w:jc w:val="center"/>
              <w:rPr>
                <w:rFonts w:ascii="Times New Roman" w:hAnsi="Times New Roman" w:eastAsia="Times New Roman" w:cs="Times New Roman"/>
                <w:kern w:val="0"/>
                <w:sz w:val="20"/>
                <w:szCs w:val="20"/>
                <w:lang w:eastAsia="es-MX" w:bidi="ar-SA"/>
              </w:rPr>
            </w:pPr>
            <w:r>
              <w:rPr>
                <w:rFonts w:eastAsia="Times New Roman" w:cs="Times New Roman" w:ascii="Times New Roman" w:hAnsi="Times New Roman"/>
                <w:color w:val="000000"/>
                <w:kern w:val="0"/>
                <w:sz w:val="20"/>
                <w:szCs w:val="20"/>
                <w:lang w:eastAsia="es-MX" w:bidi="ar-SA"/>
              </w:rPr>
              <w:t>Total habitantes</w:t>
            </w:r>
          </w:p>
        </w:tc>
      </w:tr>
      <w:tr>
        <w:trPr>
          <w:trHeight w:val="165" w:hRule="atLeast"/>
        </w:trPr>
        <w:tc>
          <w:tcPr>
            <w:tcW w:w="1048"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false"/>
              <w:overflowPunct w:val="false"/>
              <w:jc w:val="center"/>
              <w:rPr>
                <w:rFonts w:ascii="Times New Roman" w:hAnsi="Times New Roman" w:eastAsia="Times New Roman" w:cs="Times New Roman"/>
                <w:kern w:val="0"/>
                <w:sz w:val="20"/>
                <w:szCs w:val="20"/>
                <w:lang w:eastAsia="es-MX" w:bidi="ar-SA"/>
              </w:rPr>
            </w:pPr>
            <w:r>
              <w:rPr>
                <w:rFonts w:eastAsia="Times New Roman" w:cs="Times New Roman" w:ascii="Times New Roman" w:hAnsi="Times New Roman"/>
                <w:color w:val="000000"/>
                <w:kern w:val="0"/>
                <w:sz w:val="20"/>
                <w:szCs w:val="20"/>
                <w:lang w:eastAsia="es-MX" w:bidi="ar-SA"/>
              </w:rPr>
              <w:t>2020</w:t>
            </w:r>
          </w:p>
        </w:tc>
        <w:tc>
          <w:tcPr>
            <w:tcW w:w="1210"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false"/>
              <w:overflowPunct w:val="false"/>
              <w:jc w:val="center"/>
              <w:rPr>
                <w:rFonts w:ascii="Times New Roman" w:hAnsi="Times New Roman" w:eastAsia="Times New Roman" w:cs="Times New Roman"/>
                <w:kern w:val="0"/>
                <w:sz w:val="20"/>
                <w:szCs w:val="20"/>
                <w:lang w:eastAsia="es-MX" w:bidi="ar-SA"/>
              </w:rPr>
            </w:pPr>
            <w:r>
              <w:rPr>
                <w:rFonts w:eastAsia="Times New Roman" w:cs="Times New Roman" w:ascii="Times New Roman" w:hAnsi="Times New Roman"/>
                <w:color w:val="000000"/>
                <w:kern w:val="0"/>
                <w:sz w:val="20"/>
                <w:szCs w:val="20"/>
                <w:lang w:eastAsia="es-MX" w:bidi="ar-SA"/>
              </w:rPr>
              <w:t>1146</w:t>
            </w:r>
          </w:p>
        </w:tc>
        <w:tc>
          <w:tcPr>
            <w:tcW w:w="1208"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false"/>
              <w:overflowPunct w:val="false"/>
              <w:jc w:val="center"/>
              <w:rPr>
                <w:rFonts w:ascii="Times New Roman" w:hAnsi="Times New Roman" w:eastAsia="Times New Roman" w:cs="Times New Roman"/>
                <w:kern w:val="0"/>
                <w:sz w:val="20"/>
                <w:szCs w:val="20"/>
                <w:lang w:eastAsia="es-MX" w:bidi="ar-SA"/>
              </w:rPr>
            </w:pPr>
            <w:r>
              <w:rPr>
                <w:rFonts w:eastAsia="Times New Roman" w:cs="Times New Roman" w:ascii="Times New Roman" w:hAnsi="Times New Roman"/>
                <w:color w:val="000000"/>
                <w:kern w:val="0"/>
                <w:sz w:val="20"/>
                <w:szCs w:val="20"/>
                <w:lang w:eastAsia="es-MX" w:bidi="ar-SA"/>
              </w:rPr>
              <w:t>1223</w:t>
            </w:r>
          </w:p>
        </w:tc>
        <w:tc>
          <w:tcPr>
            <w:tcW w:w="1193"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false"/>
              <w:overflowPunct w:val="false"/>
              <w:jc w:val="center"/>
              <w:rPr>
                <w:rFonts w:ascii="Times New Roman" w:hAnsi="Times New Roman" w:eastAsia="Times New Roman" w:cs="Times New Roman"/>
                <w:kern w:val="0"/>
                <w:sz w:val="20"/>
                <w:szCs w:val="20"/>
                <w:lang w:eastAsia="es-MX" w:bidi="ar-SA"/>
              </w:rPr>
            </w:pPr>
            <w:r>
              <w:rPr>
                <w:rFonts w:eastAsia="Times New Roman" w:cs="Times New Roman" w:ascii="Times New Roman" w:hAnsi="Times New Roman"/>
                <w:color w:val="000000"/>
                <w:kern w:val="0"/>
                <w:sz w:val="20"/>
                <w:szCs w:val="20"/>
                <w:lang w:eastAsia="es-MX" w:bidi="ar-SA"/>
              </w:rPr>
              <w:t>2369</w:t>
            </w:r>
          </w:p>
        </w:tc>
      </w:tr>
      <w:tr>
        <w:trPr>
          <w:trHeight w:val="165" w:hRule="atLeast"/>
        </w:trPr>
        <w:tc>
          <w:tcPr>
            <w:tcW w:w="1048"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false"/>
              <w:overflowPunct w:val="false"/>
              <w:jc w:val="center"/>
              <w:rPr>
                <w:rFonts w:ascii="Times New Roman" w:hAnsi="Times New Roman" w:eastAsia="Times New Roman" w:cs="Times New Roman"/>
                <w:kern w:val="0"/>
                <w:sz w:val="20"/>
                <w:szCs w:val="20"/>
                <w:lang w:eastAsia="es-MX" w:bidi="ar-SA"/>
              </w:rPr>
            </w:pPr>
            <w:r>
              <w:rPr>
                <w:rFonts w:eastAsia="Times New Roman" w:cs="Times New Roman" w:ascii="Times New Roman" w:hAnsi="Times New Roman"/>
                <w:color w:val="000000"/>
                <w:kern w:val="0"/>
                <w:sz w:val="20"/>
                <w:szCs w:val="20"/>
                <w:lang w:eastAsia="es-MX" w:bidi="ar-SA"/>
              </w:rPr>
              <w:t>2010</w:t>
            </w:r>
          </w:p>
        </w:tc>
        <w:tc>
          <w:tcPr>
            <w:tcW w:w="1210"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false"/>
              <w:overflowPunct w:val="false"/>
              <w:jc w:val="center"/>
              <w:rPr>
                <w:rFonts w:ascii="Times New Roman" w:hAnsi="Times New Roman" w:eastAsia="Times New Roman" w:cs="Times New Roman"/>
                <w:kern w:val="0"/>
                <w:sz w:val="20"/>
                <w:szCs w:val="20"/>
                <w:lang w:eastAsia="es-MX" w:bidi="ar-SA"/>
              </w:rPr>
            </w:pPr>
            <w:r>
              <w:rPr>
                <w:rFonts w:eastAsia="Times New Roman" w:cs="Times New Roman" w:ascii="Times New Roman" w:hAnsi="Times New Roman"/>
                <w:color w:val="000000"/>
                <w:kern w:val="0"/>
                <w:sz w:val="20"/>
                <w:szCs w:val="20"/>
                <w:lang w:eastAsia="es-MX" w:bidi="ar-SA"/>
              </w:rPr>
              <w:t>792</w:t>
            </w:r>
          </w:p>
        </w:tc>
        <w:tc>
          <w:tcPr>
            <w:tcW w:w="1208"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false"/>
              <w:overflowPunct w:val="false"/>
              <w:jc w:val="center"/>
              <w:rPr>
                <w:rFonts w:ascii="Times New Roman" w:hAnsi="Times New Roman" w:eastAsia="Times New Roman" w:cs="Times New Roman"/>
                <w:kern w:val="0"/>
                <w:sz w:val="20"/>
                <w:szCs w:val="20"/>
                <w:lang w:eastAsia="es-MX" w:bidi="ar-SA"/>
              </w:rPr>
            </w:pPr>
            <w:r>
              <w:rPr>
                <w:rFonts w:eastAsia="Times New Roman" w:cs="Times New Roman" w:ascii="Times New Roman" w:hAnsi="Times New Roman"/>
                <w:color w:val="000000"/>
                <w:kern w:val="0"/>
                <w:sz w:val="20"/>
                <w:szCs w:val="20"/>
                <w:lang w:eastAsia="es-MX" w:bidi="ar-SA"/>
              </w:rPr>
              <w:t>810</w:t>
            </w:r>
          </w:p>
        </w:tc>
        <w:tc>
          <w:tcPr>
            <w:tcW w:w="1193"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false"/>
              <w:overflowPunct w:val="false"/>
              <w:jc w:val="center"/>
              <w:rPr>
                <w:rFonts w:ascii="Times New Roman" w:hAnsi="Times New Roman" w:eastAsia="Times New Roman" w:cs="Times New Roman"/>
                <w:kern w:val="0"/>
                <w:sz w:val="20"/>
                <w:szCs w:val="20"/>
                <w:lang w:eastAsia="es-MX" w:bidi="ar-SA"/>
              </w:rPr>
            </w:pPr>
            <w:r>
              <w:rPr>
                <w:rFonts w:eastAsia="Times New Roman" w:cs="Times New Roman" w:ascii="Times New Roman" w:hAnsi="Times New Roman"/>
                <w:color w:val="000000"/>
                <w:kern w:val="0"/>
                <w:sz w:val="20"/>
                <w:szCs w:val="20"/>
                <w:lang w:eastAsia="es-MX" w:bidi="ar-SA"/>
              </w:rPr>
              <w:t>1602</w:t>
            </w:r>
          </w:p>
        </w:tc>
      </w:tr>
      <w:tr>
        <w:trPr>
          <w:trHeight w:val="165" w:hRule="atLeast"/>
        </w:trPr>
        <w:tc>
          <w:tcPr>
            <w:tcW w:w="1048"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false"/>
              <w:overflowPunct w:val="false"/>
              <w:jc w:val="center"/>
              <w:rPr>
                <w:rFonts w:ascii="Times New Roman" w:hAnsi="Times New Roman" w:eastAsia="Times New Roman" w:cs="Times New Roman"/>
                <w:color w:val="000000"/>
                <w:kern w:val="0"/>
                <w:sz w:val="20"/>
                <w:szCs w:val="20"/>
                <w:lang w:eastAsia="es-MX" w:bidi="ar-SA"/>
              </w:rPr>
            </w:pPr>
            <w:r>
              <w:rPr>
                <w:rFonts w:eastAsia="Times New Roman" w:cs="Times New Roman" w:ascii="Times New Roman" w:hAnsi="Times New Roman"/>
                <w:color w:val="000000"/>
                <w:kern w:val="0"/>
                <w:sz w:val="20"/>
                <w:szCs w:val="20"/>
                <w:lang w:eastAsia="es-MX" w:bidi="ar-SA"/>
              </w:rPr>
              <w:t>2005</w:t>
            </w:r>
          </w:p>
        </w:tc>
        <w:tc>
          <w:tcPr>
            <w:tcW w:w="1210"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false"/>
              <w:overflowPunct w:val="false"/>
              <w:jc w:val="center"/>
              <w:rPr>
                <w:rFonts w:ascii="Times New Roman" w:hAnsi="Times New Roman" w:eastAsia="Times New Roman" w:cs="Times New Roman"/>
                <w:color w:val="000000"/>
                <w:kern w:val="0"/>
                <w:sz w:val="20"/>
                <w:szCs w:val="20"/>
                <w:lang w:eastAsia="es-MX" w:bidi="ar-SA"/>
              </w:rPr>
            </w:pPr>
            <w:r>
              <w:rPr>
                <w:rFonts w:eastAsia="Times New Roman" w:cs="Times New Roman" w:ascii="Times New Roman" w:hAnsi="Times New Roman"/>
                <w:color w:val="000000"/>
                <w:kern w:val="0"/>
                <w:sz w:val="20"/>
                <w:szCs w:val="20"/>
                <w:lang w:eastAsia="es-MX" w:bidi="ar-SA"/>
              </w:rPr>
              <w:t>730</w:t>
            </w:r>
          </w:p>
        </w:tc>
        <w:tc>
          <w:tcPr>
            <w:tcW w:w="1208"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false"/>
              <w:overflowPunct w:val="false"/>
              <w:jc w:val="center"/>
              <w:rPr>
                <w:rFonts w:ascii="Times New Roman" w:hAnsi="Times New Roman" w:eastAsia="Times New Roman" w:cs="Times New Roman"/>
                <w:color w:val="000000"/>
                <w:kern w:val="0"/>
                <w:sz w:val="20"/>
                <w:szCs w:val="20"/>
                <w:lang w:eastAsia="es-MX" w:bidi="ar-SA"/>
              </w:rPr>
            </w:pPr>
            <w:r>
              <w:rPr>
                <w:rFonts w:eastAsia="Times New Roman" w:cs="Times New Roman" w:ascii="Times New Roman" w:hAnsi="Times New Roman"/>
                <w:color w:val="000000"/>
                <w:kern w:val="0"/>
                <w:sz w:val="20"/>
                <w:szCs w:val="20"/>
                <w:lang w:eastAsia="es-MX" w:bidi="ar-SA"/>
              </w:rPr>
              <w:t>766</w:t>
            </w:r>
          </w:p>
        </w:tc>
        <w:tc>
          <w:tcPr>
            <w:tcW w:w="1193"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false"/>
              <w:overflowPunct w:val="false"/>
              <w:jc w:val="center"/>
              <w:rPr>
                <w:rFonts w:ascii="Times New Roman" w:hAnsi="Times New Roman" w:eastAsia="Times New Roman" w:cs="Times New Roman"/>
                <w:color w:val="000000"/>
                <w:kern w:val="0"/>
                <w:sz w:val="20"/>
                <w:szCs w:val="20"/>
                <w:lang w:eastAsia="es-MX" w:bidi="ar-SA"/>
              </w:rPr>
            </w:pPr>
            <w:r>
              <w:rPr>
                <w:rFonts w:eastAsia="Times New Roman" w:cs="Times New Roman" w:ascii="Times New Roman" w:hAnsi="Times New Roman"/>
                <w:color w:val="000000"/>
                <w:kern w:val="0"/>
                <w:sz w:val="20"/>
                <w:szCs w:val="20"/>
                <w:lang w:eastAsia="es-MX" w:bidi="ar-SA"/>
              </w:rPr>
              <w:t>1496</w:t>
            </w:r>
          </w:p>
        </w:tc>
      </w:tr>
    </w:tbl>
    <w:p>
      <w:pPr>
        <w:pStyle w:val="LOnormal"/>
        <w:jc w:val="both"/>
        <w:rPr>
          <w:rFonts w:ascii="Times New Roman" w:hAnsi="Times New Roman" w:eastAsia="Times New Roman" w:cs="Times New Roman"/>
          <w:sz w:val="20"/>
          <w:szCs w:val="20"/>
        </w:rPr>
      </w:pPr>
      <w:r>
        <w:rPr/>
      </w:r>
    </w:p>
    <w:p>
      <w:pPr>
        <w:pStyle w:val="LOnormal"/>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xml:space="preserve">En la </w:t>
      </w:r>
      <w:r>
        <w:rPr>
          <w:rFonts w:eastAsia="Times New Roman" w:cs="Times New Roman" w:ascii="Times New Roman" w:hAnsi="Times New Roman"/>
          <w:sz w:val="20"/>
          <w:szCs w:val="20"/>
        </w:rPr>
        <w:t>T</w:t>
      </w:r>
      <w:r>
        <w:rPr>
          <w:rFonts w:eastAsia="Times New Roman" w:cs="Times New Roman" w:ascii="Times New Roman" w:hAnsi="Times New Roman"/>
          <w:sz w:val="20"/>
          <w:szCs w:val="20"/>
        </w:rPr>
        <w:t>abla 2 se pueden observa que en cuestión de educación el grado máximo de escolaridad es de 9 años, lo que significa que en promedio solo terminan la educación básica, es decir la población que cuenta con estudios de secundaria, bachillerato y universidad, son significativamente menores, según el grado aumente.</w:t>
      </w:r>
    </w:p>
    <w:p>
      <w:pPr>
        <w:pStyle w:val="LOnormal"/>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LOnormal"/>
        <w:jc w:val="center"/>
        <w:rPr>
          <w:b/>
          <w:b/>
          <w:bCs/>
        </w:rPr>
      </w:pPr>
      <w:r>
        <w:rPr>
          <w:rFonts w:eastAsia="Times New Roman" w:cs="Times New Roman" w:ascii="Times New Roman" w:hAnsi="Times New Roman"/>
          <w:b/>
          <w:bCs/>
          <w:sz w:val="20"/>
          <w:szCs w:val="20"/>
        </w:rPr>
        <w:t xml:space="preserve">Tabla 2. Datos sociodemográficos. Fuente: INEGI </w:t>
      </w:r>
      <w:r>
        <w:rPr>
          <w:rFonts w:eastAsia="Times New Roman" w:cs="Times New Roman" w:ascii="Times New Roman" w:hAnsi="Times New Roman"/>
          <w:b/>
          <w:bCs/>
          <w:sz w:val="20"/>
          <w:szCs w:val="20"/>
        </w:rPr>
        <w:t>(</w:t>
      </w:r>
      <w:r>
        <w:rPr>
          <w:rFonts w:eastAsia="Times New Roman" w:cs="Times New Roman" w:ascii="Times New Roman" w:hAnsi="Times New Roman"/>
          <w:b/>
          <w:bCs/>
          <w:sz w:val="20"/>
          <w:szCs w:val="20"/>
        </w:rPr>
        <w:t>2020</w:t>
      </w:r>
      <w:r>
        <w:rPr>
          <w:rFonts w:eastAsia="Times New Roman" w:cs="Times New Roman" w:ascii="Times New Roman" w:hAnsi="Times New Roman"/>
          <w:b/>
          <w:bCs/>
          <w:sz w:val="20"/>
          <w:szCs w:val="20"/>
        </w:rPr>
        <w:t>).</w:t>
      </w:r>
    </w:p>
    <w:tbl>
      <w:tblPr>
        <w:tblW w:w="4003" w:type="dxa"/>
        <w:jc w:val="center"/>
        <w:tblInd w:w="0" w:type="dxa"/>
        <w:tblLayout w:type="fixed"/>
        <w:tblCellMar>
          <w:top w:w="60" w:type="dxa"/>
          <w:left w:w="60" w:type="dxa"/>
          <w:bottom w:w="60" w:type="dxa"/>
          <w:right w:w="60" w:type="dxa"/>
        </w:tblCellMar>
        <w:tblLook w:val="04a0" w:noHBand="0" w:noVBand="1" w:firstColumn="1" w:lastRow="0" w:lastColumn="0" w:firstRow="1"/>
      </w:tblPr>
      <w:tblGrid>
        <w:gridCol w:w="1550"/>
        <w:gridCol w:w="1118"/>
        <w:gridCol w:w="1335"/>
      </w:tblGrid>
      <w:tr>
        <w:trPr>
          <w:trHeight w:val="165" w:hRule="atLeast"/>
        </w:trPr>
        <w:tc>
          <w:tcPr>
            <w:tcW w:w="1550" w:type="dxa"/>
            <w:tcBorders>
              <w:top w:val="single" w:sz="6" w:space="0" w:color="000000"/>
              <w:left w:val="single" w:sz="6" w:space="0" w:color="000000"/>
              <w:bottom w:val="single" w:sz="6" w:space="0" w:color="000000"/>
              <w:right w:val="single" w:sz="6" w:space="0" w:color="000000"/>
            </w:tcBorders>
            <w:shd w:color="auto" w:fill="auto" w:val="clear"/>
          </w:tcPr>
          <w:p>
            <w:pPr>
              <w:pStyle w:val="Normal"/>
              <w:widowControl w:val="false"/>
              <w:suppressAutoHyphens w:val="false"/>
              <w:overflowPunct w:val="false"/>
              <w:jc w:val="center"/>
              <w:rPr>
                <w:rFonts w:ascii="Times New Roman" w:hAnsi="Times New Roman" w:eastAsia="Times New Roman" w:cs="Times New Roman"/>
                <w:kern w:val="0"/>
                <w:sz w:val="20"/>
                <w:szCs w:val="20"/>
                <w:lang w:eastAsia="es-MX" w:bidi="ar-SA"/>
              </w:rPr>
            </w:pPr>
            <w:r>
              <w:rPr>
                <w:rFonts w:eastAsia="Times New Roman" w:cs="Times New Roman" w:ascii="Times New Roman" w:hAnsi="Times New Roman"/>
                <w:b/>
                <w:bCs/>
                <w:color w:val="000000"/>
                <w:kern w:val="0"/>
                <w:sz w:val="20"/>
                <w:szCs w:val="20"/>
                <w:lang w:eastAsia="es-MX" w:bidi="ar-SA"/>
              </w:rPr>
              <w:t>Concepto</w:t>
            </w:r>
          </w:p>
        </w:tc>
        <w:tc>
          <w:tcPr>
            <w:tcW w:w="1118" w:type="dxa"/>
            <w:tcBorders>
              <w:top w:val="single" w:sz="6" w:space="0" w:color="000000"/>
              <w:left w:val="single" w:sz="6" w:space="0" w:color="000000"/>
              <w:bottom w:val="single" w:sz="6" w:space="0" w:color="000000"/>
              <w:right w:val="single" w:sz="6" w:space="0" w:color="000000"/>
            </w:tcBorders>
            <w:shd w:color="auto" w:fill="auto" w:val="clear"/>
          </w:tcPr>
          <w:p>
            <w:pPr>
              <w:pStyle w:val="Normal"/>
              <w:widowControl w:val="false"/>
              <w:suppressAutoHyphens w:val="false"/>
              <w:overflowPunct w:val="false"/>
              <w:jc w:val="center"/>
              <w:rPr>
                <w:rFonts w:ascii="Times New Roman" w:hAnsi="Times New Roman" w:eastAsia="Times New Roman" w:cs="Times New Roman"/>
                <w:kern w:val="0"/>
                <w:sz w:val="20"/>
                <w:szCs w:val="20"/>
                <w:lang w:eastAsia="es-MX" w:bidi="ar-SA"/>
              </w:rPr>
            </w:pPr>
            <w:r>
              <w:rPr>
                <w:rFonts w:eastAsia="Times New Roman" w:cs="Times New Roman" w:ascii="Times New Roman" w:hAnsi="Times New Roman"/>
                <w:b/>
                <w:bCs/>
                <w:color w:val="000000"/>
                <w:kern w:val="0"/>
                <w:sz w:val="20"/>
                <w:szCs w:val="20"/>
                <w:lang w:eastAsia="es-MX" w:bidi="ar-SA"/>
              </w:rPr>
              <w:t>2020</w:t>
            </w:r>
          </w:p>
        </w:tc>
        <w:tc>
          <w:tcPr>
            <w:tcW w:w="1335" w:type="dxa"/>
            <w:tcBorders>
              <w:top w:val="single" w:sz="6" w:space="0" w:color="000000"/>
              <w:left w:val="single" w:sz="6" w:space="0" w:color="000000"/>
              <w:bottom w:val="single" w:sz="6" w:space="0" w:color="000000"/>
              <w:right w:val="single" w:sz="6" w:space="0" w:color="000000"/>
            </w:tcBorders>
            <w:shd w:color="auto" w:fill="auto" w:val="clear"/>
          </w:tcPr>
          <w:p>
            <w:pPr>
              <w:pStyle w:val="Normal"/>
              <w:widowControl w:val="false"/>
              <w:suppressAutoHyphens w:val="false"/>
              <w:overflowPunct w:val="false"/>
              <w:jc w:val="center"/>
              <w:rPr>
                <w:rFonts w:ascii="Times New Roman" w:hAnsi="Times New Roman" w:eastAsia="Times New Roman" w:cs="Times New Roman"/>
                <w:kern w:val="0"/>
                <w:sz w:val="20"/>
                <w:szCs w:val="20"/>
                <w:lang w:eastAsia="es-MX" w:bidi="ar-SA"/>
              </w:rPr>
            </w:pPr>
            <w:r>
              <w:rPr>
                <w:rFonts w:eastAsia="Times New Roman" w:cs="Times New Roman" w:ascii="Times New Roman" w:hAnsi="Times New Roman"/>
                <w:b/>
                <w:bCs/>
                <w:color w:val="000000"/>
                <w:kern w:val="0"/>
                <w:sz w:val="20"/>
                <w:szCs w:val="20"/>
                <w:lang w:eastAsia="es-MX" w:bidi="ar-SA"/>
              </w:rPr>
              <w:t>2010</w:t>
            </w:r>
          </w:p>
        </w:tc>
      </w:tr>
      <w:tr>
        <w:trPr>
          <w:trHeight w:val="540" w:hRule="atLeast"/>
        </w:trPr>
        <w:tc>
          <w:tcPr>
            <w:tcW w:w="1550"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false"/>
              <w:overflowPunct w:val="false"/>
              <w:jc w:val="center"/>
              <w:rPr>
                <w:rFonts w:ascii="Times New Roman" w:hAnsi="Times New Roman" w:eastAsia="Times New Roman" w:cs="Times New Roman"/>
                <w:kern w:val="0"/>
                <w:sz w:val="20"/>
                <w:szCs w:val="20"/>
                <w:lang w:eastAsia="es-MX" w:bidi="ar-SA"/>
              </w:rPr>
            </w:pPr>
            <w:r>
              <w:rPr>
                <w:rFonts w:eastAsia="Times New Roman" w:cs="Times New Roman" w:ascii="Times New Roman" w:hAnsi="Times New Roman"/>
                <w:color w:val="000000"/>
                <w:kern w:val="0"/>
                <w:sz w:val="20"/>
                <w:szCs w:val="20"/>
                <w:lang w:eastAsia="es-MX" w:bidi="ar-SA"/>
              </w:rPr>
              <w:t>Índice de fecundidad (hijos por mujer):</w:t>
            </w:r>
          </w:p>
        </w:tc>
        <w:tc>
          <w:tcPr>
            <w:tcW w:w="1118"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false"/>
              <w:overflowPunct w:val="false"/>
              <w:jc w:val="center"/>
              <w:rPr>
                <w:rFonts w:ascii="Times New Roman" w:hAnsi="Times New Roman" w:eastAsia="Times New Roman" w:cs="Times New Roman"/>
                <w:kern w:val="0"/>
                <w:sz w:val="20"/>
                <w:szCs w:val="20"/>
                <w:lang w:eastAsia="es-MX" w:bidi="ar-SA"/>
              </w:rPr>
            </w:pPr>
            <w:r>
              <w:rPr>
                <w:rFonts w:eastAsia="Times New Roman" w:cs="Times New Roman" w:ascii="Times New Roman" w:hAnsi="Times New Roman"/>
                <w:color w:val="000000"/>
                <w:kern w:val="0"/>
                <w:sz w:val="20"/>
                <w:szCs w:val="20"/>
                <w:lang w:eastAsia="es-MX" w:bidi="ar-SA"/>
              </w:rPr>
              <w:t>2.01</w:t>
            </w:r>
          </w:p>
        </w:tc>
        <w:tc>
          <w:tcPr>
            <w:tcW w:w="1335"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false"/>
              <w:overflowPunct w:val="false"/>
              <w:jc w:val="center"/>
              <w:rPr>
                <w:rFonts w:ascii="Times New Roman" w:hAnsi="Times New Roman" w:eastAsia="Times New Roman" w:cs="Times New Roman"/>
                <w:kern w:val="0"/>
                <w:sz w:val="20"/>
                <w:szCs w:val="20"/>
                <w:lang w:eastAsia="es-MX" w:bidi="ar-SA"/>
              </w:rPr>
            </w:pPr>
            <w:r>
              <w:rPr>
                <w:rFonts w:eastAsia="Times New Roman" w:cs="Times New Roman" w:ascii="Times New Roman" w:hAnsi="Times New Roman"/>
                <w:color w:val="000000"/>
                <w:kern w:val="0"/>
                <w:sz w:val="20"/>
                <w:szCs w:val="20"/>
                <w:lang w:eastAsia="es-MX" w:bidi="ar-SA"/>
              </w:rPr>
              <w:t>3.58</w:t>
            </w:r>
          </w:p>
        </w:tc>
      </w:tr>
      <w:tr>
        <w:trPr>
          <w:trHeight w:val="525" w:hRule="atLeast"/>
        </w:trPr>
        <w:tc>
          <w:tcPr>
            <w:tcW w:w="1550"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false"/>
              <w:overflowPunct w:val="false"/>
              <w:jc w:val="center"/>
              <w:rPr>
                <w:rFonts w:ascii="Times New Roman" w:hAnsi="Times New Roman" w:eastAsia="Times New Roman" w:cs="Times New Roman"/>
                <w:kern w:val="0"/>
                <w:sz w:val="20"/>
                <w:szCs w:val="20"/>
                <w:lang w:eastAsia="es-MX" w:bidi="ar-SA"/>
              </w:rPr>
            </w:pPr>
            <w:r>
              <w:rPr>
                <w:rFonts w:eastAsia="Times New Roman" w:cs="Times New Roman" w:ascii="Times New Roman" w:hAnsi="Times New Roman"/>
                <w:color w:val="000000"/>
                <w:kern w:val="0"/>
                <w:sz w:val="20"/>
                <w:szCs w:val="20"/>
                <w:lang w:eastAsia="es-MX" w:bidi="ar-SA"/>
              </w:rPr>
              <w:t>Población que proviene fuera el Estado de Yucatán:</w:t>
            </w:r>
          </w:p>
        </w:tc>
        <w:tc>
          <w:tcPr>
            <w:tcW w:w="1118"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false"/>
              <w:overflowPunct w:val="false"/>
              <w:jc w:val="center"/>
              <w:rPr>
                <w:rFonts w:ascii="Times New Roman" w:hAnsi="Times New Roman" w:eastAsia="Times New Roman" w:cs="Times New Roman"/>
                <w:kern w:val="0"/>
                <w:sz w:val="20"/>
                <w:szCs w:val="20"/>
                <w:lang w:eastAsia="es-MX" w:bidi="ar-SA"/>
              </w:rPr>
            </w:pPr>
            <w:r>
              <w:rPr>
                <w:rFonts w:eastAsia="Times New Roman" w:cs="Times New Roman" w:ascii="Times New Roman" w:hAnsi="Times New Roman"/>
                <w:color w:val="000000"/>
                <w:kern w:val="0"/>
                <w:sz w:val="20"/>
                <w:szCs w:val="20"/>
                <w:lang w:eastAsia="es-MX" w:bidi="ar-SA"/>
              </w:rPr>
              <w:t>9.92%</w:t>
            </w:r>
          </w:p>
        </w:tc>
        <w:tc>
          <w:tcPr>
            <w:tcW w:w="1335"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false"/>
              <w:overflowPunct w:val="false"/>
              <w:jc w:val="center"/>
              <w:rPr>
                <w:rFonts w:ascii="Times New Roman" w:hAnsi="Times New Roman" w:eastAsia="Times New Roman" w:cs="Times New Roman"/>
                <w:kern w:val="0"/>
                <w:sz w:val="20"/>
                <w:szCs w:val="20"/>
                <w:lang w:eastAsia="es-MX" w:bidi="ar-SA"/>
              </w:rPr>
            </w:pPr>
            <w:r>
              <w:rPr>
                <w:rFonts w:eastAsia="Times New Roman" w:cs="Times New Roman" w:ascii="Times New Roman" w:hAnsi="Times New Roman"/>
                <w:color w:val="000000"/>
                <w:kern w:val="0"/>
                <w:sz w:val="20"/>
                <w:szCs w:val="20"/>
                <w:lang w:eastAsia="es-MX" w:bidi="ar-SA"/>
              </w:rPr>
              <w:t>4.00%</w:t>
            </w:r>
          </w:p>
        </w:tc>
      </w:tr>
      <w:tr>
        <w:trPr>
          <w:trHeight w:val="345" w:hRule="atLeast"/>
        </w:trPr>
        <w:tc>
          <w:tcPr>
            <w:tcW w:w="1550"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false"/>
              <w:overflowPunct w:val="false"/>
              <w:jc w:val="center"/>
              <w:rPr>
                <w:rFonts w:ascii="Times New Roman" w:hAnsi="Times New Roman" w:eastAsia="Times New Roman" w:cs="Times New Roman"/>
                <w:kern w:val="0"/>
                <w:sz w:val="20"/>
                <w:szCs w:val="20"/>
                <w:lang w:eastAsia="es-MX" w:bidi="ar-SA"/>
              </w:rPr>
            </w:pPr>
            <w:r>
              <w:rPr>
                <w:rFonts w:eastAsia="Times New Roman" w:cs="Times New Roman" w:ascii="Times New Roman" w:hAnsi="Times New Roman"/>
                <w:color w:val="000000"/>
                <w:kern w:val="0"/>
                <w:sz w:val="20"/>
                <w:szCs w:val="20"/>
                <w:lang w:eastAsia="es-MX" w:bidi="ar-SA"/>
              </w:rPr>
              <w:t>Población analfabeta:</w:t>
            </w:r>
          </w:p>
        </w:tc>
        <w:tc>
          <w:tcPr>
            <w:tcW w:w="1118"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false"/>
              <w:overflowPunct w:val="false"/>
              <w:jc w:val="center"/>
              <w:rPr>
                <w:rFonts w:ascii="Times New Roman" w:hAnsi="Times New Roman" w:eastAsia="Times New Roman" w:cs="Times New Roman"/>
                <w:kern w:val="0"/>
                <w:sz w:val="20"/>
                <w:szCs w:val="20"/>
                <w:lang w:eastAsia="es-MX" w:bidi="ar-SA"/>
              </w:rPr>
            </w:pPr>
            <w:r>
              <w:rPr>
                <w:rFonts w:eastAsia="Times New Roman" w:cs="Times New Roman" w:ascii="Times New Roman" w:hAnsi="Times New Roman"/>
                <w:color w:val="000000"/>
                <w:kern w:val="0"/>
                <w:sz w:val="20"/>
                <w:szCs w:val="20"/>
                <w:lang w:eastAsia="es-MX" w:bidi="ar-SA"/>
              </w:rPr>
              <w:t>3.42%</w:t>
            </w:r>
          </w:p>
        </w:tc>
        <w:tc>
          <w:tcPr>
            <w:tcW w:w="1335"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false"/>
              <w:overflowPunct w:val="false"/>
              <w:jc w:val="center"/>
              <w:rPr>
                <w:rFonts w:ascii="Times New Roman" w:hAnsi="Times New Roman" w:eastAsia="Times New Roman" w:cs="Times New Roman"/>
                <w:kern w:val="0"/>
                <w:sz w:val="20"/>
                <w:szCs w:val="20"/>
                <w:lang w:eastAsia="es-MX" w:bidi="ar-SA"/>
              </w:rPr>
            </w:pPr>
            <w:r>
              <w:rPr>
                <w:rFonts w:eastAsia="Times New Roman" w:cs="Times New Roman" w:ascii="Times New Roman" w:hAnsi="Times New Roman"/>
                <w:color w:val="000000"/>
                <w:kern w:val="0"/>
                <w:sz w:val="20"/>
                <w:szCs w:val="20"/>
                <w:lang w:eastAsia="es-MX" w:bidi="ar-SA"/>
              </w:rPr>
              <w:t>4.93%</w:t>
            </w:r>
          </w:p>
        </w:tc>
      </w:tr>
      <w:tr>
        <w:trPr>
          <w:trHeight w:val="525" w:hRule="atLeast"/>
        </w:trPr>
        <w:tc>
          <w:tcPr>
            <w:tcW w:w="1550"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false"/>
              <w:overflowPunct w:val="false"/>
              <w:jc w:val="center"/>
              <w:rPr>
                <w:rFonts w:ascii="Times New Roman" w:hAnsi="Times New Roman" w:eastAsia="Times New Roman" w:cs="Times New Roman"/>
                <w:kern w:val="0"/>
                <w:sz w:val="20"/>
                <w:szCs w:val="20"/>
                <w:lang w:eastAsia="es-MX" w:bidi="ar-SA"/>
              </w:rPr>
            </w:pPr>
            <w:r>
              <w:rPr>
                <w:rFonts w:eastAsia="Times New Roman" w:cs="Times New Roman" w:ascii="Times New Roman" w:hAnsi="Times New Roman"/>
                <w:color w:val="000000"/>
                <w:kern w:val="0"/>
                <w:sz w:val="20"/>
                <w:szCs w:val="20"/>
                <w:lang w:eastAsia="es-MX" w:bidi="ar-SA"/>
              </w:rPr>
              <w:t>Población analfabeta (hombres):</w:t>
            </w:r>
          </w:p>
        </w:tc>
        <w:tc>
          <w:tcPr>
            <w:tcW w:w="1118"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false"/>
              <w:overflowPunct w:val="false"/>
              <w:jc w:val="center"/>
              <w:rPr>
                <w:rFonts w:ascii="Times New Roman" w:hAnsi="Times New Roman" w:eastAsia="Times New Roman" w:cs="Times New Roman"/>
                <w:kern w:val="0"/>
                <w:sz w:val="20"/>
                <w:szCs w:val="20"/>
                <w:lang w:eastAsia="es-MX" w:bidi="ar-SA"/>
              </w:rPr>
            </w:pPr>
            <w:r>
              <w:rPr>
                <w:rFonts w:eastAsia="Times New Roman" w:cs="Times New Roman" w:ascii="Times New Roman" w:hAnsi="Times New Roman"/>
                <w:color w:val="000000"/>
                <w:kern w:val="0"/>
                <w:sz w:val="20"/>
                <w:szCs w:val="20"/>
                <w:lang w:eastAsia="es-MX" w:bidi="ar-SA"/>
              </w:rPr>
              <w:t>1.39%</w:t>
            </w:r>
          </w:p>
        </w:tc>
        <w:tc>
          <w:tcPr>
            <w:tcW w:w="1335"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false"/>
              <w:overflowPunct w:val="false"/>
              <w:jc w:val="center"/>
              <w:rPr>
                <w:rFonts w:ascii="Times New Roman" w:hAnsi="Times New Roman" w:eastAsia="Times New Roman" w:cs="Times New Roman"/>
                <w:kern w:val="0"/>
                <w:sz w:val="20"/>
                <w:szCs w:val="20"/>
                <w:lang w:eastAsia="es-MX" w:bidi="ar-SA"/>
              </w:rPr>
            </w:pPr>
            <w:r>
              <w:rPr>
                <w:rFonts w:eastAsia="Times New Roman" w:cs="Times New Roman" w:ascii="Times New Roman" w:hAnsi="Times New Roman"/>
                <w:color w:val="000000"/>
                <w:kern w:val="0"/>
                <w:sz w:val="20"/>
                <w:szCs w:val="20"/>
                <w:lang w:eastAsia="es-MX" w:bidi="ar-SA"/>
              </w:rPr>
              <w:t>3.58%</w:t>
            </w:r>
          </w:p>
        </w:tc>
      </w:tr>
      <w:tr>
        <w:trPr>
          <w:trHeight w:val="525" w:hRule="atLeast"/>
        </w:trPr>
        <w:tc>
          <w:tcPr>
            <w:tcW w:w="1550"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false"/>
              <w:overflowPunct w:val="false"/>
              <w:jc w:val="center"/>
              <w:rPr>
                <w:rFonts w:ascii="Times New Roman" w:hAnsi="Times New Roman" w:eastAsia="Times New Roman" w:cs="Times New Roman"/>
                <w:kern w:val="0"/>
                <w:sz w:val="20"/>
                <w:szCs w:val="20"/>
                <w:lang w:eastAsia="es-MX" w:bidi="ar-SA"/>
              </w:rPr>
            </w:pPr>
            <w:r>
              <w:rPr>
                <w:rFonts w:eastAsia="Times New Roman" w:cs="Times New Roman" w:ascii="Times New Roman" w:hAnsi="Times New Roman"/>
                <w:color w:val="000000"/>
                <w:kern w:val="0"/>
                <w:sz w:val="20"/>
                <w:szCs w:val="20"/>
                <w:lang w:eastAsia="es-MX" w:bidi="ar-SA"/>
              </w:rPr>
              <w:t>Población analfabeta (mujeres):</w:t>
            </w:r>
          </w:p>
        </w:tc>
        <w:tc>
          <w:tcPr>
            <w:tcW w:w="1118"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false"/>
              <w:overflowPunct w:val="false"/>
              <w:jc w:val="center"/>
              <w:rPr>
                <w:rFonts w:ascii="Times New Roman" w:hAnsi="Times New Roman" w:eastAsia="Times New Roman" w:cs="Times New Roman"/>
                <w:kern w:val="0"/>
                <w:sz w:val="20"/>
                <w:szCs w:val="20"/>
                <w:lang w:eastAsia="es-MX" w:bidi="ar-SA"/>
              </w:rPr>
            </w:pPr>
            <w:r>
              <w:rPr>
                <w:rFonts w:eastAsia="Times New Roman" w:cs="Times New Roman" w:ascii="Times New Roman" w:hAnsi="Times New Roman"/>
                <w:color w:val="000000"/>
                <w:kern w:val="0"/>
                <w:sz w:val="20"/>
                <w:szCs w:val="20"/>
                <w:lang w:eastAsia="es-MX" w:bidi="ar-SA"/>
              </w:rPr>
              <w:t>2.03%</w:t>
            </w:r>
          </w:p>
        </w:tc>
        <w:tc>
          <w:tcPr>
            <w:tcW w:w="1335"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false"/>
              <w:overflowPunct w:val="false"/>
              <w:jc w:val="center"/>
              <w:rPr>
                <w:rFonts w:ascii="Times New Roman" w:hAnsi="Times New Roman" w:eastAsia="Times New Roman" w:cs="Times New Roman"/>
                <w:kern w:val="0"/>
                <w:sz w:val="20"/>
                <w:szCs w:val="20"/>
                <w:lang w:eastAsia="es-MX" w:bidi="ar-SA"/>
              </w:rPr>
            </w:pPr>
            <w:r>
              <w:rPr>
                <w:rFonts w:eastAsia="Times New Roman" w:cs="Times New Roman" w:ascii="Times New Roman" w:hAnsi="Times New Roman"/>
                <w:color w:val="000000"/>
                <w:kern w:val="0"/>
                <w:sz w:val="20"/>
                <w:szCs w:val="20"/>
                <w:lang w:eastAsia="es-MX" w:bidi="ar-SA"/>
              </w:rPr>
              <w:t>6.31%</w:t>
            </w:r>
          </w:p>
        </w:tc>
      </w:tr>
      <w:tr>
        <w:trPr>
          <w:trHeight w:val="345" w:hRule="atLeast"/>
        </w:trPr>
        <w:tc>
          <w:tcPr>
            <w:tcW w:w="1550"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false"/>
              <w:overflowPunct w:val="false"/>
              <w:jc w:val="center"/>
              <w:rPr>
                <w:rFonts w:ascii="Times New Roman" w:hAnsi="Times New Roman" w:eastAsia="Times New Roman" w:cs="Times New Roman"/>
                <w:kern w:val="0"/>
                <w:sz w:val="20"/>
                <w:szCs w:val="20"/>
                <w:lang w:eastAsia="es-MX" w:bidi="ar-SA"/>
              </w:rPr>
            </w:pPr>
            <w:r>
              <w:rPr>
                <w:rFonts w:eastAsia="Times New Roman" w:cs="Times New Roman" w:ascii="Times New Roman" w:hAnsi="Times New Roman"/>
                <w:color w:val="000000"/>
                <w:kern w:val="0"/>
                <w:sz w:val="20"/>
                <w:szCs w:val="20"/>
                <w:lang w:eastAsia="es-MX" w:bidi="ar-SA"/>
              </w:rPr>
              <w:t>Grado de escolaridad:</w:t>
            </w:r>
          </w:p>
        </w:tc>
        <w:tc>
          <w:tcPr>
            <w:tcW w:w="1118"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false"/>
              <w:overflowPunct w:val="false"/>
              <w:jc w:val="center"/>
              <w:rPr>
                <w:rFonts w:ascii="Times New Roman" w:hAnsi="Times New Roman" w:eastAsia="Times New Roman" w:cs="Times New Roman"/>
                <w:kern w:val="0"/>
                <w:sz w:val="20"/>
                <w:szCs w:val="20"/>
                <w:lang w:eastAsia="es-MX" w:bidi="ar-SA"/>
              </w:rPr>
            </w:pPr>
            <w:r>
              <w:rPr>
                <w:rFonts w:eastAsia="Times New Roman" w:cs="Times New Roman" w:ascii="Times New Roman" w:hAnsi="Times New Roman"/>
                <w:color w:val="000000"/>
                <w:kern w:val="0"/>
                <w:sz w:val="20"/>
                <w:szCs w:val="20"/>
                <w:lang w:eastAsia="es-MX" w:bidi="ar-SA"/>
              </w:rPr>
              <w:t>9.34</w:t>
            </w:r>
          </w:p>
        </w:tc>
        <w:tc>
          <w:tcPr>
            <w:tcW w:w="1335"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false"/>
              <w:overflowPunct w:val="false"/>
              <w:jc w:val="center"/>
              <w:rPr>
                <w:rFonts w:ascii="Times New Roman" w:hAnsi="Times New Roman" w:eastAsia="Times New Roman" w:cs="Times New Roman"/>
                <w:kern w:val="0"/>
                <w:sz w:val="20"/>
                <w:szCs w:val="20"/>
                <w:lang w:eastAsia="es-MX" w:bidi="ar-SA"/>
              </w:rPr>
            </w:pPr>
            <w:r>
              <w:rPr>
                <w:rFonts w:eastAsia="Times New Roman" w:cs="Times New Roman" w:ascii="Times New Roman" w:hAnsi="Times New Roman"/>
                <w:color w:val="000000"/>
                <w:kern w:val="0"/>
                <w:sz w:val="20"/>
                <w:szCs w:val="20"/>
                <w:lang w:eastAsia="es-MX" w:bidi="ar-SA"/>
              </w:rPr>
              <w:t>7.48</w:t>
            </w:r>
          </w:p>
        </w:tc>
      </w:tr>
      <w:tr>
        <w:trPr>
          <w:trHeight w:val="525" w:hRule="atLeast"/>
        </w:trPr>
        <w:tc>
          <w:tcPr>
            <w:tcW w:w="1550"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false"/>
              <w:overflowPunct w:val="false"/>
              <w:jc w:val="center"/>
              <w:rPr>
                <w:rFonts w:ascii="Times New Roman" w:hAnsi="Times New Roman" w:eastAsia="Times New Roman" w:cs="Times New Roman"/>
                <w:kern w:val="0"/>
                <w:sz w:val="20"/>
                <w:szCs w:val="20"/>
                <w:lang w:eastAsia="es-MX" w:bidi="ar-SA"/>
              </w:rPr>
            </w:pPr>
            <w:r>
              <w:rPr>
                <w:rFonts w:eastAsia="Times New Roman" w:cs="Times New Roman" w:ascii="Times New Roman" w:hAnsi="Times New Roman"/>
                <w:color w:val="000000"/>
                <w:kern w:val="0"/>
                <w:sz w:val="20"/>
                <w:szCs w:val="20"/>
                <w:lang w:eastAsia="es-MX" w:bidi="ar-SA"/>
              </w:rPr>
              <w:t>Grado de escolaridad (hombres):</w:t>
            </w:r>
          </w:p>
        </w:tc>
        <w:tc>
          <w:tcPr>
            <w:tcW w:w="1118"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false"/>
              <w:overflowPunct w:val="false"/>
              <w:jc w:val="center"/>
              <w:rPr>
                <w:rFonts w:ascii="Times New Roman" w:hAnsi="Times New Roman" w:eastAsia="Times New Roman" w:cs="Times New Roman"/>
                <w:kern w:val="0"/>
                <w:sz w:val="20"/>
                <w:szCs w:val="20"/>
                <w:lang w:eastAsia="es-MX" w:bidi="ar-SA"/>
              </w:rPr>
            </w:pPr>
            <w:r>
              <w:rPr>
                <w:rFonts w:eastAsia="Times New Roman" w:cs="Times New Roman" w:ascii="Times New Roman" w:hAnsi="Times New Roman"/>
                <w:color w:val="000000"/>
                <w:kern w:val="0"/>
                <w:sz w:val="20"/>
                <w:szCs w:val="20"/>
                <w:lang w:eastAsia="es-MX" w:bidi="ar-SA"/>
              </w:rPr>
              <w:t>9.34</w:t>
            </w:r>
          </w:p>
        </w:tc>
        <w:tc>
          <w:tcPr>
            <w:tcW w:w="1335"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false"/>
              <w:overflowPunct w:val="false"/>
              <w:jc w:val="center"/>
              <w:rPr>
                <w:rFonts w:ascii="Times New Roman" w:hAnsi="Times New Roman" w:eastAsia="Times New Roman" w:cs="Times New Roman"/>
                <w:kern w:val="0"/>
                <w:sz w:val="20"/>
                <w:szCs w:val="20"/>
                <w:lang w:eastAsia="es-MX" w:bidi="ar-SA"/>
              </w:rPr>
            </w:pPr>
            <w:r>
              <w:rPr>
                <w:rFonts w:eastAsia="Times New Roman" w:cs="Times New Roman" w:ascii="Times New Roman" w:hAnsi="Times New Roman"/>
                <w:color w:val="000000"/>
                <w:kern w:val="0"/>
                <w:sz w:val="20"/>
                <w:szCs w:val="20"/>
                <w:lang w:eastAsia="es-MX" w:bidi="ar-SA"/>
              </w:rPr>
              <w:t>7.67</w:t>
            </w:r>
          </w:p>
        </w:tc>
      </w:tr>
      <w:tr>
        <w:trPr>
          <w:trHeight w:val="525" w:hRule="atLeast"/>
        </w:trPr>
        <w:tc>
          <w:tcPr>
            <w:tcW w:w="1550"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false"/>
              <w:overflowPunct w:val="false"/>
              <w:jc w:val="center"/>
              <w:rPr>
                <w:rFonts w:ascii="Times New Roman" w:hAnsi="Times New Roman" w:eastAsia="Times New Roman" w:cs="Times New Roman"/>
                <w:kern w:val="0"/>
                <w:sz w:val="20"/>
                <w:szCs w:val="20"/>
                <w:lang w:eastAsia="es-MX" w:bidi="ar-SA"/>
              </w:rPr>
            </w:pPr>
            <w:r>
              <w:rPr>
                <w:rFonts w:eastAsia="Times New Roman" w:cs="Times New Roman" w:ascii="Times New Roman" w:hAnsi="Times New Roman"/>
                <w:color w:val="000000"/>
                <w:kern w:val="0"/>
                <w:sz w:val="20"/>
                <w:szCs w:val="20"/>
                <w:lang w:eastAsia="es-MX" w:bidi="ar-SA"/>
              </w:rPr>
              <w:t>Grado de escolaridad (mujeres):</w:t>
            </w:r>
          </w:p>
        </w:tc>
        <w:tc>
          <w:tcPr>
            <w:tcW w:w="1118"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false"/>
              <w:overflowPunct w:val="false"/>
              <w:jc w:val="center"/>
              <w:rPr>
                <w:rFonts w:ascii="Times New Roman" w:hAnsi="Times New Roman" w:eastAsia="Times New Roman" w:cs="Times New Roman"/>
                <w:kern w:val="0"/>
                <w:sz w:val="20"/>
                <w:szCs w:val="20"/>
                <w:lang w:eastAsia="es-MX" w:bidi="ar-SA"/>
              </w:rPr>
            </w:pPr>
            <w:r>
              <w:rPr>
                <w:rFonts w:eastAsia="Times New Roman" w:cs="Times New Roman" w:ascii="Times New Roman" w:hAnsi="Times New Roman"/>
                <w:color w:val="000000"/>
                <w:kern w:val="0"/>
                <w:sz w:val="20"/>
                <w:szCs w:val="20"/>
                <w:lang w:eastAsia="es-MX" w:bidi="ar-SA"/>
              </w:rPr>
              <w:t>9.34</w:t>
            </w:r>
          </w:p>
        </w:tc>
        <w:tc>
          <w:tcPr>
            <w:tcW w:w="1335"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false"/>
              <w:overflowPunct w:val="false"/>
              <w:jc w:val="center"/>
              <w:rPr>
                <w:rFonts w:ascii="Times New Roman" w:hAnsi="Times New Roman" w:eastAsia="Times New Roman" w:cs="Times New Roman"/>
                <w:kern w:val="0"/>
                <w:sz w:val="20"/>
                <w:szCs w:val="20"/>
                <w:lang w:eastAsia="es-MX" w:bidi="ar-SA"/>
              </w:rPr>
            </w:pPr>
            <w:r>
              <w:rPr>
                <w:rFonts w:eastAsia="Times New Roman" w:cs="Times New Roman" w:ascii="Times New Roman" w:hAnsi="Times New Roman"/>
                <w:color w:val="000000"/>
                <w:kern w:val="0"/>
                <w:sz w:val="20"/>
                <w:szCs w:val="20"/>
                <w:lang w:eastAsia="es-MX" w:bidi="ar-SA"/>
              </w:rPr>
              <w:t>7.27</w:t>
            </w:r>
          </w:p>
        </w:tc>
      </w:tr>
    </w:tbl>
    <w:p>
      <w:pPr>
        <w:pStyle w:val="LOnormal"/>
        <w:jc w:val="both"/>
        <w:rPr>
          <w:rFonts w:ascii="Times New Roman" w:hAnsi="Times New Roman" w:eastAsia="Times New Roman" w:cs="Times New Roman"/>
          <w:sz w:val="20"/>
          <w:szCs w:val="20"/>
        </w:rPr>
      </w:pPr>
      <w:r>
        <w:rPr/>
      </w:r>
    </w:p>
    <w:p>
      <w:pPr>
        <w:pStyle w:val="LOnormal"/>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Otro dato a considerar de acuerdo con el censo poblacional del 2020</w:t>
        <w:tab/>
        <w:t xml:space="preserve"> del INEGI que solo el 36.58% de las viviendas en la comisaría contaban con internet y solo el 33.23% contaba con una computadora, laptop o tableta personal, siendo estos los principales factores de riesgos para el desarrollo de competencias en el aspecto educativo. No obstante, durante la pandemia de la COVID-19 que se cerraron por más de un año las escuelas, la vulneración para los alumnos de todos los niveles educativos por falta de internet y equipo de computo probablemente se potencializo en esta comunidad y que hasta ahora no exisisten estudios que nos de luz a conocer los impactos, pues prácticamente son incipientes los datos de las personas que estudian y terminan la educación media superior y superior.</w:t>
      </w:r>
    </w:p>
    <w:p>
      <w:pPr>
        <w:pStyle w:val="LOnormal"/>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Save the Children (2024) indica que el 42.3% de las escuelas de educación básica, no tienen computadoras y el 53.1% no cuentan con conexión a internet. Esto puede comprobarse en las escuelas de eduación básica de dicha comisaria, donde es incipiente dicha infrestructura, lo que  muestra la importancia de implementar otras formas de aprendizaje comunitario enfocado a la resolución de problemas propios de la comunidad y que a su vez contribuyan con el desarrollo de comptencias y habilidades educativas para el futuro como promueve esta organización social.</w:t>
      </w:r>
    </w:p>
    <w:p>
      <w:pPr>
        <w:pStyle w:val="LOnormal"/>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LOnormal"/>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xml:space="preserve">En la </w:t>
      </w:r>
      <w:r>
        <w:rPr>
          <w:rFonts w:eastAsia="Times New Roman" w:cs="Times New Roman" w:ascii="Times New Roman" w:hAnsi="Times New Roman"/>
          <w:sz w:val="20"/>
          <w:szCs w:val="20"/>
        </w:rPr>
        <w:t>T</w:t>
      </w:r>
      <w:r>
        <w:rPr>
          <w:rFonts w:eastAsia="Times New Roman" w:cs="Times New Roman" w:ascii="Times New Roman" w:hAnsi="Times New Roman"/>
          <w:sz w:val="20"/>
          <w:szCs w:val="20"/>
        </w:rPr>
        <w:t xml:space="preserve">abla 3 se pueden observar que el numero de indigenas en la población ha ido disminuyendo, esto debido principalmente a la migración y al los efectos del crecimiento urbano. </w:t>
      </w:r>
    </w:p>
    <w:p>
      <w:pPr>
        <w:pStyle w:val="LOnormal"/>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LOnormal"/>
        <w:jc w:val="center"/>
        <w:rPr>
          <w:b/>
          <w:b/>
          <w:bCs/>
        </w:rPr>
      </w:pPr>
      <w:r>
        <w:rPr>
          <w:rFonts w:eastAsia="Times New Roman" w:cs="Times New Roman" w:ascii="Times New Roman" w:hAnsi="Times New Roman"/>
          <w:b/>
          <w:bCs/>
          <w:sz w:val="20"/>
          <w:szCs w:val="20"/>
        </w:rPr>
        <w:t xml:space="preserve">Tabla 3. Población Indígena. Fuente: INEGI </w:t>
      </w:r>
      <w:r>
        <w:rPr>
          <w:rFonts w:eastAsia="Times New Roman" w:cs="Times New Roman" w:ascii="Times New Roman" w:hAnsi="Times New Roman"/>
          <w:b/>
          <w:bCs/>
          <w:sz w:val="20"/>
          <w:szCs w:val="20"/>
        </w:rPr>
        <w:t>(</w:t>
      </w:r>
      <w:r>
        <w:rPr>
          <w:rFonts w:eastAsia="Times New Roman" w:cs="Times New Roman" w:ascii="Times New Roman" w:hAnsi="Times New Roman"/>
          <w:b/>
          <w:bCs/>
          <w:sz w:val="20"/>
          <w:szCs w:val="20"/>
        </w:rPr>
        <w:t>2020</w:t>
      </w:r>
      <w:r>
        <w:rPr>
          <w:rFonts w:eastAsia="Times New Roman" w:cs="Times New Roman" w:ascii="Times New Roman" w:hAnsi="Times New Roman"/>
          <w:b/>
          <w:bCs/>
          <w:sz w:val="20"/>
          <w:szCs w:val="20"/>
        </w:rPr>
        <w:t>)</w:t>
      </w:r>
      <w:r>
        <w:rPr>
          <w:rFonts w:eastAsia="Times New Roman" w:cs="Times New Roman" w:ascii="Times New Roman" w:hAnsi="Times New Roman"/>
          <w:b/>
          <w:bCs/>
          <w:sz w:val="20"/>
          <w:szCs w:val="20"/>
        </w:rPr>
        <w:t>.</w:t>
      </w:r>
    </w:p>
    <w:tbl>
      <w:tblPr>
        <w:tblW w:w="4003" w:type="dxa"/>
        <w:jc w:val="center"/>
        <w:tblInd w:w="0" w:type="dxa"/>
        <w:tblLayout w:type="fixed"/>
        <w:tblCellMar>
          <w:top w:w="60" w:type="dxa"/>
          <w:left w:w="60" w:type="dxa"/>
          <w:bottom w:w="60" w:type="dxa"/>
          <w:right w:w="60" w:type="dxa"/>
        </w:tblCellMar>
        <w:tblLook w:val="04a0" w:noHBand="0" w:noVBand="1" w:firstColumn="1" w:lastRow="0" w:lastColumn="0" w:firstRow="1"/>
      </w:tblPr>
      <w:tblGrid>
        <w:gridCol w:w="1334"/>
        <w:gridCol w:w="1334"/>
        <w:gridCol w:w="1335"/>
      </w:tblGrid>
      <w:tr>
        <w:trPr>
          <w:trHeight w:val="165" w:hRule="atLeast"/>
        </w:trPr>
        <w:tc>
          <w:tcPr>
            <w:tcW w:w="1334" w:type="dxa"/>
            <w:tcBorders>
              <w:top w:val="single" w:sz="6" w:space="0" w:color="000000"/>
              <w:left w:val="single" w:sz="6" w:space="0" w:color="000000"/>
              <w:bottom w:val="single" w:sz="6" w:space="0" w:color="000000"/>
              <w:right w:val="single" w:sz="6" w:space="0" w:color="000000"/>
            </w:tcBorders>
            <w:shd w:color="auto" w:fill="auto" w:val="clear"/>
          </w:tcPr>
          <w:p>
            <w:pPr>
              <w:pStyle w:val="Normal"/>
              <w:widowControl w:val="false"/>
              <w:suppressAutoHyphens w:val="false"/>
              <w:overflowPunct w:val="false"/>
              <w:rPr>
                <w:rFonts w:ascii="Times New Roman" w:hAnsi="Times New Roman" w:eastAsia="Times New Roman" w:cs="Times New Roman"/>
                <w:kern w:val="0"/>
                <w:sz w:val="20"/>
                <w:szCs w:val="20"/>
                <w:lang w:eastAsia="es-MX" w:bidi="ar-SA"/>
              </w:rPr>
            </w:pPr>
            <w:r>
              <w:rPr>
                <w:rFonts w:eastAsia="Times New Roman" w:cs="Times New Roman" w:ascii="Times New Roman" w:hAnsi="Times New Roman"/>
                <w:color w:val="000000"/>
                <w:kern w:val="0"/>
                <w:sz w:val="20"/>
                <w:szCs w:val="20"/>
                <w:lang w:eastAsia="es-MX" w:bidi="ar-SA"/>
              </w:rPr>
              <w:t>Concepto</w:t>
            </w:r>
          </w:p>
        </w:tc>
        <w:tc>
          <w:tcPr>
            <w:tcW w:w="1334" w:type="dxa"/>
            <w:tcBorders>
              <w:top w:val="single" w:sz="6" w:space="0" w:color="000000"/>
              <w:left w:val="single" w:sz="6" w:space="0" w:color="000000"/>
              <w:bottom w:val="single" w:sz="6" w:space="0" w:color="000000"/>
              <w:right w:val="single" w:sz="6" w:space="0" w:color="000000"/>
            </w:tcBorders>
            <w:shd w:color="auto" w:fill="auto" w:val="clear"/>
          </w:tcPr>
          <w:p>
            <w:pPr>
              <w:pStyle w:val="Normal"/>
              <w:widowControl w:val="false"/>
              <w:suppressAutoHyphens w:val="false"/>
              <w:overflowPunct w:val="false"/>
              <w:rPr>
                <w:rFonts w:ascii="Times New Roman" w:hAnsi="Times New Roman" w:eastAsia="Times New Roman" w:cs="Times New Roman"/>
                <w:kern w:val="0"/>
                <w:sz w:val="20"/>
                <w:szCs w:val="20"/>
                <w:lang w:eastAsia="es-MX" w:bidi="ar-SA"/>
              </w:rPr>
            </w:pPr>
            <w:r>
              <w:rPr>
                <w:rFonts w:eastAsia="Times New Roman" w:cs="Times New Roman" w:ascii="Times New Roman" w:hAnsi="Times New Roman"/>
                <w:color w:val="000000"/>
                <w:kern w:val="0"/>
                <w:sz w:val="20"/>
                <w:szCs w:val="20"/>
                <w:lang w:eastAsia="es-MX" w:bidi="ar-SA"/>
              </w:rPr>
              <w:t>2020</w:t>
            </w:r>
          </w:p>
        </w:tc>
        <w:tc>
          <w:tcPr>
            <w:tcW w:w="1335" w:type="dxa"/>
            <w:tcBorders>
              <w:top w:val="single" w:sz="6" w:space="0" w:color="000000"/>
              <w:left w:val="single" w:sz="6" w:space="0" w:color="000000"/>
              <w:bottom w:val="single" w:sz="6" w:space="0" w:color="000000"/>
              <w:right w:val="single" w:sz="6" w:space="0" w:color="000000"/>
            </w:tcBorders>
            <w:shd w:color="auto" w:fill="auto" w:val="clear"/>
          </w:tcPr>
          <w:p>
            <w:pPr>
              <w:pStyle w:val="Normal"/>
              <w:widowControl w:val="false"/>
              <w:suppressAutoHyphens w:val="false"/>
              <w:overflowPunct w:val="false"/>
              <w:rPr>
                <w:rFonts w:ascii="Times New Roman" w:hAnsi="Times New Roman" w:eastAsia="Times New Roman" w:cs="Times New Roman"/>
                <w:kern w:val="0"/>
                <w:sz w:val="20"/>
                <w:szCs w:val="20"/>
                <w:lang w:eastAsia="es-MX" w:bidi="ar-SA"/>
              </w:rPr>
            </w:pPr>
            <w:r>
              <w:rPr>
                <w:rFonts w:eastAsia="Times New Roman" w:cs="Times New Roman" w:ascii="Times New Roman" w:hAnsi="Times New Roman"/>
                <w:color w:val="000000"/>
                <w:kern w:val="0"/>
                <w:sz w:val="20"/>
                <w:szCs w:val="20"/>
                <w:lang w:eastAsia="es-MX" w:bidi="ar-SA"/>
              </w:rPr>
              <w:t>2010</w:t>
            </w:r>
          </w:p>
        </w:tc>
      </w:tr>
      <w:tr>
        <w:trPr>
          <w:trHeight w:val="360" w:hRule="atLeast"/>
        </w:trPr>
        <w:tc>
          <w:tcPr>
            <w:tcW w:w="1334"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false"/>
              <w:overflowPunct w:val="false"/>
              <w:jc w:val="center"/>
              <w:rPr>
                <w:rFonts w:ascii="Times New Roman" w:hAnsi="Times New Roman" w:eastAsia="Times New Roman" w:cs="Times New Roman"/>
                <w:kern w:val="0"/>
                <w:sz w:val="20"/>
                <w:szCs w:val="20"/>
                <w:lang w:eastAsia="es-MX" w:bidi="ar-SA"/>
              </w:rPr>
            </w:pPr>
            <w:r>
              <w:rPr>
                <w:rFonts w:eastAsia="Times New Roman" w:cs="Times New Roman" w:ascii="Times New Roman" w:hAnsi="Times New Roman"/>
                <w:color w:val="000000"/>
                <w:kern w:val="0"/>
                <w:sz w:val="20"/>
                <w:szCs w:val="20"/>
                <w:lang w:eastAsia="es-MX" w:bidi="ar-SA"/>
              </w:rPr>
              <w:t>Porcentaje de población indígena:</w:t>
            </w:r>
          </w:p>
        </w:tc>
        <w:tc>
          <w:tcPr>
            <w:tcW w:w="1334"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false"/>
              <w:overflowPunct w:val="false"/>
              <w:jc w:val="center"/>
              <w:rPr>
                <w:rFonts w:ascii="Times New Roman" w:hAnsi="Times New Roman" w:eastAsia="Times New Roman" w:cs="Times New Roman"/>
                <w:kern w:val="0"/>
                <w:sz w:val="20"/>
                <w:szCs w:val="20"/>
                <w:lang w:eastAsia="es-MX" w:bidi="ar-SA"/>
              </w:rPr>
            </w:pPr>
            <w:r>
              <w:rPr>
                <w:rFonts w:eastAsia="Times New Roman" w:cs="Times New Roman" w:ascii="Times New Roman" w:hAnsi="Times New Roman"/>
                <w:color w:val="000000"/>
                <w:kern w:val="0"/>
                <w:sz w:val="20"/>
                <w:szCs w:val="20"/>
                <w:lang w:eastAsia="es-MX" w:bidi="ar-SA"/>
              </w:rPr>
              <w:t>30.48%</w:t>
            </w:r>
          </w:p>
        </w:tc>
        <w:tc>
          <w:tcPr>
            <w:tcW w:w="1335"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false"/>
              <w:overflowPunct w:val="false"/>
              <w:jc w:val="center"/>
              <w:rPr>
                <w:rFonts w:ascii="Times New Roman" w:hAnsi="Times New Roman" w:eastAsia="Times New Roman" w:cs="Times New Roman"/>
                <w:kern w:val="0"/>
                <w:sz w:val="20"/>
                <w:szCs w:val="20"/>
                <w:lang w:eastAsia="es-MX" w:bidi="ar-SA"/>
              </w:rPr>
            </w:pPr>
            <w:r>
              <w:rPr>
                <w:rFonts w:eastAsia="Times New Roman" w:cs="Times New Roman" w:ascii="Times New Roman" w:hAnsi="Times New Roman"/>
                <w:color w:val="000000"/>
                <w:kern w:val="0"/>
                <w:sz w:val="20"/>
                <w:szCs w:val="20"/>
                <w:lang w:eastAsia="es-MX" w:bidi="ar-SA"/>
              </w:rPr>
              <w:t>42.95%</w:t>
            </w:r>
          </w:p>
        </w:tc>
      </w:tr>
      <w:tr>
        <w:trPr>
          <w:trHeight w:val="525" w:hRule="atLeast"/>
        </w:trPr>
        <w:tc>
          <w:tcPr>
            <w:tcW w:w="1334"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false"/>
              <w:overflowPunct w:val="false"/>
              <w:jc w:val="center"/>
              <w:rPr>
                <w:rFonts w:ascii="Times New Roman" w:hAnsi="Times New Roman" w:eastAsia="Times New Roman" w:cs="Times New Roman"/>
                <w:kern w:val="0"/>
                <w:sz w:val="20"/>
                <w:szCs w:val="20"/>
                <w:lang w:eastAsia="es-MX" w:bidi="ar-SA"/>
              </w:rPr>
            </w:pPr>
            <w:r>
              <w:rPr>
                <w:rFonts w:eastAsia="Times New Roman" w:cs="Times New Roman" w:ascii="Times New Roman" w:hAnsi="Times New Roman"/>
                <w:color w:val="000000"/>
                <w:kern w:val="0"/>
                <w:sz w:val="20"/>
                <w:szCs w:val="20"/>
                <w:lang w:eastAsia="es-MX" w:bidi="ar-SA"/>
              </w:rPr>
              <w:t>Porcentaje que habla una lengua indígena:</w:t>
            </w:r>
          </w:p>
        </w:tc>
        <w:tc>
          <w:tcPr>
            <w:tcW w:w="1334"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false"/>
              <w:overflowPunct w:val="false"/>
              <w:jc w:val="center"/>
              <w:rPr>
                <w:rFonts w:ascii="Times New Roman" w:hAnsi="Times New Roman" w:eastAsia="Times New Roman" w:cs="Times New Roman"/>
                <w:kern w:val="0"/>
                <w:sz w:val="20"/>
                <w:szCs w:val="20"/>
                <w:lang w:eastAsia="es-MX" w:bidi="ar-SA"/>
              </w:rPr>
            </w:pPr>
            <w:r>
              <w:rPr>
                <w:rFonts w:eastAsia="Times New Roman" w:cs="Times New Roman" w:ascii="Times New Roman" w:hAnsi="Times New Roman"/>
                <w:color w:val="000000"/>
                <w:kern w:val="0"/>
                <w:sz w:val="20"/>
                <w:szCs w:val="20"/>
                <w:lang w:eastAsia="es-MX" w:bidi="ar-SA"/>
              </w:rPr>
              <w:t>10.76%</w:t>
            </w:r>
          </w:p>
        </w:tc>
        <w:tc>
          <w:tcPr>
            <w:tcW w:w="1335"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false"/>
              <w:overflowPunct w:val="false"/>
              <w:jc w:val="center"/>
              <w:rPr>
                <w:rFonts w:ascii="Times New Roman" w:hAnsi="Times New Roman" w:eastAsia="Times New Roman" w:cs="Times New Roman"/>
                <w:kern w:val="0"/>
                <w:sz w:val="20"/>
                <w:szCs w:val="20"/>
                <w:lang w:eastAsia="es-MX" w:bidi="ar-SA"/>
              </w:rPr>
            </w:pPr>
            <w:r>
              <w:rPr>
                <w:rFonts w:eastAsia="Times New Roman" w:cs="Times New Roman" w:ascii="Times New Roman" w:hAnsi="Times New Roman"/>
                <w:color w:val="000000"/>
                <w:kern w:val="0"/>
                <w:sz w:val="20"/>
                <w:szCs w:val="20"/>
                <w:lang w:eastAsia="es-MX" w:bidi="ar-SA"/>
              </w:rPr>
              <w:t>14.79%</w:t>
            </w:r>
          </w:p>
        </w:tc>
      </w:tr>
      <w:tr>
        <w:trPr>
          <w:trHeight w:val="705" w:hRule="atLeast"/>
        </w:trPr>
        <w:tc>
          <w:tcPr>
            <w:tcW w:w="1334"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false"/>
              <w:overflowPunct w:val="false"/>
              <w:jc w:val="center"/>
              <w:rPr>
                <w:rFonts w:ascii="Times New Roman" w:hAnsi="Times New Roman" w:eastAsia="Times New Roman" w:cs="Times New Roman"/>
                <w:kern w:val="0"/>
                <w:sz w:val="20"/>
                <w:szCs w:val="20"/>
                <w:lang w:eastAsia="es-MX" w:bidi="ar-SA"/>
              </w:rPr>
            </w:pPr>
            <w:r>
              <w:rPr>
                <w:rFonts w:eastAsia="Times New Roman" w:cs="Times New Roman" w:ascii="Times New Roman" w:hAnsi="Times New Roman"/>
                <w:color w:val="000000"/>
                <w:kern w:val="0"/>
                <w:sz w:val="20"/>
                <w:szCs w:val="20"/>
                <w:lang w:eastAsia="es-MX" w:bidi="ar-SA"/>
              </w:rPr>
              <w:t>Porcentaje que habla una lengua indígena y no habla español:</w:t>
            </w:r>
          </w:p>
        </w:tc>
        <w:tc>
          <w:tcPr>
            <w:tcW w:w="1334"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false"/>
              <w:overflowPunct w:val="false"/>
              <w:jc w:val="center"/>
              <w:rPr>
                <w:rFonts w:ascii="Times New Roman" w:hAnsi="Times New Roman" w:eastAsia="Times New Roman" w:cs="Times New Roman"/>
                <w:kern w:val="0"/>
                <w:sz w:val="20"/>
                <w:szCs w:val="20"/>
                <w:lang w:eastAsia="es-MX" w:bidi="ar-SA"/>
              </w:rPr>
            </w:pPr>
            <w:r>
              <w:rPr>
                <w:rFonts w:eastAsia="Times New Roman" w:cs="Times New Roman" w:ascii="Times New Roman" w:hAnsi="Times New Roman"/>
                <w:color w:val="000000"/>
                <w:kern w:val="0"/>
                <w:sz w:val="20"/>
                <w:szCs w:val="20"/>
                <w:lang w:eastAsia="es-MX" w:bidi="ar-SA"/>
              </w:rPr>
              <w:t>0.04%</w:t>
            </w:r>
          </w:p>
        </w:tc>
        <w:tc>
          <w:tcPr>
            <w:tcW w:w="1335"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false"/>
              <w:overflowPunct w:val="false"/>
              <w:jc w:val="center"/>
              <w:rPr>
                <w:rFonts w:ascii="Times New Roman" w:hAnsi="Times New Roman" w:eastAsia="Times New Roman" w:cs="Times New Roman"/>
                <w:kern w:val="0"/>
                <w:sz w:val="20"/>
                <w:szCs w:val="20"/>
                <w:lang w:eastAsia="es-MX" w:bidi="ar-SA"/>
              </w:rPr>
            </w:pPr>
            <w:r>
              <w:rPr>
                <w:rFonts w:eastAsia="Times New Roman" w:cs="Times New Roman" w:ascii="Times New Roman" w:hAnsi="Times New Roman"/>
                <w:color w:val="000000"/>
                <w:kern w:val="0"/>
                <w:sz w:val="20"/>
                <w:szCs w:val="20"/>
                <w:lang w:eastAsia="es-MX" w:bidi="ar-SA"/>
              </w:rPr>
              <w:t>0.19%</w:t>
            </w:r>
          </w:p>
        </w:tc>
      </w:tr>
    </w:tbl>
    <w:p>
      <w:pPr>
        <w:pStyle w:val="LOnormal"/>
        <w:jc w:val="both"/>
        <w:rPr>
          <w:rFonts w:ascii="Times New Roman" w:hAnsi="Times New Roman" w:eastAsia="Times New Roman" w:cs="Times New Roman"/>
          <w:sz w:val="20"/>
          <w:szCs w:val="20"/>
        </w:rPr>
      </w:pPr>
      <w:r>
        <w:rPr/>
      </w:r>
    </w:p>
    <w:p>
      <w:pPr>
        <w:pStyle w:val="LOnormal"/>
        <w:jc w:val="both"/>
        <w:rPr/>
      </w:pPr>
      <w:r>
        <w:rPr>
          <w:rFonts w:eastAsia="Times New Roman" w:cs="Times New Roman" w:ascii="Times New Roman" w:hAnsi="Times New Roman"/>
          <w:i/>
          <w:iCs/>
          <w:sz w:val="20"/>
          <w:szCs w:val="20"/>
        </w:rPr>
        <w:t>B.</w:t>
      </w:r>
      <w:r>
        <w:rPr>
          <w:rFonts w:eastAsia="Times New Roman" w:cs="Times New Roman" w:ascii="Times New Roman" w:hAnsi="Times New Roman"/>
          <w:i/>
          <w:iCs/>
          <w:sz w:val="20"/>
          <w:szCs w:val="20"/>
        </w:rPr>
        <w:t xml:space="preserve"> Análisis Problema o necesidad social</w:t>
      </w:r>
    </w:p>
    <w:p>
      <w:pPr>
        <w:pStyle w:val="LOnormal"/>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Las comunidades de las periferias de las grandes urbes a menudo son espacios de rezago y desigualdades principalmente en aspectos de salud, vivienda, educación, entre otros como se puede observar en el diagnóstico. No obstante el desarrollo inmobiliario a causa del crecimiento de la urbe y las migraciones provocan que las comunidades originarias como la comisaría de Dzityá en Mérida Yucatán se convierten en un OASIS donde la cultura indígena en este caso maya, las actividades ancestrales, y el patrimonio biocultural aún convergen a pesar del impacto del desarrollo urbano.</w:t>
      </w:r>
    </w:p>
    <w:p>
      <w:pPr>
        <w:pStyle w:val="LOnormal"/>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LOnormal"/>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xml:space="preserve">Por tal motivo a pesar que existe una escuela de telesecundaria, un telebachillerato que comenzó sus operaciones aproximadamente en el 2022 el rezago educativo, la perdida de cultura maya,  el deterioro del patrimonio biocultural, los diferentes problemas de la actividad artesanal es evidente. Por lo que la construcción de une espacio comunitario que refuerce habilidades para la educación superior, interculturalidad y economía social y solidaria se vuelve fundamental para la revalorización de la identidad de la comisaría. </w:t>
      </w:r>
    </w:p>
    <w:p>
      <w:pPr>
        <w:pStyle w:val="LOnormal"/>
        <w:jc w:val="both"/>
        <w:rPr>
          <w:rFonts w:ascii="Times New Roman" w:hAnsi="Times New Roman" w:eastAsia="Times New Roman" w:cs="Times New Roman"/>
          <w:sz w:val="20"/>
          <w:szCs w:val="20"/>
        </w:rPr>
      </w:pPr>
      <w:r>
        <w:rPr/>
      </w:r>
    </w:p>
    <w:p>
      <w:pPr>
        <w:pStyle w:val="LOnormal"/>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De manera puntual, para que un alumno que tenga concluido su telebachillerato en dicha comisaría y quiera obtener un grado en la educación superior, tendría opciones publicas cercanas a 10km de su lugar de origen siendo el mismo campus del IT de Mérida una de las opciones más cercanas.</w:t>
      </w:r>
    </w:p>
    <w:p>
      <w:pPr>
        <w:pStyle w:val="LOnormal"/>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LOnormal"/>
        <w:jc w:val="both"/>
        <w:rPr>
          <w:i/>
          <w:i/>
          <w:iCs/>
        </w:rPr>
      </w:pPr>
      <w:r>
        <w:rPr>
          <w:rFonts w:eastAsia="Times New Roman" w:cs="Times New Roman" w:ascii="Times New Roman" w:hAnsi="Times New Roman"/>
          <w:i/>
          <w:iCs/>
          <w:sz w:val="20"/>
          <w:szCs w:val="20"/>
        </w:rPr>
        <w:t>C.</w:t>
      </w:r>
      <w:r>
        <w:rPr>
          <w:rFonts w:eastAsia="Times New Roman" w:cs="Times New Roman" w:ascii="Times New Roman" w:hAnsi="Times New Roman"/>
          <w:i/>
          <w:iCs/>
          <w:sz w:val="20"/>
          <w:szCs w:val="20"/>
        </w:rPr>
        <w:t xml:space="preserve"> Justificación del proyecto</w:t>
      </w:r>
    </w:p>
    <w:p>
      <w:pPr>
        <w:pStyle w:val="LOnormal"/>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La NODESS: Redes de conocimiento sustentable dirigido por el Dr. José Francisco Sarmiento Franco de la Maestría en Planificación de Empresas y Desarrollo Regional del Tecnológico Nacional de México  con sede en el Instituto Tecnológico de Mérida (ITM) ha trabajado por 10 años en la comisaria de Dzityá en donde se han realizado diferentes investigaciones por tesis de dicho posgrado, además han participado invitados de diferentes universidades de la región como la UADY, UNAM, entre otras universidades,  lo que ha permitido ir monitoreando, entendiendo y trabajando de la mano con la comunidad de la comisaria de Dzitya desde una perspectiva de Desarrollo sustentable, buen vivir, desarrollo comunitario y economía social y solidaria, siendo estos los protagonistas.</w:t>
      </w:r>
    </w:p>
    <w:p>
      <w:pPr>
        <w:pStyle w:val="LOnormal"/>
        <w:jc w:val="both"/>
        <w:rPr>
          <w:rFonts w:ascii="Times New Roman" w:hAnsi="Times New Roman" w:eastAsia="Times New Roman" w:cs="Times New Roman"/>
          <w:sz w:val="20"/>
          <w:szCs w:val="20"/>
        </w:rPr>
      </w:pPr>
      <w:r>
        <w:rPr/>
      </w:r>
    </w:p>
    <w:p>
      <w:pPr>
        <w:pStyle w:val="LOnormal"/>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Es importante resaltar que las diferentes investigaciones después de 10 años siguen mostrando rezagos significados en áreas de salud, educación, movilidad, cultura, entre otras. A pesar de contar con una infraestructura incipiente de diferentes servicios.</w:t>
      </w:r>
    </w:p>
    <w:p>
      <w:pPr>
        <w:pStyle w:val="LOnormal"/>
        <w:jc w:val="both"/>
        <w:rPr>
          <w:rFonts w:ascii="Times New Roman" w:hAnsi="Times New Roman" w:eastAsia="Times New Roman" w:cs="Times New Roman"/>
          <w:sz w:val="20"/>
          <w:szCs w:val="20"/>
        </w:rPr>
      </w:pPr>
      <w:r>
        <w:rPr/>
      </w:r>
    </w:p>
    <w:p>
      <w:pPr>
        <w:pStyle w:val="LOnormal"/>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La importancia de este proyecto radica en el fortalecimiento de la identidad cultural, la revalorización del patrimonio biocultural a tarves de actividades educativas comunitarios en ESS, habilidades para la universidad y desarrollo de competencias basado todo en la interculturalidad.</w:t>
      </w:r>
    </w:p>
    <w:p>
      <w:pPr>
        <w:pStyle w:val="LOnormal"/>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LOnormal"/>
        <w:jc w:val="both"/>
        <w:rPr>
          <w:i/>
          <w:i/>
          <w:iCs/>
        </w:rPr>
      </w:pPr>
      <w:r>
        <w:rPr>
          <w:rFonts w:eastAsia="Times New Roman" w:cs="Times New Roman" w:ascii="Times New Roman" w:hAnsi="Times New Roman"/>
          <w:i/>
          <w:iCs/>
          <w:sz w:val="20"/>
          <w:szCs w:val="20"/>
        </w:rPr>
        <w:t>D.</w:t>
      </w:r>
      <w:r>
        <w:rPr>
          <w:rFonts w:eastAsia="Times New Roman" w:cs="Times New Roman" w:ascii="Times New Roman" w:hAnsi="Times New Roman"/>
          <w:i/>
          <w:iCs/>
          <w:sz w:val="20"/>
          <w:szCs w:val="20"/>
        </w:rPr>
        <w:t xml:space="preserve"> Objetivos del proyecto </w:t>
      </w:r>
    </w:p>
    <w:p>
      <w:pPr>
        <w:pStyle w:val="LOnormal"/>
        <w:numPr>
          <w:ilvl w:val="0"/>
          <w:numId w:val="0"/>
        </w:numPr>
        <w:ind w:left="720" w:hanging="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xml:space="preserve">(1) </w:t>
      </w:r>
      <w:r>
        <w:rPr>
          <w:rFonts w:eastAsia="Times New Roman" w:cs="Times New Roman" w:ascii="Times New Roman" w:hAnsi="Times New Roman"/>
          <w:sz w:val="20"/>
          <w:szCs w:val="20"/>
        </w:rPr>
        <w:t>Construir un diagnóstico comunitarios acerca de las necesidades STEAM para los alumnos e la telesecundaria y telebachillerato comunitario de Dzityá</w:t>
      </w:r>
    </w:p>
    <w:p>
      <w:pPr>
        <w:pStyle w:val="LOnormal"/>
        <w:numPr>
          <w:ilvl w:val="0"/>
          <w:numId w:val="0"/>
        </w:numPr>
        <w:ind w:left="720" w:hanging="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xml:space="preserve">(2) </w:t>
      </w:r>
      <w:r>
        <w:rPr>
          <w:rFonts w:eastAsia="Times New Roman" w:cs="Times New Roman" w:ascii="Times New Roman" w:hAnsi="Times New Roman"/>
          <w:sz w:val="20"/>
          <w:szCs w:val="20"/>
        </w:rPr>
        <w:t xml:space="preserve">Analizar los diferentes factores que están implicados en la educación comunitaria, identidad cultural, ciencias, tecnológica artes y desarrollo sustentable para el desarrollo comunitario </w:t>
      </w:r>
    </w:p>
    <w:p>
      <w:pPr>
        <w:pStyle w:val="LOnormal"/>
        <w:numPr>
          <w:ilvl w:val="0"/>
          <w:numId w:val="0"/>
        </w:numPr>
        <w:ind w:left="720" w:hanging="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xml:space="preserve">(3) </w:t>
      </w:r>
      <w:r>
        <w:rPr>
          <w:rFonts w:eastAsia="Times New Roman" w:cs="Times New Roman" w:ascii="Times New Roman" w:hAnsi="Times New Roman"/>
          <w:sz w:val="20"/>
          <w:szCs w:val="20"/>
        </w:rPr>
        <w:t xml:space="preserve">Diseñar un espacio comunitario desde la metodología del STEAM donde se puedan fomentar la vocación científica junto con las artes, la identidad cultural y el desarrollo comunitario sustentable y la economía social y solidaria </w:t>
      </w:r>
    </w:p>
    <w:p>
      <w:pPr>
        <w:pStyle w:val="LOnormal"/>
        <w:numPr>
          <w:ilvl w:val="0"/>
          <w:numId w:val="0"/>
        </w:numPr>
        <w:ind w:left="720" w:hanging="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xml:space="preserve">(4) </w:t>
      </w:r>
      <w:r>
        <w:rPr>
          <w:rFonts w:eastAsia="Times New Roman" w:cs="Times New Roman" w:ascii="Times New Roman" w:hAnsi="Times New Roman"/>
          <w:sz w:val="20"/>
          <w:szCs w:val="20"/>
        </w:rPr>
        <w:t>Implementar un proyecto comunitario basado en la metodología STEAM hacia el fortalecimiento de la ODS 4 en apoyo al desarrollo comunitario sustentable la NODESS</w:t>
      </w:r>
    </w:p>
    <w:p>
      <w:pPr>
        <w:pStyle w:val="LOnormal"/>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LOnormal"/>
        <w:jc w:val="both"/>
        <w:rPr>
          <w:i/>
          <w:i/>
          <w:iCs/>
        </w:rPr>
      </w:pPr>
      <w:r>
        <w:rPr>
          <w:rFonts w:eastAsia="Times New Roman" w:cs="Times New Roman" w:ascii="Times New Roman" w:hAnsi="Times New Roman"/>
          <w:i/>
          <w:iCs/>
          <w:sz w:val="20"/>
          <w:szCs w:val="20"/>
        </w:rPr>
        <w:t>E.</w:t>
      </w:r>
      <w:r>
        <w:rPr>
          <w:rFonts w:eastAsia="Times New Roman" w:cs="Times New Roman" w:ascii="Times New Roman" w:hAnsi="Times New Roman"/>
          <w:i/>
          <w:iCs/>
          <w:sz w:val="20"/>
          <w:szCs w:val="20"/>
        </w:rPr>
        <w:t xml:space="preserve"> Alcance del anteproyecto</w:t>
      </w:r>
    </w:p>
    <w:p>
      <w:pPr>
        <w:pStyle w:val="LOnormal"/>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El proyecto considera trabajar con alumnos de la telesecundaria y telebachillerato de la comisaria de Dzityá en conjunto con la NODESS: Redes de conocimiento para la sustentabilidad del TECNM/ ITM donde un servidor es parte del equipo de trabajo junto con el cuerpo académico de la maestría en Planificación de Empresas y Desarrollo Regional: Desarrollo regional Sustentable quienes llevan más de 10 años trabajando con dicha comunidad. Se pretende trabajar la  con alumnos del ITM interesados la etapa 1 del presente proyecto.</w:t>
      </w:r>
    </w:p>
    <w:p>
      <w:pPr>
        <w:pStyle w:val="LOnormal"/>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LOnormal"/>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Este proyecto propuesto, se pretende robustecer con otras instituciones educativas, con el fin de ser integral; poniendo en el centro a la comunidad, por lo que esta propuesta puede cambiar  durante su implementación.</w:t>
      </w:r>
    </w:p>
    <w:p>
      <w:pPr>
        <w:pStyle w:val="LOnormal"/>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LOnormal"/>
        <w:jc w:val="both"/>
        <w:rPr>
          <w:i/>
          <w:i/>
          <w:iCs/>
        </w:rPr>
      </w:pPr>
      <w:r>
        <w:rPr>
          <w:rFonts w:eastAsia="Times New Roman" w:cs="Times New Roman" w:ascii="Times New Roman" w:hAnsi="Times New Roman"/>
          <w:i/>
          <w:iCs/>
          <w:sz w:val="20"/>
          <w:szCs w:val="20"/>
        </w:rPr>
        <w:t>F.</w:t>
      </w:r>
      <w:r>
        <w:rPr>
          <w:rFonts w:eastAsia="Times New Roman" w:cs="Times New Roman" w:ascii="Times New Roman" w:hAnsi="Times New Roman"/>
          <w:i/>
          <w:iCs/>
          <w:sz w:val="20"/>
          <w:szCs w:val="20"/>
        </w:rPr>
        <w:t xml:space="preserve"> Etapas del proyecto</w:t>
      </w:r>
    </w:p>
    <w:p>
      <w:pPr>
        <w:pStyle w:val="LOnormal"/>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Etapa 1. Desarrollo de habilidades e identidad cultural: Pensamiento matemático para la vida, Pensamiento crítico, educación ambiental y artes. Desarrollo de prácticas interculturales para la revalorización de saberes  e identidad cultural</w:t>
      </w:r>
    </w:p>
    <w:p>
      <w:pPr>
        <w:pStyle w:val="LOnormal"/>
        <w:jc w:val="both"/>
        <w:rPr>
          <w:rFonts w:ascii="Times New Roman" w:hAnsi="Times New Roman" w:eastAsia="Times New Roman" w:cs="Times New Roman"/>
          <w:sz w:val="20"/>
          <w:szCs w:val="20"/>
        </w:rPr>
      </w:pPr>
      <w:r>
        <w:rPr/>
      </w:r>
    </w:p>
    <w:p>
      <w:pPr>
        <w:pStyle w:val="LOnormal"/>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Etapa 2. Aplicación de habilidades matemáticas, habilidades blandas, educación ambiental y artes para el diseño, prototipos y experimentos relacionados con la ingeniería. Aplicación de herramientas de la metodología de la IAP para el fortalecimeinto y resolución de problemas comunitarios, habilidades y prácticas interculturales para la revalorización de saberes  e identidad cultural</w:t>
      </w:r>
    </w:p>
    <w:p>
      <w:pPr>
        <w:pStyle w:val="LOnormal"/>
        <w:jc w:val="both"/>
        <w:rPr>
          <w:rFonts w:ascii="Times New Roman" w:hAnsi="Times New Roman" w:eastAsia="Times New Roman" w:cs="Times New Roman"/>
          <w:sz w:val="20"/>
          <w:szCs w:val="20"/>
        </w:rPr>
      </w:pPr>
      <w:r>
        <w:rPr/>
      </w:r>
    </w:p>
    <w:p>
      <w:pPr>
        <w:pStyle w:val="LOnormal"/>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xml:space="preserve">Etapa 3. Aplicación de habilidades matemáticas, habilidades blandas, educación ambiental y artes para la construcción de prototipos y experimentos para fortalecer la identidad cultural de la comunidad </w:t>
      </w:r>
    </w:p>
    <w:p>
      <w:pPr>
        <w:pStyle w:val="LOnormal"/>
        <w:jc w:val="both"/>
        <w:rPr>
          <w:rFonts w:ascii="Times New Roman" w:hAnsi="Times New Roman" w:eastAsia="Times New Roman" w:cs="Times New Roman"/>
          <w:sz w:val="20"/>
          <w:szCs w:val="20"/>
        </w:rPr>
      </w:pPr>
      <w:r>
        <w:rPr/>
      </w:r>
    </w:p>
    <w:p>
      <w:pPr>
        <w:pStyle w:val="LOnormal"/>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Etapa 4. Elaborar proyectos multidisciplinarios entre alumnos del ITM y otras instituciones para proyectos en ciencias, tecnología artes y educación ambiental desde una perspectiva intercultural y de la ESS.</w:t>
      </w:r>
    </w:p>
    <w:p>
      <w:pPr>
        <w:pStyle w:val="LOnormal"/>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LOnormal"/>
        <w:jc w:val="both"/>
        <w:rPr>
          <w:i/>
          <w:i/>
          <w:iCs/>
        </w:rPr>
      </w:pPr>
      <w:r>
        <w:rPr>
          <w:rFonts w:eastAsia="Times New Roman" w:cs="Times New Roman" w:ascii="Times New Roman" w:hAnsi="Times New Roman"/>
          <w:i/>
          <w:iCs/>
          <w:sz w:val="20"/>
          <w:szCs w:val="20"/>
        </w:rPr>
        <w:t>G.</w:t>
      </w:r>
      <w:r>
        <w:rPr>
          <w:rFonts w:eastAsia="Times New Roman" w:cs="Times New Roman" w:ascii="Times New Roman" w:hAnsi="Times New Roman"/>
          <w:i/>
          <w:iCs/>
          <w:sz w:val="20"/>
          <w:szCs w:val="20"/>
        </w:rPr>
        <w:t xml:space="preserve"> Resultados </w:t>
      </w:r>
      <w:r>
        <w:rPr>
          <w:rFonts w:eastAsia="Times New Roman" w:cs="Times New Roman" w:ascii="Times New Roman" w:hAnsi="Times New Roman"/>
          <w:i/>
          <w:iCs/>
          <w:sz w:val="20"/>
          <w:szCs w:val="20"/>
        </w:rPr>
        <w:t>e</w:t>
      </w:r>
      <w:r>
        <w:rPr>
          <w:rFonts w:eastAsia="Times New Roman" w:cs="Times New Roman" w:ascii="Times New Roman" w:hAnsi="Times New Roman"/>
          <w:i/>
          <w:iCs/>
          <w:sz w:val="20"/>
          <w:szCs w:val="20"/>
        </w:rPr>
        <w:t>sperados</w:t>
      </w:r>
    </w:p>
    <w:p>
      <w:pPr>
        <w:pStyle w:val="LOnormal"/>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Lograr los objetivos planteados y de manera específica, para alcanzar el desarrollo de competencias matemáticas para la vida, pensamiento critico y elementos básicos de musica y artes relacionados con las matemáticas, y las ciencias.</w:t>
      </w:r>
    </w:p>
    <w:p>
      <w:pPr>
        <w:pStyle w:val="LOnormal"/>
        <w:jc w:val="both"/>
        <w:rPr>
          <w:rFonts w:ascii="Times New Roman" w:hAnsi="Times New Roman" w:eastAsia="Times New Roman" w:cs="Times New Roman"/>
          <w:sz w:val="20"/>
          <w:szCs w:val="20"/>
        </w:rPr>
      </w:pPr>
      <w:r>
        <w:rPr/>
      </w:r>
    </w:p>
    <w:p>
      <w:pPr>
        <w:pStyle w:val="LOnormal"/>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xml:space="preserve">Desarrollar un pensamiento matemático, crítico suficiente para un buen desempeño en la educación superior </w:t>
      </w:r>
    </w:p>
    <w:p>
      <w:pPr>
        <w:pStyle w:val="LOnormal"/>
        <w:jc w:val="both"/>
        <w:rPr>
          <w:rFonts w:ascii="Times New Roman" w:hAnsi="Times New Roman" w:eastAsia="Times New Roman" w:cs="Times New Roman"/>
          <w:sz w:val="20"/>
          <w:szCs w:val="20"/>
        </w:rPr>
      </w:pPr>
      <w:r>
        <w:rPr/>
      </w:r>
    </w:p>
    <w:p>
      <w:pPr>
        <w:pStyle w:val="LOnormal"/>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Reforzar su identidad cultural, a través de prácticas interculturales como artes y musica relacionados con la identidad de Dzytia, así como realzar la importancia de ser parte de ello.</w:t>
      </w:r>
    </w:p>
    <w:p>
      <w:pPr>
        <w:pStyle w:val="LOnormal"/>
        <w:jc w:val="both"/>
        <w:rPr>
          <w:rFonts w:ascii="Times New Roman" w:hAnsi="Times New Roman" w:eastAsia="Times New Roman" w:cs="Times New Roman"/>
          <w:sz w:val="20"/>
          <w:szCs w:val="20"/>
        </w:rPr>
      </w:pPr>
      <w:r>
        <w:rPr/>
      </w:r>
    </w:p>
    <w:p>
      <w:pPr>
        <w:pStyle w:val="LOnormal"/>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Crear un espacio transdisciplinario para la experimentación científica, tecnológica y cultural hacia una ESS.</w:t>
      </w:r>
    </w:p>
    <w:p>
      <w:pPr>
        <w:pStyle w:val="LOnormal"/>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LOnormal"/>
        <w:jc w:val="both"/>
        <w:rPr>
          <w:rFonts w:ascii="Times New Roman" w:hAnsi="Times New Roman" w:eastAsia="Times New Roman" w:cs="Times New Roman"/>
          <w:b/>
          <w:b/>
          <w:bCs/>
          <w:sz w:val="20"/>
          <w:szCs w:val="20"/>
        </w:rPr>
      </w:pPr>
      <w:r>
        <w:rPr>
          <w:rFonts w:eastAsia="Times New Roman" w:cs="Times New Roman" w:ascii="Times New Roman" w:hAnsi="Times New Roman"/>
          <w:b/>
          <w:bCs/>
          <w:sz w:val="20"/>
          <w:szCs w:val="20"/>
        </w:rPr>
        <w:t>IV. DISCUSIÓN</w:t>
      </w:r>
    </w:p>
    <w:p>
      <w:pPr>
        <w:pStyle w:val="LOnormal"/>
        <w:ind w:hanging="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xml:space="preserve">La comisaría de Dzityá tiene una tradición artesanal de más de 100 años, ahí se trabaja con madera y piedra, siendo este último el más reconocido a nivel nacional e internacional. Sin embargo, la actividad artesanal de madera se ha ido perdiendo, por razones ambientales y de protección a las diferentes tipos de maderas que se utilizan para esta actividad, otra razón, es que, al no ser una actividad con suficiente remuneración cada vez, son menos los que trabajan dicha actividad, esto se refleja principalmente en los más jovenes, pero que aún sigue siendo importante en la comunidad pues como se menciono tiene una tradición de más de 100 años. A pesar de estos obstáculos; algunos artesanos consideran que esto parte de su identidad cultural y promueven acciones como el comercio justo entre otras, para impulsar las artesanias de madera principalmente. Un ejemplo de lo anterior, fue la rehabilitación de su museo comunitario; ahí se exponen trabajos tanto de madera como de piedra (Pérez , Sarmiento y Arancibia, 2020). </w:t>
      </w:r>
    </w:p>
    <w:p>
      <w:pPr>
        <w:pStyle w:val="LOnormal"/>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ab/>
      </w:r>
    </w:p>
    <w:p>
      <w:pPr>
        <w:pStyle w:val="LOnormal"/>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Se ha propuesto, a través de la construcción de un plan de desarrollo comunitario, diferentes acciones que son y serán llevadas a cabo de la mano con la comunidad, y en conjunto con el Tecnológico de Mérida, coadyuvado con otras instituciones académicas (Ruiz Peraza, Sarmiento Franco y Sosa, 2018). Sin embargo, es importante resaltar que, no ha habido apoyo alguno por parte del gobierno; a pesar de ello los integrantes de la comunidad han realizado actividades como la rehabilitación del museo comunitario, capacitación de actividades productivas, conservatorios con diferentes académicos OSC, ONGS y miembros del gobierno, entre otros. Con el fin de entender la problemas y fortalecer lo mejor que s pueda la identidad del  lugar (Pérez, 2022; Reyes, 2022). Sin embargo, esto aún es incipiente.</w:t>
      </w:r>
    </w:p>
    <w:p>
      <w:pPr>
        <w:pStyle w:val="LOnormal"/>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ab/>
      </w:r>
    </w:p>
    <w:p>
      <w:pPr>
        <w:pStyle w:val="LOnormal"/>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xml:space="preserve">El TECNM/ IT de Mérida a través del Dr. Francisco Sarmiento Franco y el cuerpo académico de la Maestría en Planificación de Empresas y Desarrollo Regional, ha trabajado cerca de 10 años, en diferentes proyectos, dentro de la comunidad, dichos proyectos han estado enfocados en la Economía Social y Solidaria, el desarrollo comunitario, entre otros. De todos ellos, se han obtenido diferentes resultados favorables, para la comunidad, siendo el más reciente la certificación de la NODESS: Redes de conocimiento sustentable, firmado entre esta institución educativa, las autoridades municipales y las asociaciones del lugar. (Gijón, 2023). </w:t>
      </w:r>
    </w:p>
    <w:p>
      <w:pPr>
        <w:pStyle w:val="LOnormal"/>
        <w:jc w:val="both"/>
        <w:rPr/>
      </w:pPr>
      <w:r>
        <w:rPr/>
      </w:r>
    </w:p>
    <w:p>
      <w:pPr>
        <w:pStyle w:val="LOnormal"/>
        <w:jc w:val="both"/>
        <w:rPr>
          <w:b/>
          <w:b/>
          <w:bCs/>
        </w:rPr>
      </w:pPr>
      <w:r>
        <w:rPr>
          <w:rFonts w:eastAsia="Times New Roman" w:cs="Times New Roman" w:ascii="Times New Roman" w:hAnsi="Times New Roman"/>
          <w:b/>
          <w:bCs/>
          <w:sz w:val="20"/>
          <w:szCs w:val="20"/>
        </w:rPr>
        <w:t>V. CONCLUSIONES</w:t>
      </w:r>
    </w:p>
    <w:p>
      <w:pPr>
        <w:pStyle w:val="LOnormal"/>
        <w:ind w:hanging="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El desarrollo de este proyecto, aporta de forma significativa, en el desarrollo de habilidades y destrezas, para el fortalecimiento académico de las nuevas generaciones. De igual forma busca lograr un equilibrio entre lo académico, cultural y social, manteniendo las tradiciones y adaptando los saberes académicos.</w:t>
      </w:r>
    </w:p>
    <w:p>
      <w:pPr>
        <w:pStyle w:val="LOnormal"/>
        <w:ind w:firstLine="709"/>
        <w:jc w:val="both"/>
        <w:rPr>
          <w:rFonts w:ascii="Times New Roman" w:hAnsi="Times New Roman" w:eastAsia="Times New Roman" w:cs="Times New Roman"/>
          <w:sz w:val="20"/>
          <w:szCs w:val="20"/>
        </w:rPr>
      </w:pPr>
      <w:r>
        <w:rPr/>
      </w:r>
    </w:p>
    <w:p>
      <w:pPr>
        <w:pStyle w:val="LOnormal"/>
        <w:ind w:hanging="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Para el logro de los objetivos planteados, y de manera específica, para alcanzar el desarrollo de competencias matemáticas para la vida, pensamiento crítico y elementos básicos de música y artes relacionados con las matemáticas, y las ciencias, es necesario, desarrollar un pensamiento matemático, crítico, suficiente para un buen desempeño en la educación superior. De igual forma, es necesario reforzar la identidad cultural, a través de prácticas interculturales como artes y musica relacionados con la identidad de Dzityá, así como realzar la importancia de ser parte de ello; esto último es de suma importancia, ya que los jovenes han perdido el interés por aprender y reproducir las tradiciones de la comunidad.</w:t>
      </w:r>
    </w:p>
    <w:p>
      <w:pPr>
        <w:pStyle w:val="LOnormal"/>
        <w:ind w:firstLine="709"/>
        <w:jc w:val="both"/>
        <w:rPr>
          <w:rFonts w:ascii="Times New Roman" w:hAnsi="Times New Roman"/>
          <w:bCs/>
          <w:sz w:val="20"/>
          <w:szCs w:val="20"/>
        </w:rPr>
      </w:pPr>
      <w:r>
        <w:rPr/>
      </w:r>
    </w:p>
    <w:p>
      <w:pPr>
        <w:pStyle w:val="LOnormal"/>
        <w:ind w:hanging="0"/>
        <w:jc w:val="both"/>
        <w:rPr>
          <w:rFonts w:ascii="Times New Roman" w:hAnsi="Times New Roman"/>
          <w:bCs/>
          <w:sz w:val="20"/>
          <w:szCs w:val="20"/>
        </w:rPr>
      </w:pPr>
      <w:r>
        <w:rPr>
          <w:rFonts w:ascii="Times New Roman" w:hAnsi="Times New Roman"/>
          <w:bCs/>
          <w:sz w:val="20"/>
          <w:szCs w:val="20"/>
        </w:rPr>
        <w:t>Para finalizar, podemos decir que, un espacio para la innovación social y académica, podría ayudar a construir elementos y actividades para la revalorización de saberes artesanales, fortalecer la identidad cultural y propiciar el emprendimiento basado en la ESS. Esto con la finalidad de aportar en el desarrollo de las competencias que tendran un impacto positivo, en la siguientes generaciones de los habitantes de la comunidad de Dzitya, Yucatán.</w:t>
      </w:r>
    </w:p>
    <w:p>
      <w:pPr>
        <w:pStyle w:val="LOnormal"/>
        <w:rPr/>
      </w:pPr>
      <w:r>
        <w:rPr/>
      </w:r>
    </w:p>
    <w:p>
      <w:pPr>
        <w:pStyle w:val="LOnormal"/>
        <w:rPr>
          <w:b/>
          <w:b/>
          <w:bCs/>
        </w:rPr>
      </w:pPr>
      <w:r>
        <w:rPr>
          <w:rFonts w:eastAsia="Times New Roman" w:cs="Times New Roman" w:ascii="Times New Roman" w:hAnsi="Times New Roman"/>
          <w:b/>
          <w:bCs/>
          <w:sz w:val="20"/>
          <w:szCs w:val="20"/>
        </w:rPr>
        <w:t>AGRADECIMIENTOS</w:t>
      </w:r>
    </w:p>
    <w:p>
      <w:pPr>
        <w:pStyle w:val="LOnormal"/>
        <w:ind w:hanging="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xml:space="preserve">A la comunidad de Dzityá, a los artesanos de madera y de piedra, por darnos la oportunidad de platicar y escuchar las necesidades que tienen como comunidad; a la directora de la telesecundaria de la comunidad por todas la facilidades, que nos ha brindado, para poder llevar a cabo este proyecto. </w:t>
      </w:r>
    </w:p>
    <w:p>
      <w:pPr>
        <w:pStyle w:val="LOnormal"/>
        <w:ind w:hanging="0"/>
        <w:rPr>
          <w:rFonts w:ascii="Times New Roman" w:hAnsi="Times New Roman" w:eastAsia="Times New Roman" w:cs="Times New Roman"/>
          <w:sz w:val="20"/>
          <w:szCs w:val="20"/>
        </w:rPr>
      </w:pPr>
      <w:r>
        <w:rPr/>
      </w:r>
    </w:p>
    <w:p>
      <w:pPr>
        <w:pStyle w:val="LOnormal"/>
        <w:ind w:hanging="0"/>
        <w:jc w:val="both"/>
        <w:rPr/>
      </w:pPr>
      <w:r>
        <w:rPr>
          <w:rFonts w:eastAsia="Times New Roman" w:cs="Times New Roman" w:ascii="Times New Roman" w:hAnsi="Times New Roman"/>
          <w:sz w:val="20"/>
          <w:szCs w:val="20"/>
        </w:rPr>
        <w:t xml:space="preserve">Un especial agradecimiento a Don Secundino por la confianza, de permitirnos estar presente en las diferentes reuniones de la comunidad. </w:t>
      </w:r>
      <w:r>
        <w:rPr>
          <w:rFonts w:eastAsia="Times New Roman" w:cs="Times New Roman" w:ascii="Times New Roman" w:hAnsi="Times New Roman"/>
          <w:sz w:val="20"/>
          <w:szCs w:val="20"/>
        </w:rPr>
        <w:t>De igual froma u</w:t>
      </w:r>
      <w:r>
        <w:rPr>
          <w:rFonts w:eastAsia="Times New Roman" w:cs="Times New Roman" w:ascii="Times New Roman" w:hAnsi="Times New Roman"/>
          <w:sz w:val="20"/>
          <w:szCs w:val="20"/>
        </w:rPr>
        <w:t>n especial agradecimiento al Dr. Francisco Sarmiento del TECNM/ IT de Mérida por su orientación.</w:t>
      </w:r>
    </w:p>
    <w:p>
      <w:pPr>
        <w:pStyle w:val="LOnormal"/>
        <w:rPr>
          <w:color w:val="000000"/>
        </w:rPr>
      </w:pPr>
      <w:r>
        <w:rPr>
          <w:color w:val="000000"/>
        </w:rPr>
      </w:r>
    </w:p>
    <w:p>
      <w:pPr>
        <w:pStyle w:val="LOnormal"/>
        <w:rPr>
          <w:color w:val="000000"/>
        </w:rPr>
      </w:pPr>
      <w:r>
        <w:rPr>
          <w:rFonts w:eastAsia="Times New Roman" w:cs="Times New Roman" w:ascii="Times New Roman" w:hAnsi="Times New Roman"/>
          <w:b/>
          <w:bCs/>
          <w:color w:val="000000"/>
          <w:sz w:val="20"/>
          <w:szCs w:val="20"/>
        </w:rPr>
        <w:t>REFERENCIAS</w:t>
      </w:r>
    </w:p>
    <w:p>
      <w:pPr>
        <w:pStyle w:val="LOnormal"/>
        <w:jc w:val="both"/>
        <w:rPr>
          <w:color w:val="000000"/>
        </w:rPr>
      </w:pPr>
      <w:r>
        <w:rPr>
          <w:color w:val="000000"/>
        </w:rPr>
      </w:r>
    </w:p>
    <w:p>
      <w:pPr>
        <w:pStyle w:val="LOnormal"/>
        <w:spacing w:lineRule="auto" w:line="240"/>
        <w:ind w:left="709" w:hanging="709"/>
        <w:jc w:val="both"/>
        <w:rPr>
          <w:color w:val="000000"/>
        </w:rPr>
      </w:pPr>
      <w:r>
        <w:rPr>
          <w:rFonts w:eastAsia="Times New Roman" w:cs="Times New Roman" w:ascii="Times New Roman" w:hAnsi="Times New Roman"/>
          <w:color w:val="000000"/>
          <w:sz w:val="20"/>
          <w:szCs w:val="20"/>
        </w:rPr>
        <w:t>Arteaga, I. H., Muñoz, C. P., &amp; Castañeda, S. R. (2018). Intereses y perspectivas formativas en economía social y solidaria de los estudiantes universitarios. CIRIEC-Espana, (94), 91-121.</w:t>
      </w:r>
    </w:p>
    <w:p>
      <w:pPr>
        <w:pStyle w:val="LOnormal"/>
        <w:spacing w:lineRule="auto" w:line="240"/>
        <w:ind w:left="709" w:hanging="709"/>
        <w:jc w:val="both"/>
        <w:rPr>
          <w:color w:val="000000"/>
        </w:rPr>
      </w:pPr>
      <w:r>
        <w:rPr>
          <w:rFonts w:eastAsia="Times New Roman" w:cs="Times New Roman" w:ascii="Times New Roman" w:hAnsi="Times New Roman"/>
          <w:color w:val="000000"/>
          <w:sz w:val="20"/>
          <w:szCs w:val="20"/>
        </w:rPr>
        <w:t xml:space="preserve">CACERES, Verónica  y  BARNEIX, Pablo. La enseñanza de la economía social y solidaria en la educación secundaria de Argentina. Rev. estud. exp. educ. [online]. 2021, vol.20, n.42 [citado  2024-09-05], pp.329-346. Disponible en: &lt;http://www.scielo.cl/scielo.php?script=sci_arttext&amp;pid=S0718-51622021000100329&amp;lng=es&amp;nrm=iso&gt;. </w:t>
      </w:r>
      <w:r>
        <w:rPr>
          <w:rFonts w:eastAsia="Times New Roman" w:cs="Times New Roman" w:ascii="Times New Roman" w:hAnsi="Times New Roman"/>
          <w:color w:val="000000"/>
          <w:sz w:val="20"/>
          <w:szCs w:val="20"/>
          <w:lang w:val="en-US"/>
        </w:rPr>
        <w:t>ISSN 0718-5162.  http://dx.doi.org/10.21703/rexe.20212042caceres19.</w:t>
      </w:r>
    </w:p>
    <w:p>
      <w:pPr>
        <w:pStyle w:val="LOnormal"/>
        <w:spacing w:lineRule="auto" w:line="240"/>
        <w:ind w:left="709" w:hanging="709"/>
        <w:jc w:val="both"/>
        <w:rPr>
          <w:color w:val="000000"/>
        </w:rPr>
      </w:pPr>
      <w:r>
        <w:rPr>
          <w:rFonts w:eastAsia="Times New Roman" w:cs="Times New Roman" w:ascii="Times New Roman" w:hAnsi="Times New Roman"/>
          <w:color w:val="000000"/>
          <w:sz w:val="20"/>
          <w:szCs w:val="20"/>
          <w:lang w:val="en-US"/>
        </w:rPr>
        <w:t xml:space="preserve">Council, M. C. (2018). </w:t>
      </w:r>
      <w:r>
        <w:rPr>
          <w:rFonts w:eastAsia="Times New Roman" w:cs="Times New Roman" w:ascii="Times New Roman" w:hAnsi="Times New Roman"/>
          <w:color w:val="000000"/>
          <w:sz w:val="20"/>
          <w:szCs w:val="20"/>
        </w:rPr>
        <w:t>Atlas de riesgos del municipio de Mérida, Yucatán: escenarios futuros ante el cambio climático (Risk atlas of the municipality of Mérida, Yucatán: Future scenarios in face of climate change).</w:t>
      </w:r>
    </w:p>
    <w:p>
      <w:pPr>
        <w:pStyle w:val="LOnormal"/>
        <w:spacing w:lineRule="auto" w:line="240"/>
        <w:ind w:left="709" w:hanging="709"/>
        <w:jc w:val="both"/>
        <w:rPr>
          <w:color w:val="000000"/>
        </w:rPr>
      </w:pPr>
      <w:r>
        <w:rPr>
          <w:rFonts w:eastAsia="Times New Roman" w:cs="Times New Roman" w:ascii="Times New Roman" w:hAnsi="Times New Roman"/>
          <w:color w:val="000000"/>
          <w:sz w:val="20"/>
          <w:szCs w:val="20"/>
        </w:rPr>
        <w:t>Francés, F. J., Alaminos, A., Penalva, C. y Santacreu, O. A. (2025). La investigación participativa: métodos y técnicas. Ecuador: PYDLOS Ediciones.</w:t>
      </w:r>
    </w:p>
    <w:p>
      <w:pPr>
        <w:pStyle w:val="LOnormal"/>
        <w:spacing w:lineRule="auto" w:line="240"/>
        <w:ind w:left="709" w:hanging="709"/>
        <w:jc w:val="both"/>
        <w:rPr>
          <w:color w:val="000000"/>
        </w:rPr>
      </w:pPr>
      <w:r>
        <w:rPr>
          <w:rFonts w:eastAsia="Times New Roman" w:cs="Times New Roman" w:ascii="Times New Roman" w:hAnsi="Times New Roman"/>
          <w:color w:val="000000"/>
          <w:sz w:val="20"/>
          <w:szCs w:val="20"/>
        </w:rPr>
        <w:t>Gijón, N. E. (2022). Fortalecimiento del plan de desarrollo comunitario sustentable desde la perspectiva participativa y redes de conocimiento en la comisaría de Dzitya. https://rinacional.tecnm.mx/jspui/handle/TecNM/4802</w:t>
      </w:r>
    </w:p>
    <w:p>
      <w:pPr>
        <w:pStyle w:val="LOnormal"/>
        <w:spacing w:lineRule="auto" w:line="240"/>
        <w:ind w:left="709" w:hanging="709"/>
        <w:jc w:val="both"/>
        <w:rPr>
          <w:color w:val="000000"/>
        </w:rPr>
      </w:pPr>
      <w:r>
        <w:rPr>
          <w:rFonts w:eastAsia="Times New Roman" w:cs="Times New Roman" w:ascii="Times New Roman" w:hAnsi="Times New Roman"/>
          <w:color w:val="000000"/>
          <w:sz w:val="20"/>
          <w:szCs w:val="20"/>
        </w:rPr>
        <w:t>Garino, D. (2022). Economía social y solidaria en la escuela secundaria: cuando la formación para el trabajo es una estrategia de inclusión social. Observatorio Social sobre Empresas Recuperadas y Autogestionadas, 1(18).</w:t>
      </w:r>
    </w:p>
    <w:p>
      <w:pPr>
        <w:pStyle w:val="LOnormal"/>
        <w:spacing w:lineRule="auto" w:line="240"/>
        <w:ind w:left="709" w:hanging="709"/>
        <w:rPr>
          <w:color w:val="000000"/>
        </w:rPr>
      </w:pPr>
      <w:r>
        <w:rPr>
          <w:rFonts w:eastAsia="Times New Roman" w:cs="Times New Roman" w:ascii="Times New Roman" w:hAnsi="Times New Roman"/>
          <w:color w:val="000000"/>
          <w:sz w:val="20"/>
          <w:szCs w:val="20"/>
        </w:rPr>
        <w:t xml:space="preserve">García, E. S. (2012). Guía para elaborar citas y referencias en formato APA. </w:t>
      </w:r>
      <w:r>
        <w:rPr>
          <w:rFonts w:eastAsia="Times New Roman" w:cs="Times New Roman" w:ascii="Times New Roman" w:hAnsi="Times New Roman"/>
          <w:i/>
          <w:color w:val="000000"/>
          <w:sz w:val="20"/>
          <w:szCs w:val="20"/>
        </w:rPr>
        <w:t>Recuperado de http://http://www. magisteriolalinea. com/home/carpeta/pdf/MANUAL_APA_ULACIT_a ctualizado_2012. pdf</w:t>
      </w:r>
      <w:r>
        <w:rPr>
          <w:rFonts w:eastAsia="Times New Roman" w:cs="Times New Roman" w:ascii="Times New Roman" w:hAnsi="Times New Roman"/>
          <w:color w:val="000000"/>
          <w:sz w:val="20"/>
          <w:szCs w:val="20"/>
        </w:rPr>
        <w:t>.</w:t>
      </w:r>
    </w:p>
    <w:p>
      <w:pPr>
        <w:pStyle w:val="LOnormal"/>
        <w:spacing w:lineRule="auto" w:line="240"/>
        <w:ind w:left="709" w:hanging="709"/>
        <w:jc w:val="both"/>
        <w:rPr/>
      </w:pPr>
      <w:r>
        <w:rPr>
          <w:rFonts w:eastAsia="Times New Roman" w:cs="Times New Roman" w:ascii="Times New Roman" w:hAnsi="Times New Roman"/>
          <w:color w:val="000000"/>
          <w:sz w:val="20"/>
          <w:szCs w:val="20"/>
        </w:rPr>
        <w:t xml:space="preserve">García Gil, Gerardo, Oliva Peña, Yolanda, &amp; Ortiz Pech, Rafael. (2012). Distribución espacial de la marginación urbana en la ciudad de Mérida, Yucatán, México. Investigaciones geográficas, (77), 89-106. Recuperado en 26 de septiembre de 2024, de </w:t>
      </w:r>
      <w:hyperlink r:id="rId8">
        <w:r>
          <w:rPr>
            <w:rStyle w:val="EnlacedeInternet"/>
            <w:rFonts w:eastAsia="Times New Roman" w:cs="Times New Roman" w:ascii="Times New Roman" w:hAnsi="Times New Roman"/>
            <w:color w:val="000000"/>
            <w:sz w:val="20"/>
            <w:szCs w:val="20"/>
          </w:rPr>
          <w:t>http://www.scielo.org.mx/scielo.php?script=sci_arttext&amp;pid=S0188-46112012000100008&amp;lng=es&amp;tlng=es</w:t>
        </w:r>
      </w:hyperlink>
      <w:r>
        <w:rPr>
          <w:rFonts w:eastAsia="Times New Roman" w:cs="Times New Roman" w:ascii="Times New Roman" w:hAnsi="Times New Roman"/>
          <w:color w:val="000000"/>
          <w:sz w:val="20"/>
          <w:szCs w:val="20"/>
        </w:rPr>
        <w:t>.</w:t>
      </w:r>
    </w:p>
    <w:p>
      <w:pPr>
        <w:pStyle w:val="LOnormal"/>
        <w:spacing w:lineRule="auto" w:line="240"/>
        <w:ind w:left="709" w:hanging="709"/>
        <w:jc w:val="both"/>
        <w:rPr>
          <w:color w:val="000000"/>
        </w:rPr>
      </w:pPr>
      <w:r>
        <w:rPr>
          <w:rFonts w:eastAsia="Times New Roman" w:cs="Times New Roman" w:ascii="Times New Roman" w:hAnsi="Times New Roman"/>
          <w:color w:val="000000"/>
          <w:sz w:val="20"/>
          <w:szCs w:val="20"/>
        </w:rPr>
        <w:t>Gracia, María Amalia, &amp; Horbath, Jorge Enrique. (2019). Condiciones de vida y discriminación a indígenas en Mérida, Yucatán, México. Estudios sociológicos, 37(110), 277-307. https://doi.org/10.24201/es.2019v37n110.1666</w:t>
      </w:r>
    </w:p>
    <w:p>
      <w:pPr>
        <w:pStyle w:val="LOnormal"/>
        <w:spacing w:lineRule="auto" w:line="240"/>
        <w:ind w:left="709" w:hanging="709"/>
        <w:jc w:val="both"/>
        <w:rPr>
          <w:color w:val="000000"/>
        </w:rPr>
      </w:pPr>
      <w:r>
        <w:rPr>
          <w:rFonts w:eastAsia="Times New Roman" w:cs="Times New Roman" w:ascii="Times New Roman" w:hAnsi="Times New Roman"/>
          <w:color w:val="000000"/>
          <w:sz w:val="20"/>
          <w:szCs w:val="20"/>
        </w:rPr>
        <w:t>Instituto Nacional de Estadística y Geografía (INEGI) (2020) Censo de Población y Vivienda. https://www.inegi.org.mx/programas/ccpv/2020/</w:t>
      </w:r>
    </w:p>
    <w:p>
      <w:pPr>
        <w:pStyle w:val="LOnormal"/>
        <w:spacing w:lineRule="auto" w:line="240"/>
        <w:ind w:left="709" w:hanging="709"/>
        <w:jc w:val="both"/>
        <w:rPr>
          <w:color w:val="000000"/>
        </w:rPr>
      </w:pPr>
      <w:r>
        <w:rPr>
          <w:rFonts w:eastAsia="Times New Roman" w:cs="Times New Roman" w:ascii="Times New Roman" w:hAnsi="Times New Roman"/>
          <w:color w:val="000000"/>
          <w:sz w:val="20"/>
          <w:szCs w:val="20"/>
        </w:rPr>
        <w:t>Instituto Nacional de la Economía Social (INAES) (2023). Merçon, J. (2022). Investigación transdisciplinaria e investigación-acción participativa en clave decolonial. Utopía y praxis latinoamericana, 27(98).</w:t>
      </w:r>
    </w:p>
    <w:p>
      <w:pPr>
        <w:pStyle w:val="LOnormal"/>
        <w:spacing w:lineRule="auto" w:line="240"/>
        <w:ind w:left="709" w:hanging="709"/>
        <w:jc w:val="both"/>
        <w:rPr>
          <w:color w:val="000000"/>
        </w:rPr>
      </w:pPr>
      <w:r>
        <w:rPr>
          <w:rFonts w:eastAsia="Times New Roman" w:cs="Times New Roman" w:ascii="Times New Roman" w:hAnsi="Times New Roman"/>
          <w:color w:val="000000"/>
          <w:sz w:val="20"/>
          <w:szCs w:val="20"/>
        </w:rPr>
        <w:t>Muñoz Izquierdo, Carlos. (2001). Educación y desarrollo económico y social: Políticas públicas en México y América Latina durante las últimas décadas del siglo XX. Perfiles educativos, 23(91), 07-36. Recuperado en 26 de septiembre de 2024, de http://www.scielo.org.mx/scielo.php?script=sci_arttext&amp;pid=S0185-26982001000100002&amp;lng=es&amp;tlng=es.</w:t>
      </w:r>
    </w:p>
    <w:p>
      <w:pPr>
        <w:pStyle w:val="LOnormal"/>
        <w:spacing w:lineRule="auto" w:line="240"/>
        <w:ind w:left="709" w:hanging="709"/>
        <w:jc w:val="both"/>
        <w:rPr>
          <w:color w:val="000000"/>
        </w:rPr>
      </w:pPr>
      <w:r>
        <w:rPr>
          <w:rFonts w:eastAsia="Times New Roman" w:cs="Times New Roman" w:ascii="Times New Roman" w:hAnsi="Times New Roman"/>
          <w:color w:val="000000"/>
          <w:sz w:val="20"/>
          <w:szCs w:val="20"/>
        </w:rPr>
        <w:t>Navarrete, Zaira &amp; Ocaña Pérez, Lorena. (2022). Rezago educativo en la educación básica de México 1990-2020. Un análisis comparativo en la temporalidad de tres declaraciones mundiales de la UNESCO. Foro de Educación. 20. 295-318. 10.14516/fde.859.</w:t>
      </w:r>
    </w:p>
    <w:p>
      <w:pPr>
        <w:pStyle w:val="LOnormal"/>
        <w:spacing w:lineRule="auto" w:line="240"/>
        <w:ind w:left="709" w:hanging="709"/>
        <w:jc w:val="both"/>
        <w:rPr>
          <w:color w:val="000000"/>
        </w:rPr>
      </w:pPr>
      <w:r>
        <w:rPr>
          <w:rFonts w:eastAsia="Times New Roman" w:cs="Times New Roman" w:ascii="Times New Roman" w:hAnsi="Times New Roman"/>
          <w:color w:val="000000"/>
          <w:sz w:val="20"/>
          <w:szCs w:val="20"/>
        </w:rPr>
        <w:t>Nodos de Impulso a la Economía Social y Solidaria NODESS. https://www.gob.mx/inaes/acciones-y-programas/nodos-de-impulso-a-la-economia-social-y-solidaria-nodess-233732</w:t>
      </w:r>
    </w:p>
    <w:p>
      <w:pPr>
        <w:pStyle w:val="LOnormal"/>
        <w:spacing w:lineRule="auto" w:line="240"/>
        <w:ind w:left="709" w:hanging="709"/>
        <w:jc w:val="both"/>
        <w:rPr>
          <w:color w:val="000000"/>
        </w:rPr>
      </w:pPr>
      <w:r>
        <w:rPr>
          <w:rFonts w:eastAsia="Times New Roman" w:cs="Times New Roman" w:ascii="Times New Roman" w:hAnsi="Times New Roman"/>
          <w:color w:val="000000"/>
          <w:sz w:val="20"/>
          <w:szCs w:val="20"/>
        </w:rPr>
        <w:t>Pérez Domínguez, M. T., Sarmiento Franco, J. F., &amp; Arancibia Gutiérrez, E. A. (2020). El comercio justo como estrategia para el fortalecimiento de las artesanías de madera, en Dzityá, Yucatán.</w:t>
      </w:r>
    </w:p>
    <w:p>
      <w:pPr>
        <w:pStyle w:val="LOnormal"/>
        <w:spacing w:lineRule="auto" w:line="240"/>
        <w:ind w:left="709" w:hanging="709"/>
        <w:jc w:val="both"/>
        <w:rPr/>
      </w:pPr>
      <w:r>
        <w:rPr>
          <w:rFonts w:eastAsia="Times New Roman" w:cs="Times New Roman" w:ascii="Times New Roman" w:hAnsi="Times New Roman"/>
          <w:color w:val="000000"/>
          <w:sz w:val="20"/>
          <w:szCs w:val="20"/>
        </w:rPr>
        <w:t xml:space="preserve">Pérez, P. M. (2022) Programa de turismo comunitario sustentable para la comisaría de Dzityá, Yucatán.. Tesis. </w:t>
      </w:r>
      <w:hyperlink r:id="rId9">
        <w:r>
          <w:rPr>
            <w:rStyle w:val="EnlacedeInternet"/>
            <w:rFonts w:eastAsia="Times New Roman" w:cs="Times New Roman" w:ascii="Times New Roman" w:hAnsi="Times New Roman"/>
            <w:color w:val="000000"/>
            <w:sz w:val="20"/>
            <w:szCs w:val="20"/>
          </w:rPr>
          <w:t>https://rinacional.tecnm.mx/jspui/handle/TecNM/4585</w:t>
        </w:r>
      </w:hyperlink>
    </w:p>
    <w:p>
      <w:pPr>
        <w:pStyle w:val="LOnormal"/>
        <w:spacing w:lineRule="auto" w:line="240"/>
        <w:ind w:left="709" w:hanging="709"/>
        <w:jc w:val="both"/>
        <w:rPr>
          <w:color w:val="000000"/>
        </w:rPr>
      </w:pPr>
      <w:r>
        <w:rPr>
          <w:rFonts w:eastAsia="Times New Roman" w:cs="Times New Roman" w:ascii="Times New Roman" w:hAnsi="Times New Roman"/>
          <w:color w:val="000000"/>
          <w:sz w:val="20"/>
          <w:szCs w:val="20"/>
        </w:rPr>
        <w:t>Programas Nacionales Estratégicos (PRONACES) (2024) Programas Nacionales Estratégicos. https://conahcyt.mx/pronaces/</w:t>
      </w:r>
    </w:p>
    <w:p>
      <w:pPr>
        <w:pStyle w:val="LOnormal"/>
        <w:spacing w:lineRule="auto" w:line="240"/>
        <w:ind w:left="709" w:hanging="709"/>
        <w:jc w:val="both"/>
        <w:rPr>
          <w:color w:val="000000"/>
        </w:rPr>
      </w:pPr>
      <w:r>
        <w:rPr>
          <w:rFonts w:eastAsia="Times New Roman" w:cs="Times New Roman" w:ascii="Times New Roman" w:hAnsi="Times New Roman"/>
          <w:color w:val="000000"/>
          <w:sz w:val="20"/>
          <w:szCs w:val="20"/>
        </w:rPr>
        <w:t>Quintero, L. M. G. (2019). Educación STEM/STEAM como pretexto para la innovación en comunidades de aprendizaje:¿ Cómo puede promoverse una cultura de innovación en una comunidad de aprendizaje?. In Educación STEM/STEAM:: Apuestas hacia la formación, impacto y proyección de seres críticos (pp. 56-84). Fondo Editorial Universitario Servando Garcés..</w:t>
      </w:r>
    </w:p>
    <w:p>
      <w:pPr>
        <w:pStyle w:val="LOnormal"/>
        <w:spacing w:lineRule="auto" w:line="240"/>
        <w:ind w:left="709" w:hanging="709"/>
        <w:jc w:val="both"/>
        <w:rPr/>
      </w:pPr>
      <w:r>
        <w:rPr>
          <w:rFonts w:eastAsia="Times New Roman" w:cs="Times New Roman" w:ascii="Times New Roman" w:hAnsi="Times New Roman"/>
          <w:color w:val="000000"/>
          <w:sz w:val="20"/>
          <w:szCs w:val="20"/>
        </w:rPr>
        <w:t xml:space="preserve">Red de educación solidaria (2024) ESS y educación. </w:t>
      </w:r>
      <w:hyperlink r:id="rId10">
        <w:r>
          <w:rPr>
            <w:rStyle w:val="EnlacedeInternet"/>
            <w:rFonts w:eastAsia="Times New Roman" w:cs="Times New Roman" w:ascii="Times New Roman" w:hAnsi="Times New Roman"/>
            <w:color w:val="000000"/>
            <w:sz w:val="20"/>
            <w:szCs w:val="20"/>
          </w:rPr>
          <w:t>https://www.educationsolidarite.org/es/nuestra-accion/ess-y-educacion/</w:t>
        </w:r>
      </w:hyperlink>
    </w:p>
    <w:p>
      <w:pPr>
        <w:pStyle w:val="LOnormal"/>
        <w:spacing w:lineRule="auto" w:line="240"/>
        <w:ind w:left="709" w:hanging="709"/>
        <w:jc w:val="both"/>
        <w:rPr>
          <w:color w:val="000000"/>
        </w:rPr>
      </w:pPr>
      <w:r>
        <w:rPr>
          <w:rFonts w:eastAsia="Times New Roman" w:cs="Times New Roman" w:ascii="Times New Roman" w:hAnsi="Times New Roman"/>
          <w:color w:val="000000"/>
          <w:sz w:val="20"/>
          <w:szCs w:val="20"/>
        </w:rPr>
        <w:t>Reyes M. G (2023).Avances en la construcción de una red de conocimiento para la sustentabilidad, entre el instituto tecnológico de Mérida y los talleres artesanales de piedra de Dzityá, Yucatán. Tesis.  https://rinacional.tecnm.mx/jspui/handle/TecNM/7051</w:t>
      </w:r>
    </w:p>
    <w:p>
      <w:pPr>
        <w:pStyle w:val="LOnormal"/>
        <w:spacing w:lineRule="auto" w:line="240"/>
        <w:ind w:left="709" w:hanging="709"/>
        <w:jc w:val="both"/>
        <w:rPr/>
      </w:pPr>
      <w:r>
        <w:rPr>
          <w:rFonts w:eastAsia="Times New Roman" w:cs="Times New Roman" w:ascii="Times New Roman" w:hAnsi="Times New Roman"/>
          <w:color w:val="000000"/>
          <w:sz w:val="20"/>
          <w:szCs w:val="20"/>
        </w:rPr>
        <w:t xml:space="preserve">RICYT (2023) EL ESTADO DE LA CIENCIA. Principales Indicadores de Ciencia y Tecnología Iberoamericanos / Interamericanos 2023. UNESCO, OEI. </w:t>
      </w:r>
      <w:hyperlink r:id="rId11">
        <w:r>
          <w:rPr>
            <w:rStyle w:val="EnlacedeInternet"/>
            <w:rFonts w:eastAsia="Times New Roman" w:cs="Times New Roman" w:ascii="Times New Roman" w:hAnsi="Times New Roman"/>
            <w:color w:val="000000"/>
            <w:sz w:val="20"/>
            <w:szCs w:val="20"/>
          </w:rPr>
          <w:t>https://www.ricyt.org/2023/12/2089/</w:t>
        </w:r>
      </w:hyperlink>
    </w:p>
    <w:p>
      <w:pPr>
        <w:pStyle w:val="LOnormal"/>
        <w:spacing w:lineRule="auto" w:line="240"/>
        <w:ind w:left="709" w:hanging="709"/>
        <w:jc w:val="both"/>
        <w:rPr>
          <w:color w:val="000000"/>
        </w:rPr>
      </w:pPr>
      <w:r>
        <w:rPr>
          <w:rFonts w:eastAsia="Times New Roman" w:cs="Times New Roman" w:ascii="Times New Roman" w:hAnsi="Times New Roman"/>
          <w:color w:val="000000"/>
          <w:sz w:val="20"/>
          <w:szCs w:val="20"/>
        </w:rPr>
        <w:t>Rivera, H. V. H., Novoa, I. L. L., Mamani, J. E. M., Huamán, B. P., &amp; Sevillano, V. F. R. (2024). La educación STEAM en el aula: Metodología para la inclusión.</w:t>
      </w:r>
    </w:p>
    <w:p>
      <w:pPr>
        <w:pStyle w:val="LOnormal"/>
        <w:spacing w:lineRule="auto" w:line="240"/>
        <w:ind w:left="709" w:hanging="709"/>
        <w:jc w:val="both"/>
        <w:rPr>
          <w:color w:val="000000"/>
        </w:rPr>
      </w:pPr>
      <w:r>
        <w:rPr>
          <w:rFonts w:eastAsia="Times New Roman" w:cs="Times New Roman" w:ascii="Times New Roman" w:hAnsi="Times New Roman"/>
          <w:color w:val="000000"/>
          <w:sz w:val="20"/>
          <w:szCs w:val="20"/>
        </w:rPr>
        <w:t>Ruiz Peraza, Y. G., Sarmiento Franco, J. F., &amp; Sosa Alcaraz, M. A. (2018). DIAGNÓSTICO Y AVANCES EN LA PLANEACIÓN DEL DESARROLLO COMUNITARIO DE LA COMUNIDAD DE DZITYÁ, YUCATÁN, DESDE LA PERSPECTIVA DE LA SUSTENTABILIDAD. OPORTUNIDADES Y RETOS</w:t>
      </w:r>
    </w:p>
    <w:p>
      <w:pPr>
        <w:pStyle w:val="LOnormal"/>
        <w:spacing w:lineRule="auto" w:line="240"/>
        <w:ind w:left="709" w:hanging="709"/>
        <w:jc w:val="both"/>
        <w:rPr>
          <w:color w:val="000000"/>
        </w:rPr>
      </w:pPr>
      <w:r>
        <w:rPr>
          <w:rFonts w:eastAsia="Times New Roman" w:cs="Times New Roman" w:ascii="Times New Roman" w:hAnsi="Times New Roman"/>
          <w:color w:val="000000"/>
          <w:sz w:val="20"/>
          <w:szCs w:val="20"/>
        </w:rPr>
        <w:t xml:space="preserve">Salgado, E. (2012). Guía para elaborar citas y referencias en formato APA. </w:t>
      </w:r>
      <w:r>
        <w:rPr>
          <w:rFonts w:eastAsia="Times New Roman" w:cs="Times New Roman" w:ascii="Times New Roman" w:hAnsi="Times New Roman"/>
          <w:i/>
          <w:color w:val="000000"/>
          <w:sz w:val="20"/>
          <w:szCs w:val="20"/>
        </w:rPr>
        <w:t>Universidad Latinoamericana de Ciencia y Tecnología, Costa Rica</w:t>
      </w:r>
      <w:r>
        <w:rPr>
          <w:rFonts w:eastAsia="Times New Roman" w:cs="Times New Roman" w:ascii="Times New Roman" w:hAnsi="Times New Roman"/>
          <w:color w:val="000000"/>
          <w:sz w:val="20"/>
          <w:szCs w:val="20"/>
        </w:rPr>
        <w:t>.</w:t>
      </w:r>
    </w:p>
    <w:p>
      <w:pPr>
        <w:pStyle w:val="LOnormal"/>
        <w:ind w:left="709" w:hanging="709"/>
        <w:jc w:val="both"/>
        <w:rPr>
          <w:color w:val="000000"/>
        </w:rPr>
      </w:pPr>
      <w:r>
        <w:rPr>
          <w:rFonts w:cs="Times New Roman" w:ascii="Times New Roman" w:hAnsi="Times New Roman"/>
          <w:color w:val="000000"/>
          <w:sz w:val="20"/>
          <w:szCs w:val="20"/>
        </w:rPr>
        <w:t xml:space="preserve">Save the Children (2024) Por una educación de calidad. Julio 1. https://savethechildren.mx/por-una-educacion-de-calidad/?utm_term=la%20pandemia%20y%20la%20educacion&amp;utm_campaign=&amp;utm_source=adwords&amp;utm_medium=ppc&amp;hsa_acc=1848732810&amp;hsa_cam=20516279278&amp;hsa_grp=157712279254&amp;hsa_ad=691094023851&amp;hsa_src=g&amp;hsa_tgt=kwd-1292250744705&amp;hsa_kw=la%20pandemia%20y%20la%20educacion&amp;hsa_mt=b&amp;hsa_net=adwords&amp;hsa_ver=3&amp;gad_source=1&amp;gclid=Cj0KCQjwpP63BhDYARIsAOQkATa-D6bjqQXu3ZDys_ksrZ6YO-4mGUyJteECXgAZkYLP-Ht6WD-s1woaAsOIEALw_wcB </w:t>
      </w:r>
    </w:p>
    <w:p>
      <w:pPr>
        <w:pStyle w:val="LOnormal"/>
        <w:spacing w:lineRule="auto" w:line="240"/>
        <w:ind w:left="709" w:hanging="709"/>
        <w:jc w:val="both"/>
        <w:rPr>
          <w:color w:val="000000"/>
        </w:rPr>
      </w:pPr>
      <w:r>
        <w:rPr>
          <w:rFonts w:eastAsia="Times New Roman" w:cs="Times New Roman" w:ascii="Times New Roman" w:hAnsi="Times New Roman"/>
          <w:color w:val="000000"/>
          <w:sz w:val="20"/>
          <w:szCs w:val="20"/>
        </w:rPr>
        <w:t>Veciana, S. (2022). Nuevos formatos para la educación superior transdisciplinaria y sostenible: aprendizaje transformativo interior y exterior en “laboratorios reales”. LIBRO DE ACTAS. Jornadas Hacia una Nueva Cultura Científica, 1-23.</w:t>
      </w:r>
    </w:p>
    <w:p>
      <w:pPr>
        <w:pStyle w:val="LOnormal"/>
        <w:spacing w:lineRule="auto" w:line="240"/>
        <w:ind w:left="709" w:hanging="709"/>
        <w:jc w:val="both"/>
        <w:rPr>
          <w:color w:val="000000"/>
        </w:rPr>
      </w:pPr>
      <w:r>
        <w:rPr>
          <w:rFonts w:eastAsia="Times New Roman" w:cs="Times New Roman" w:ascii="Times New Roman" w:hAnsi="Times New Roman"/>
          <w:color w:val="000000"/>
          <w:sz w:val="20"/>
          <w:szCs w:val="20"/>
        </w:rPr>
        <w:t>Villalba-Eguiluz, U., &amp; Pérez-de-Mendiguren, J. C. (2019). La economía social y solidaria como vía para el buen vivir. Revista Iberoamericana De Estudios De Desarrollo = Iberoamerican Journal of Development Studies, 8(1), 106–136. https://doi.org/10.26754/ojs_ried/ijds.338</w:t>
      </w:r>
    </w:p>
    <w:p>
      <w:pPr>
        <w:pStyle w:val="LOnormal"/>
        <w:spacing w:lineRule="auto" w:line="240"/>
        <w:ind w:left="709" w:hanging="709"/>
        <w:jc w:val="both"/>
        <w:rPr>
          <w:color w:val="000000"/>
        </w:rPr>
      </w:pPr>
      <w:r>
        <w:rPr>
          <w:color w:val="000000"/>
        </w:rPr>
      </w:r>
    </w:p>
    <w:p>
      <w:pPr>
        <w:sectPr>
          <w:type w:val="continuous"/>
          <w:pgSz w:w="11906" w:h="16838"/>
          <w:pgMar w:left="1134" w:right="1134" w:header="1134" w:top="1601" w:footer="1134" w:bottom="1729" w:gutter="0"/>
          <w:cols w:num="2" w:space="282" w:equalWidth="true" w:sep="false"/>
          <w:formProt w:val="false"/>
          <w:textDirection w:val="lrTb"/>
          <w:docGrid w:type="default" w:linePitch="600" w:charSpace="32768"/>
        </w:sectPr>
      </w:pPr>
    </w:p>
    <w:sectPr>
      <w:headerReference w:type="even" r:id="rId12"/>
      <w:headerReference w:type="default" r:id="rId13"/>
      <w:footerReference w:type="even" r:id="rId14"/>
      <w:footerReference w:type="default" r:id="rId15"/>
      <w:type w:val="continuous"/>
      <w:pgSz w:w="11906" w:h="16838"/>
      <w:pgMar w:left="1134" w:right="1134" w:header="1134" w:top="1601" w:footer="1134" w:bottom="1729"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w:altName w:val="Arial"/>
    <w:charset w:val="01"/>
    <w:family w:val="swiss"/>
    <w:pitch w:val="variable"/>
  </w:font>
  <w:font w:name="Liberation Mono">
    <w:altName w:val="Courier New"/>
    <w:charset w:val="01"/>
    <w:family w:val="roman"/>
    <w:pitch w:val="variable"/>
  </w:font>
  <w:font w:name="Times New Roman">
    <w:charset w:val="01"/>
    <w:family w:val="roman"/>
    <w:pitch w:val="variable"/>
  </w:font>
  <w:font w:name="Symbol">
    <w:charset w:val="02"/>
    <w:family w:val="auto"/>
    <w:pitch w:val="default"/>
  </w:font>
  <w:font w:name="Courier New">
    <w:charset w:val="01"/>
    <w:family w:val="auto"/>
    <w:pitch w:val="fixed"/>
  </w:font>
  <w:font w:name="Wingdings">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ontenidodelatabla"/>
      <w:spacing w:before="120" w:after="60"/>
      <w:jc w:val="center"/>
      <w:rPr/>
    </w:pPr>
    <w:r>
      <w:rPr>
        <w:rFonts w:ascii="Times New Roman" w:hAnsi="Times New Roman"/>
        <w:sz w:val="16"/>
        <w:szCs w:val="16"/>
      </w:rPr>
      <w:t>TecNM – Instituto Tecnológico Superior Progreso</w: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ontenidodelatabla"/>
      <w:spacing w:before="120" w:after="60"/>
      <w:jc w:val="center"/>
      <w:rPr/>
    </w:pPr>
    <w:r>
      <w:rPr>
        <w:rFonts w:ascii="Times New Roman" w:hAnsi="Times New Roman"/>
        <w:sz w:val="16"/>
        <w:szCs w:val="16"/>
      </w:rPr>
      <w:t>TecNM – Instituto Tecnológico Superior Progreso</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W w:w="9405" w:type="dxa"/>
      <w:jc w:val="left"/>
      <w:tblInd w:w="55" w:type="dxa"/>
      <w:tblLayout w:type="fixed"/>
      <w:tblCellMar>
        <w:top w:w="55" w:type="dxa"/>
        <w:left w:w="55" w:type="dxa"/>
        <w:bottom w:w="55" w:type="dxa"/>
        <w:right w:w="55" w:type="dxa"/>
      </w:tblCellMar>
      <w:tblLook w:val="04a0" w:noHBand="0" w:noVBand="1" w:firstColumn="1" w:lastRow="0" w:lastColumn="0" w:firstRow="1"/>
    </w:tblPr>
    <w:tblGrid>
      <w:gridCol w:w="2481"/>
      <w:gridCol w:w="4142"/>
      <w:gridCol w:w="2782"/>
    </w:tblGrid>
    <w:tr>
      <w:trPr/>
      <w:tc>
        <w:tcPr>
          <w:tcW w:w="2481" w:type="dxa"/>
          <w:tcBorders/>
          <w:shd w:color="auto" w:fill="auto" w:val="clear"/>
        </w:tcPr>
        <w:p>
          <w:pPr>
            <w:pStyle w:val="Contenidodelatabla"/>
            <w:widowControl w:val="false"/>
            <w:rPr/>
          </w:pPr>
          <w:r>
            <w:rPr>
              <w:rFonts w:ascii="Times New Roman" w:hAnsi="Times New Roman"/>
              <w:sz w:val="16"/>
              <w:szCs w:val="16"/>
            </w:rPr>
            <w:t xml:space="preserve">Recibido: </w:t>
          </w:r>
          <w:r>
            <w:rPr>
              <w:rFonts w:ascii="Times New Roman" w:hAnsi="Times New Roman"/>
              <w:sz w:val="16"/>
              <w:szCs w:val="16"/>
            </w:rPr>
            <w:t>04</w:t>
          </w:r>
          <w:r>
            <w:rPr>
              <w:rFonts w:ascii="Times New Roman" w:hAnsi="Times New Roman"/>
              <w:sz w:val="16"/>
              <w:szCs w:val="16"/>
            </w:rPr>
            <w:t>/</w:t>
          </w:r>
          <w:r>
            <w:rPr>
              <w:rFonts w:ascii="Times New Roman" w:hAnsi="Times New Roman"/>
              <w:sz w:val="16"/>
              <w:szCs w:val="16"/>
            </w:rPr>
            <w:t>Octubre</w:t>
          </w:r>
          <w:r>
            <w:rPr>
              <w:rFonts w:ascii="Times New Roman" w:hAnsi="Times New Roman"/>
              <w:sz w:val="16"/>
              <w:szCs w:val="16"/>
            </w:rPr>
            <w:t>/</w:t>
          </w:r>
          <w:r>
            <w:rPr>
              <w:rFonts w:ascii="Times New Roman" w:hAnsi="Times New Roman"/>
              <w:sz w:val="16"/>
              <w:szCs w:val="16"/>
            </w:rPr>
            <w:t>2024</w:t>
          </w:r>
        </w:p>
        <w:p>
          <w:pPr>
            <w:pStyle w:val="Contenidodelatabla"/>
            <w:widowControl w:val="false"/>
            <w:rPr/>
          </w:pPr>
          <w:r>
            <w:rPr>
              <w:rFonts w:ascii="Times New Roman" w:hAnsi="Times New Roman"/>
              <w:sz w:val="16"/>
              <w:szCs w:val="16"/>
            </w:rPr>
            <w:t xml:space="preserve">Aceptado: </w:t>
          </w:r>
          <w:r>
            <w:rPr>
              <w:rFonts w:ascii="Times New Roman" w:hAnsi="Times New Roman"/>
              <w:sz w:val="16"/>
              <w:szCs w:val="16"/>
            </w:rPr>
            <w:t>27</w:t>
          </w:r>
          <w:r>
            <w:rPr>
              <w:rFonts w:ascii="Times New Roman" w:hAnsi="Times New Roman"/>
              <w:sz w:val="16"/>
              <w:szCs w:val="16"/>
            </w:rPr>
            <w:t>/</w:t>
          </w:r>
          <w:r>
            <w:rPr>
              <w:rFonts w:ascii="Times New Roman" w:hAnsi="Times New Roman"/>
              <w:sz w:val="16"/>
              <w:szCs w:val="16"/>
            </w:rPr>
            <w:t>Junio</w:t>
          </w:r>
          <w:r>
            <w:rPr>
              <w:rFonts w:ascii="Times New Roman" w:hAnsi="Times New Roman"/>
              <w:sz w:val="16"/>
              <w:szCs w:val="16"/>
            </w:rPr>
            <w:t>/</w:t>
          </w:r>
          <w:r>
            <w:rPr>
              <w:rFonts w:ascii="Times New Roman" w:hAnsi="Times New Roman"/>
              <w:sz w:val="16"/>
              <w:szCs w:val="16"/>
            </w:rPr>
            <w:t>2025</w:t>
          </w:r>
        </w:p>
      </w:tc>
      <w:tc>
        <w:tcPr>
          <w:tcW w:w="4142" w:type="dxa"/>
          <w:tcBorders/>
          <w:shd w:color="auto" w:fill="auto" w:val="clear"/>
        </w:tcPr>
        <w:p>
          <w:pPr>
            <w:pStyle w:val="Contenidodelatabla"/>
            <w:widowControl w:val="false"/>
            <w:spacing w:before="120" w:after="60"/>
            <w:jc w:val="center"/>
            <w:rPr/>
          </w:pPr>
          <w:r>
            <w:rPr>
              <w:rFonts w:ascii="Times New Roman" w:hAnsi="Times New Roman"/>
              <w:sz w:val="16"/>
              <w:szCs w:val="16"/>
            </w:rPr>
            <w:t>TecNM – Instituto Tecnológico Superior Progreso</w:t>
          </w:r>
        </w:p>
      </w:tc>
      <w:tc>
        <w:tcPr>
          <w:tcW w:w="2782" w:type="dxa"/>
          <w:tcBorders/>
          <w:shd w:color="auto" w:fill="auto" w:val="clear"/>
        </w:tcPr>
        <w:p>
          <w:pPr>
            <w:pStyle w:val="Contenidodelatabla"/>
            <w:widowControl w:val="false"/>
            <w:spacing w:before="120" w:after="60"/>
            <w:rPr/>
          </w:pPr>
          <w:r>
            <w:rPr/>
          </w:r>
        </w:p>
      </w:tc>
    </w:tr>
  </w:tbl>
  <w:p>
    <w:pPr>
      <w:pStyle w:val="Normal"/>
      <w:rPr/>
    </w:pPr>
    <w:r>
      <w:rPr/>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ontenidodelatabla"/>
      <w:spacing w:before="120" w:after="60"/>
      <w:jc w:val="center"/>
      <w:rPr/>
    </w:pPr>
    <w:r>
      <w:rPr>
        <w:rFonts w:ascii="Times New Roman" w:hAnsi="Times New Roman"/>
        <w:sz w:val="16"/>
        <w:szCs w:val="16"/>
      </w:rPr>
      <w:t>TecNM – Instituto Tecnológico Superior Progreso</w:t>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ontenidodelatabla"/>
      <w:spacing w:before="120" w:after="60"/>
      <w:jc w:val="center"/>
      <w:rPr/>
    </w:pPr>
    <w:r>
      <w:rPr>
        <w:rFonts w:ascii="Times New Roman" w:hAnsi="Times New Roman"/>
        <w:sz w:val="16"/>
        <w:szCs w:val="16"/>
      </w:rPr>
      <w:t>TecNM – Instituto Tecnológico Superior Progreso</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izquierda"/>
      <w:spacing w:before="0" w:after="160"/>
      <w:jc w:val="center"/>
      <w:rPr/>
    </w:pPr>
    <w:r>
      <w:rPr>
        <w:rFonts w:ascii="Times New Roman" w:hAnsi="Times New Roman"/>
        <w:i/>
        <w:iCs/>
        <w:sz w:val="16"/>
        <w:szCs w:val="16"/>
        <w:lang w:val="en-US"/>
      </w:rPr>
      <w:t xml:space="preserve">Advances in Engineering and Innovation Vol. </w:t>
    </w:r>
    <w:r>
      <w:rPr>
        <w:rFonts w:ascii="Times New Roman" w:hAnsi="Times New Roman"/>
        <w:i/>
        <w:iCs/>
        <w:sz w:val="16"/>
        <w:szCs w:val="16"/>
        <w:lang w:val="en-US"/>
      </w:rPr>
      <w:t>10</w:t>
    </w:r>
    <w:r>
      <w:rPr>
        <w:rFonts w:ascii="Times New Roman" w:hAnsi="Times New Roman"/>
        <w:i/>
        <w:iCs/>
        <w:sz w:val="16"/>
        <w:szCs w:val="16"/>
      </w:rPr>
      <w:t xml:space="preserve">, No. </w:t>
    </w:r>
    <w:r>
      <w:rPr>
        <w:rFonts w:ascii="Times New Roman" w:hAnsi="Times New Roman"/>
        <w:i/>
        <w:iCs/>
        <w:sz w:val="16"/>
        <w:szCs w:val="16"/>
      </w:rPr>
      <w:t>23</w:t>
    </w:r>
    <w:r>
      <w:rPr>
        <w:rFonts w:ascii="Times New Roman" w:hAnsi="Times New Roman"/>
        <w:i/>
        <w:iCs/>
        <w:sz w:val="16"/>
        <w:szCs w:val="16"/>
      </w:rPr>
      <w:t xml:space="preserve">, pp. </w:t>
    </w:r>
    <w:r>
      <w:rPr>
        <w:rFonts w:ascii="Times New Roman" w:hAnsi="Times New Roman"/>
        <w:i/>
        <w:iCs/>
        <w:sz w:val="16"/>
        <w:szCs w:val="16"/>
      </w:rPr>
      <w:t>144</w:t>
    </w:r>
    <w:r>
      <w:rPr>
        <w:rFonts w:ascii="Times New Roman" w:hAnsi="Times New Roman"/>
        <w:i/>
        <w:iCs/>
        <w:sz w:val="16"/>
        <w:szCs w:val="16"/>
      </w:rPr>
      <w:t>-</w:t>
    </w:r>
    <w:r>
      <w:rPr>
        <w:rFonts w:ascii="Times New Roman" w:hAnsi="Times New Roman"/>
        <w:i/>
        <w:iCs/>
        <w:sz w:val="16"/>
        <w:szCs w:val="16"/>
      </w:rPr>
      <w:t>151</w:t>
    </w:r>
    <w:r>
      <w:rPr>
        <w:rFonts w:ascii="Times New Roman" w:hAnsi="Times New Roman"/>
        <w:i/>
        <w:iCs/>
        <w:sz w:val="16"/>
        <w:szCs w:val="16"/>
      </w:rPr>
      <w:t xml:space="preserve">, </w:t>
    </w:r>
    <w:r>
      <w:rPr>
        <w:rFonts w:ascii="Times New Roman" w:hAnsi="Times New Roman"/>
        <w:i/>
        <w:iCs/>
        <w:sz w:val="16"/>
        <w:szCs w:val="16"/>
      </w:rPr>
      <w:t>Juli</w:t>
    </w:r>
    <w:r>
      <w:rPr>
        <w:rFonts w:ascii="Times New Roman" w:hAnsi="Times New Roman"/>
        <w:i/>
        <w:iCs/>
        <w:sz w:val="16"/>
        <w:szCs w:val="16"/>
      </w:rPr>
      <w:t xml:space="preserve">o - </w:t>
    </w:r>
    <w:r>
      <w:rPr>
        <w:rFonts w:ascii="Times New Roman" w:hAnsi="Times New Roman"/>
        <w:i/>
        <w:iCs/>
        <w:sz w:val="16"/>
        <w:szCs w:val="16"/>
      </w:rPr>
      <w:t>Diciembre</w:t>
    </w:r>
    <w:r>
      <w:rPr>
        <w:rFonts w:ascii="Times New Roman" w:hAnsi="Times New Roman"/>
        <w:i/>
        <w:iCs/>
        <w:sz w:val="16"/>
        <w:szCs w:val="16"/>
      </w:rPr>
      <w:t xml:space="preserve"> 2025</w:t>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izquierda"/>
      <w:spacing w:before="0" w:after="160"/>
      <w:jc w:val="center"/>
      <w:rPr/>
    </w:pPr>
    <w:r>
      <w:rPr>
        <w:rFonts w:ascii="Times New Roman" w:hAnsi="Times New Roman"/>
        <w:i/>
        <w:iCs/>
        <w:sz w:val="16"/>
        <w:szCs w:val="16"/>
        <w:lang w:val="en-US"/>
      </w:rPr>
      <w:t xml:space="preserve">Advances in Engineering and Innovation Vol. </w:t>
    </w:r>
    <w:r>
      <w:rPr>
        <w:rFonts w:ascii="Times New Roman" w:hAnsi="Times New Roman"/>
        <w:i/>
        <w:iCs/>
        <w:sz w:val="16"/>
        <w:szCs w:val="16"/>
        <w:lang w:val="en-US"/>
      </w:rPr>
      <w:t>10</w:t>
    </w:r>
    <w:r>
      <w:rPr>
        <w:rFonts w:ascii="Times New Roman" w:hAnsi="Times New Roman"/>
        <w:i/>
        <w:iCs/>
        <w:sz w:val="16"/>
        <w:szCs w:val="16"/>
      </w:rPr>
      <w:t xml:space="preserve">, No. </w:t>
    </w:r>
    <w:r>
      <w:rPr>
        <w:rFonts w:ascii="Times New Roman" w:hAnsi="Times New Roman"/>
        <w:i/>
        <w:iCs/>
        <w:sz w:val="16"/>
        <w:szCs w:val="16"/>
      </w:rPr>
      <w:t>23</w:t>
    </w:r>
    <w:r>
      <w:rPr>
        <w:rFonts w:ascii="Times New Roman" w:hAnsi="Times New Roman"/>
        <w:i/>
        <w:iCs/>
        <w:sz w:val="16"/>
        <w:szCs w:val="16"/>
      </w:rPr>
      <w:t xml:space="preserve">, pp. </w:t>
    </w:r>
    <w:r>
      <w:rPr>
        <w:rFonts w:ascii="Times New Roman" w:hAnsi="Times New Roman"/>
        <w:i/>
        <w:iCs/>
        <w:sz w:val="16"/>
        <w:szCs w:val="16"/>
      </w:rPr>
      <w:t>144</w:t>
    </w:r>
    <w:r>
      <w:rPr>
        <w:rFonts w:ascii="Times New Roman" w:hAnsi="Times New Roman"/>
        <w:i/>
        <w:iCs/>
        <w:sz w:val="16"/>
        <w:szCs w:val="16"/>
      </w:rPr>
      <w:t>-</w:t>
    </w:r>
    <w:r>
      <w:rPr>
        <w:rFonts w:ascii="Times New Roman" w:hAnsi="Times New Roman"/>
        <w:i/>
        <w:iCs/>
        <w:sz w:val="16"/>
        <w:szCs w:val="16"/>
      </w:rPr>
      <w:t>151</w:t>
    </w:r>
    <w:r>
      <w:rPr>
        <w:rFonts w:ascii="Times New Roman" w:hAnsi="Times New Roman"/>
        <w:i/>
        <w:iCs/>
        <w:sz w:val="16"/>
        <w:szCs w:val="16"/>
      </w:rPr>
      <w:t xml:space="preserve">, </w:t>
    </w:r>
    <w:r>
      <w:rPr>
        <w:rFonts w:ascii="Times New Roman" w:hAnsi="Times New Roman"/>
        <w:i/>
        <w:iCs/>
        <w:sz w:val="16"/>
        <w:szCs w:val="16"/>
      </w:rPr>
      <w:t>Juli</w:t>
    </w:r>
    <w:r>
      <w:rPr>
        <w:rFonts w:ascii="Times New Roman" w:hAnsi="Times New Roman"/>
        <w:i/>
        <w:iCs/>
        <w:sz w:val="16"/>
        <w:szCs w:val="16"/>
      </w:rPr>
      <w:t xml:space="preserve">o - </w:t>
    </w:r>
    <w:r>
      <w:rPr>
        <w:rFonts w:ascii="Times New Roman" w:hAnsi="Times New Roman"/>
        <w:i/>
        <w:iCs/>
        <w:sz w:val="16"/>
        <w:szCs w:val="16"/>
      </w:rPr>
      <w:t>Diciembre</w:t>
    </w:r>
    <w:r>
      <w:rPr>
        <w:rFonts w:ascii="Times New Roman" w:hAnsi="Times New Roman"/>
        <w:i/>
        <w:iCs/>
        <w:sz w:val="16"/>
        <w:szCs w:val="16"/>
      </w:rPr>
      <w:t xml:space="preserve"> 2025</w: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W w:w="11131" w:type="dxa"/>
      <w:jc w:val="left"/>
      <w:tblInd w:w="-833" w:type="dxa"/>
      <w:tblLayout w:type="fixed"/>
      <w:tblCellMar>
        <w:top w:w="100" w:type="dxa"/>
        <w:left w:w="100" w:type="dxa"/>
        <w:bottom w:w="100" w:type="dxa"/>
        <w:right w:w="100" w:type="dxa"/>
      </w:tblCellMar>
      <w:tblLook w:val="0600" w:noHBand="1" w:noVBand="1" w:firstColumn="0" w:lastRow="0" w:lastColumn="0" w:firstRow="0"/>
    </w:tblPr>
    <w:tblGrid>
      <w:gridCol w:w="3331"/>
      <w:gridCol w:w="4111"/>
      <w:gridCol w:w="3689"/>
    </w:tblGrid>
    <w:tr>
      <w:trPr>
        <w:trHeight w:val="420" w:hRule="atLeast"/>
      </w:trPr>
      <w:tc>
        <w:tcPr>
          <w:tcW w:w="3331" w:type="dxa"/>
          <w:tcBorders/>
          <w:shd w:color="auto" w:fill="auto" w:val="clear"/>
        </w:tcPr>
        <w:p>
          <w:pPr>
            <w:pStyle w:val="Normal"/>
            <w:widowControl w:val="false"/>
            <w:jc w:val="center"/>
            <w:rPr/>
          </w:pPr>
          <w:r>
            <w:rPr/>
            <w:drawing>
              <wp:inline distT="0" distB="0" distL="0" distR="0">
                <wp:extent cx="1685925" cy="800100"/>
                <wp:effectExtent l="0" t="0" r="0" b="0"/>
                <wp:docPr id="1" name="image01.png" descr="AEI_tim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01.png" descr="AEI_time.png"/>
                        <pic:cNvPicPr>
                          <a:picLocks noChangeAspect="1" noChangeArrowheads="1"/>
                        </pic:cNvPicPr>
                      </pic:nvPicPr>
                      <pic:blipFill>
                        <a:blip r:embed="rId1"/>
                        <a:stretch>
                          <a:fillRect/>
                        </a:stretch>
                      </pic:blipFill>
                      <pic:spPr bwMode="auto">
                        <a:xfrm>
                          <a:off x="0" y="0"/>
                          <a:ext cx="1685925" cy="800100"/>
                        </a:xfrm>
                        <a:prstGeom prst="rect">
                          <a:avLst/>
                        </a:prstGeom>
                      </pic:spPr>
                    </pic:pic>
                  </a:graphicData>
                </a:graphic>
              </wp:inline>
            </w:drawing>
          </w:r>
        </w:p>
      </w:tc>
      <w:tc>
        <w:tcPr>
          <w:tcW w:w="4111" w:type="dxa"/>
          <w:tcBorders/>
          <w:shd w:color="auto" w:fill="auto" w:val="clear"/>
        </w:tcPr>
        <w:p>
          <w:pPr>
            <w:pStyle w:val="Normal"/>
            <w:widowControl w:val="false"/>
            <w:tabs>
              <w:tab w:val="clear" w:pos="709"/>
              <w:tab w:val="center" w:pos="4419" w:leader="none"/>
              <w:tab w:val="right" w:pos="8838" w:leader="none"/>
            </w:tabs>
            <w:jc w:val="center"/>
            <w:rPr>
              <w:rFonts w:ascii="Times New Roman" w:hAnsi="Times New Roman"/>
              <w:sz w:val="20"/>
              <w:szCs w:val="20"/>
            </w:rPr>
          </w:pPr>
          <w:r>
            <w:rPr>
              <w:rFonts w:ascii="Times New Roman" w:hAnsi="Times New Roman"/>
              <w:sz w:val="20"/>
              <w:szCs w:val="20"/>
            </w:rPr>
          </w:r>
        </w:p>
        <w:p>
          <w:pPr>
            <w:pStyle w:val="Normal"/>
            <w:widowControl w:val="false"/>
            <w:tabs>
              <w:tab w:val="clear" w:pos="709"/>
              <w:tab w:val="center" w:pos="4419" w:leader="none"/>
              <w:tab w:val="right" w:pos="8838" w:leader="none"/>
            </w:tabs>
            <w:jc w:val="center"/>
            <w:rPr>
              <w:lang w:val="en-US"/>
            </w:rPr>
          </w:pPr>
          <w:r>
            <w:rPr>
              <w:rFonts w:eastAsia="Times New Roman" w:cs="Times New Roman" w:ascii="Times New Roman" w:hAnsi="Times New Roman"/>
              <w:sz w:val="20"/>
              <w:szCs w:val="20"/>
              <w:lang w:val="en-US"/>
            </w:rPr>
            <w:t>Advances in Engineering and Innovation</w:t>
          </w:r>
        </w:p>
        <w:p>
          <w:pPr>
            <w:pStyle w:val="Normal"/>
            <w:widowControl w:val="false"/>
            <w:tabs>
              <w:tab w:val="clear" w:pos="709"/>
              <w:tab w:val="center" w:pos="4419" w:leader="none"/>
              <w:tab w:val="right" w:pos="8838" w:leader="none"/>
            </w:tabs>
            <w:jc w:val="center"/>
            <w:rPr/>
          </w:pPr>
          <w:r>
            <w:rPr>
              <w:rFonts w:eastAsia="Times New Roman" w:cs="Times New Roman" w:ascii="Times New Roman" w:hAnsi="Times New Roman"/>
              <w:sz w:val="20"/>
              <w:szCs w:val="20"/>
              <w:lang w:val="en-US"/>
            </w:rPr>
            <w:t xml:space="preserve">Vol. </w:t>
          </w:r>
          <w:r>
            <w:rPr>
              <w:rFonts w:eastAsia="Times New Roman" w:cs="Times New Roman" w:ascii="Times New Roman" w:hAnsi="Times New Roman"/>
              <w:sz w:val="20"/>
              <w:szCs w:val="20"/>
              <w:lang w:val="en-US"/>
            </w:rPr>
            <w:t>10</w:t>
          </w:r>
          <w:r>
            <w:rPr>
              <w:rFonts w:eastAsia="Times New Roman" w:cs="Times New Roman" w:ascii="Times New Roman" w:hAnsi="Times New Roman"/>
              <w:sz w:val="20"/>
              <w:szCs w:val="20"/>
              <w:lang w:val="en-US"/>
            </w:rPr>
            <w:t xml:space="preserve">, No. </w:t>
          </w:r>
          <w:r>
            <w:rPr>
              <w:rFonts w:eastAsia="Times New Roman" w:cs="Times New Roman" w:ascii="Times New Roman" w:hAnsi="Times New Roman"/>
              <w:sz w:val="20"/>
              <w:szCs w:val="20"/>
              <w:lang w:val="en-US"/>
            </w:rPr>
            <w:t>23</w:t>
          </w:r>
          <w:r>
            <w:rPr>
              <w:rFonts w:eastAsia="Times New Roman" w:cs="Times New Roman" w:ascii="Times New Roman" w:hAnsi="Times New Roman"/>
              <w:sz w:val="20"/>
              <w:szCs w:val="20"/>
            </w:rPr>
            <w:t xml:space="preserve">, pp. </w:t>
          </w:r>
          <w:r>
            <w:rPr>
              <w:rFonts w:eastAsia="Times New Roman" w:cs="Times New Roman" w:ascii="Times New Roman" w:hAnsi="Times New Roman"/>
              <w:sz w:val="20"/>
              <w:szCs w:val="20"/>
            </w:rPr>
            <w:t>144</w:t>
          </w:r>
          <w:r>
            <w:rPr>
              <w:rFonts w:eastAsia="Times New Roman" w:cs="Times New Roman" w:ascii="Times New Roman" w:hAnsi="Times New Roman"/>
              <w:sz w:val="20"/>
              <w:szCs w:val="20"/>
            </w:rPr>
            <w:t>-</w:t>
          </w:r>
          <w:r>
            <w:rPr>
              <w:rFonts w:eastAsia="Times New Roman" w:cs="Times New Roman" w:ascii="Times New Roman" w:hAnsi="Times New Roman"/>
              <w:sz w:val="20"/>
              <w:szCs w:val="20"/>
            </w:rPr>
            <w:t>151</w:t>
          </w:r>
        </w:p>
        <w:p>
          <w:pPr>
            <w:pStyle w:val="Normal"/>
            <w:widowControl w:val="false"/>
            <w:tabs>
              <w:tab w:val="clear" w:pos="709"/>
              <w:tab w:val="center" w:pos="4419" w:leader="none"/>
              <w:tab w:val="right" w:pos="8838" w:leader="none"/>
            </w:tabs>
            <w:jc w:val="center"/>
            <w:rPr/>
          </w:pPr>
          <w:r>
            <w:rPr>
              <w:rFonts w:eastAsia="Times New Roman" w:cs="Times New Roman" w:ascii="Times New Roman" w:hAnsi="Times New Roman"/>
              <w:sz w:val="20"/>
              <w:szCs w:val="20"/>
            </w:rPr>
            <w:t>Juli</w:t>
          </w:r>
          <w:r>
            <w:rPr>
              <w:rFonts w:eastAsia="Times New Roman" w:cs="Times New Roman" w:ascii="Times New Roman" w:hAnsi="Times New Roman"/>
              <w:sz w:val="20"/>
              <w:szCs w:val="20"/>
            </w:rPr>
            <w:t xml:space="preserve">o - </w:t>
          </w:r>
          <w:r>
            <w:rPr>
              <w:rFonts w:eastAsia="Times New Roman" w:cs="Times New Roman" w:ascii="Times New Roman" w:hAnsi="Times New Roman"/>
              <w:sz w:val="20"/>
              <w:szCs w:val="20"/>
            </w:rPr>
            <w:t>Diciembre</w:t>
          </w:r>
          <w:r>
            <w:rPr>
              <w:rFonts w:eastAsia="Times New Roman" w:cs="Times New Roman" w:ascii="Times New Roman" w:hAnsi="Times New Roman"/>
              <w:sz w:val="20"/>
              <w:szCs w:val="20"/>
            </w:rPr>
            <w:t xml:space="preserve"> 2025</w:t>
          </w:r>
        </w:p>
      </w:tc>
      <w:tc>
        <w:tcPr>
          <w:tcW w:w="3689" w:type="dxa"/>
          <w:tcBorders/>
          <w:shd w:color="auto" w:fill="auto" w:val="clear"/>
        </w:tcPr>
        <w:p>
          <w:pPr>
            <w:pStyle w:val="Normal"/>
            <w:widowControl w:val="false"/>
            <w:tabs>
              <w:tab w:val="clear" w:pos="709"/>
              <w:tab w:val="center" w:pos="4419" w:leader="none"/>
              <w:tab w:val="right" w:pos="8838" w:leader="none"/>
            </w:tabs>
            <w:jc w:val="right"/>
            <w:rPr>
              <w:rFonts w:ascii="Times New Roman" w:hAnsi="Times New Roman"/>
            </w:rPr>
          </w:pPr>
          <w:r>
            <w:rPr>
              <w:rFonts w:ascii="Times New Roman" w:hAnsi="Times New Roman"/>
            </w:rPr>
          </w:r>
        </w:p>
        <w:p>
          <w:pPr>
            <w:pStyle w:val="Normal"/>
            <w:widowControl w:val="false"/>
            <w:tabs>
              <w:tab w:val="clear" w:pos="709"/>
              <w:tab w:val="center" w:pos="4419" w:leader="none"/>
              <w:tab w:val="right" w:pos="8838" w:leader="none"/>
            </w:tabs>
            <w:jc w:val="right"/>
            <w:rPr/>
          </w:pPr>
          <w:r>
            <w:rPr>
              <w:rStyle w:val="EnlacedeInternet"/>
              <w:rFonts w:eastAsia="Times New Roman" w:cs="Times New Roman" w:ascii="Times New Roman" w:hAnsi="Times New Roman"/>
              <w:color w:val="000000"/>
              <w:sz w:val="20"/>
              <w:szCs w:val="20"/>
              <w:u w:val="none"/>
            </w:rPr>
            <w:t>www.progreso.tecnm.mx/revistaAEI</w:t>
          </w:r>
        </w:p>
        <w:p>
          <w:pPr>
            <w:pStyle w:val="Normal"/>
            <w:widowControl w:val="false"/>
            <w:tabs>
              <w:tab w:val="clear" w:pos="709"/>
              <w:tab w:val="center" w:pos="4419" w:leader="none"/>
              <w:tab w:val="right" w:pos="8838" w:leader="none"/>
            </w:tabs>
            <w:jc w:val="right"/>
            <w:rPr/>
          </w:pPr>
          <w:r>
            <w:rPr>
              <w:rFonts w:eastAsia="Times New Roman" w:cs="Times New Roman" w:ascii="Times New Roman" w:hAnsi="Times New Roman"/>
              <w:sz w:val="20"/>
              <w:szCs w:val="20"/>
            </w:rPr>
            <w:t>ISSN: 2448-685X</w:t>
          </w:r>
        </w:p>
      </w:tc>
    </w:tr>
  </w:tbl>
  <w:p>
    <w:pPr>
      <w:pStyle w:val="Normal"/>
      <w:rPr/>
    </w:pPr>
    <w:r>
      <w:rPr/>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izquierda"/>
      <w:spacing w:before="0" w:after="160"/>
      <w:jc w:val="center"/>
      <w:rPr/>
    </w:pPr>
    <w:r>
      <w:rPr>
        <w:rFonts w:ascii="Times New Roman" w:hAnsi="Times New Roman"/>
        <w:i/>
        <w:iCs/>
        <w:sz w:val="16"/>
        <w:szCs w:val="16"/>
        <w:lang w:val="en-US"/>
      </w:rPr>
      <w:t xml:space="preserve">Advances in Engineering and Innovation Vol. </w:t>
    </w:r>
    <w:r>
      <w:rPr>
        <w:rFonts w:ascii="Times New Roman" w:hAnsi="Times New Roman"/>
        <w:i/>
        <w:iCs/>
        <w:sz w:val="16"/>
        <w:szCs w:val="16"/>
        <w:lang w:val="en-US"/>
      </w:rPr>
      <w:t>10</w:t>
    </w:r>
    <w:r>
      <w:rPr>
        <w:rFonts w:ascii="Times New Roman" w:hAnsi="Times New Roman"/>
        <w:i/>
        <w:iCs/>
        <w:sz w:val="16"/>
        <w:szCs w:val="16"/>
      </w:rPr>
      <w:t xml:space="preserve">, No. </w:t>
    </w:r>
    <w:r>
      <w:rPr>
        <w:rFonts w:ascii="Times New Roman" w:hAnsi="Times New Roman"/>
        <w:i/>
        <w:iCs/>
        <w:sz w:val="16"/>
        <w:szCs w:val="16"/>
      </w:rPr>
      <w:t>23</w:t>
    </w:r>
    <w:r>
      <w:rPr>
        <w:rFonts w:ascii="Times New Roman" w:hAnsi="Times New Roman"/>
        <w:i/>
        <w:iCs/>
        <w:sz w:val="16"/>
        <w:szCs w:val="16"/>
      </w:rPr>
      <w:t xml:space="preserve">, pp. </w:t>
    </w:r>
    <w:r>
      <w:rPr>
        <w:rFonts w:ascii="Times New Roman" w:hAnsi="Times New Roman"/>
        <w:i/>
        <w:iCs/>
        <w:sz w:val="16"/>
        <w:szCs w:val="16"/>
      </w:rPr>
      <w:t>144</w:t>
    </w:r>
    <w:r>
      <w:rPr>
        <w:rFonts w:ascii="Times New Roman" w:hAnsi="Times New Roman"/>
        <w:i/>
        <w:iCs/>
        <w:sz w:val="16"/>
        <w:szCs w:val="16"/>
      </w:rPr>
      <w:t>-</w:t>
    </w:r>
    <w:r>
      <w:rPr>
        <w:rFonts w:ascii="Times New Roman" w:hAnsi="Times New Roman"/>
        <w:i/>
        <w:iCs/>
        <w:sz w:val="16"/>
        <w:szCs w:val="16"/>
      </w:rPr>
      <w:t>151</w:t>
    </w:r>
    <w:r>
      <w:rPr>
        <w:rFonts w:ascii="Times New Roman" w:hAnsi="Times New Roman"/>
        <w:i/>
        <w:iCs/>
        <w:sz w:val="16"/>
        <w:szCs w:val="16"/>
      </w:rPr>
      <w:t xml:space="preserve">, </w:t>
    </w:r>
    <w:r>
      <w:rPr>
        <w:rFonts w:ascii="Times New Roman" w:hAnsi="Times New Roman"/>
        <w:i/>
        <w:iCs/>
        <w:sz w:val="16"/>
        <w:szCs w:val="16"/>
      </w:rPr>
      <w:t>Juli</w:t>
    </w:r>
    <w:r>
      <w:rPr>
        <w:rFonts w:ascii="Times New Roman" w:hAnsi="Times New Roman"/>
        <w:i/>
        <w:iCs/>
        <w:sz w:val="16"/>
        <w:szCs w:val="16"/>
      </w:rPr>
      <w:t xml:space="preserve">o - </w:t>
    </w:r>
    <w:r>
      <w:rPr>
        <w:rFonts w:ascii="Times New Roman" w:hAnsi="Times New Roman"/>
        <w:i/>
        <w:iCs/>
        <w:sz w:val="16"/>
        <w:szCs w:val="16"/>
      </w:rPr>
      <w:t>Diciembre</w:t>
    </w:r>
    <w:r>
      <w:rPr>
        <w:rFonts w:ascii="Times New Roman" w:hAnsi="Times New Roman"/>
        <w:i/>
        <w:iCs/>
        <w:sz w:val="16"/>
        <w:szCs w:val="16"/>
      </w:rPr>
      <w:t xml:space="preserve"> 2025</w:t>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izquierda"/>
      <w:spacing w:before="0" w:after="160"/>
      <w:jc w:val="center"/>
      <w:rPr/>
    </w:pPr>
    <w:r>
      <w:rPr>
        <w:rFonts w:ascii="Times New Roman" w:hAnsi="Times New Roman"/>
        <w:i/>
        <w:iCs/>
        <w:sz w:val="16"/>
        <w:szCs w:val="16"/>
        <w:lang w:val="en-US"/>
      </w:rPr>
      <w:t xml:space="preserve">Advances in Engineering and Innovation Vol. </w:t>
    </w:r>
    <w:r>
      <w:rPr>
        <w:rFonts w:ascii="Times New Roman" w:hAnsi="Times New Roman"/>
        <w:i/>
        <w:iCs/>
        <w:sz w:val="16"/>
        <w:szCs w:val="16"/>
        <w:lang w:val="en-US"/>
      </w:rPr>
      <w:t>10</w:t>
    </w:r>
    <w:r>
      <w:rPr>
        <w:rFonts w:ascii="Times New Roman" w:hAnsi="Times New Roman"/>
        <w:i/>
        <w:iCs/>
        <w:sz w:val="16"/>
        <w:szCs w:val="16"/>
      </w:rPr>
      <w:t xml:space="preserve">, No. </w:t>
    </w:r>
    <w:r>
      <w:rPr>
        <w:rFonts w:ascii="Times New Roman" w:hAnsi="Times New Roman"/>
        <w:i/>
        <w:iCs/>
        <w:sz w:val="16"/>
        <w:szCs w:val="16"/>
      </w:rPr>
      <w:t>23</w:t>
    </w:r>
    <w:r>
      <w:rPr>
        <w:rFonts w:ascii="Times New Roman" w:hAnsi="Times New Roman"/>
        <w:i/>
        <w:iCs/>
        <w:sz w:val="16"/>
        <w:szCs w:val="16"/>
      </w:rPr>
      <w:t xml:space="preserve">, pp. </w:t>
    </w:r>
    <w:r>
      <w:rPr>
        <w:rFonts w:ascii="Times New Roman" w:hAnsi="Times New Roman"/>
        <w:i/>
        <w:iCs/>
        <w:sz w:val="16"/>
        <w:szCs w:val="16"/>
      </w:rPr>
      <w:t>144</w:t>
    </w:r>
    <w:r>
      <w:rPr>
        <w:rFonts w:ascii="Times New Roman" w:hAnsi="Times New Roman"/>
        <w:i/>
        <w:iCs/>
        <w:sz w:val="16"/>
        <w:szCs w:val="16"/>
      </w:rPr>
      <w:t>-</w:t>
    </w:r>
    <w:r>
      <w:rPr>
        <w:rFonts w:ascii="Times New Roman" w:hAnsi="Times New Roman"/>
        <w:i/>
        <w:iCs/>
        <w:sz w:val="16"/>
        <w:szCs w:val="16"/>
      </w:rPr>
      <w:t>151</w:t>
    </w:r>
    <w:r>
      <w:rPr>
        <w:rFonts w:ascii="Times New Roman" w:hAnsi="Times New Roman"/>
        <w:i/>
        <w:iCs/>
        <w:sz w:val="16"/>
        <w:szCs w:val="16"/>
      </w:rPr>
      <w:t xml:space="preserve">, </w:t>
    </w:r>
    <w:r>
      <w:rPr>
        <w:rFonts w:ascii="Times New Roman" w:hAnsi="Times New Roman"/>
        <w:i/>
        <w:iCs/>
        <w:sz w:val="16"/>
        <w:szCs w:val="16"/>
      </w:rPr>
      <w:t>Juli</w:t>
    </w:r>
    <w:r>
      <w:rPr>
        <w:rFonts w:ascii="Times New Roman" w:hAnsi="Times New Roman"/>
        <w:i/>
        <w:iCs/>
        <w:sz w:val="16"/>
        <w:szCs w:val="16"/>
      </w:rPr>
      <w:t xml:space="preserve">o - </w:t>
    </w:r>
    <w:r>
      <w:rPr>
        <w:rFonts w:ascii="Times New Roman" w:hAnsi="Times New Roman"/>
        <w:i/>
        <w:iCs/>
        <w:sz w:val="16"/>
        <w:szCs w:val="16"/>
      </w:rPr>
      <w:t>Diciembre</w:t>
    </w:r>
    <w:r>
      <w:rPr>
        <w:rFonts w:ascii="Times New Roman" w:hAnsi="Times New Roman"/>
        <w:i/>
        <w:iCs/>
        <w:sz w:val="16"/>
        <w:szCs w:val="16"/>
      </w:rPr>
      <w:t xml:space="preserve"> 2025</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9"/>
  <w:autoHyphenation w:val="true"/>
  <w:evenAndOddHeader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oto Serif CJK SC" w:cs="Lohit Devanagari"/>
        <w:kern w:val="2"/>
        <w:sz w:val="24"/>
        <w:szCs w:val="24"/>
        <w:lang w:val="es-MX" w:eastAsia="zh-CN" w:bidi="hi-IN"/>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a0ac1"/>
    <w:pPr>
      <w:widowControl/>
      <w:suppressAutoHyphens w:val="true"/>
      <w:overflowPunct w:val="true"/>
      <w:bidi w:val="0"/>
      <w:spacing w:before="0" w:after="0"/>
      <w:jc w:val="left"/>
    </w:pPr>
    <w:rPr>
      <w:rFonts w:ascii="Liberation Serif" w:hAnsi="Liberation Serif" w:eastAsia="Noto Serif CJK SC" w:cs="Lohit Devanagari"/>
      <w:color w:val="auto"/>
      <w:kern w:val="2"/>
      <w:sz w:val="24"/>
      <w:szCs w:val="24"/>
      <w:lang w:val="es-MX" w:eastAsia="zh-CN" w:bidi="hi-IN"/>
    </w:rPr>
  </w:style>
  <w:style w:type="paragraph" w:styleId="Ttulo1">
    <w:name w:val="Heading 1"/>
    <w:basedOn w:val="Normal"/>
    <w:uiPriority w:val="9"/>
    <w:qFormat/>
    <w:pPr>
      <w:spacing w:before="79" w:after="0"/>
      <w:ind w:left="2899" w:right="2900" w:hanging="0"/>
      <w:jc w:val="center"/>
      <w:outlineLvl w:val="0"/>
    </w:pPr>
    <w:rPr>
      <w:b/>
      <w:bCs/>
      <w:sz w:val="20"/>
      <w:szCs w:val="20"/>
    </w:rPr>
  </w:style>
  <w:style w:type="character" w:styleId="DefaultParagraphFont" w:default="1">
    <w:name w:val="Default Paragraph Font"/>
    <w:uiPriority w:val="1"/>
    <w:unhideWhenUsed/>
    <w:qFormat/>
    <w:rPr/>
  </w:style>
  <w:style w:type="character" w:styleId="EnlacedeInternet">
    <w:name w:val="Enlace de Internet"/>
    <w:basedOn w:val="DefaultParagraphFont"/>
    <w:uiPriority w:val="99"/>
    <w:unhideWhenUsed/>
    <w:rsid w:val="009200fc"/>
    <w:rPr>
      <w:color w:val="467886" w:themeColor="hyperlink"/>
      <w:u w:val="single"/>
    </w:rPr>
  </w:style>
  <w:style w:type="character" w:styleId="Character20style" w:customStyle="1">
    <w:name w:val="Character_20_style"/>
    <w:qFormat/>
    <w:rPr/>
  </w:style>
  <w:style w:type="character" w:styleId="UnresolvedMention">
    <w:name w:val="Unresolved Mention"/>
    <w:basedOn w:val="DefaultParagraphFont"/>
    <w:uiPriority w:val="99"/>
    <w:semiHidden/>
    <w:unhideWhenUsed/>
    <w:qFormat/>
    <w:rsid w:val="009200fc"/>
    <w:rPr>
      <w:color w:val="605E5C"/>
      <w:shd w:fill="E1DFDD" w:val="clear"/>
    </w:rPr>
  </w:style>
  <w:style w:type="paragraph" w:styleId="Ttulo">
    <w:name w:val="Título"/>
    <w:basedOn w:val="Normal"/>
    <w:next w:val="Cuerpodetexto"/>
    <w:qFormat/>
    <w:pPr>
      <w:keepNext w:val="true"/>
      <w:spacing w:before="240" w:after="120"/>
    </w:pPr>
    <w:rPr>
      <w:rFonts w:ascii="Liberation Sans" w:hAnsi="Liberation Sans" w:eastAsia="Noto Sans CJK SC" w:cs="Lohit Devanagari"/>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style>
  <w:style w:type="paragraph" w:styleId="Leyenda">
    <w:name w:val="Caption"/>
    <w:basedOn w:val="Normal"/>
    <w:qFormat/>
    <w:pPr>
      <w:suppressLineNumbers/>
      <w:spacing w:before="120" w:after="120"/>
    </w:pPr>
    <w:rPr>
      <w:rFonts w:cs="Lohit Devanagari"/>
      <w:i/>
      <w:iCs/>
      <w:sz w:val="24"/>
      <w:szCs w:val="24"/>
    </w:rPr>
  </w:style>
  <w:style w:type="paragraph" w:styleId="Ndice" w:customStyle="1">
    <w:name w:val="Índice"/>
    <w:basedOn w:val="Normal"/>
    <w:qFormat/>
    <w:pPr>
      <w:suppressLineNumbers/>
    </w:pPr>
    <w:rPr/>
  </w:style>
  <w:style w:type="paragraph" w:styleId="Ttulogeneral">
    <w:name w:val="Title"/>
    <w:basedOn w:val="Normal"/>
    <w:next w:val="Cuerpodetexto"/>
    <w:uiPriority w:val="10"/>
    <w:qFormat/>
    <w:pPr>
      <w:spacing w:before="80" w:after="0"/>
      <w:ind w:left="118" w:hanging="0"/>
      <w:jc w:val="both"/>
    </w:pPr>
    <w:rPr>
      <w:b/>
      <w:bCs/>
    </w:rPr>
  </w:style>
  <w:style w:type="paragraph" w:styleId="Caption">
    <w:name w:val="caption"/>
    <w:basedOn w:val="Normal"/>
    <w:next w:val="Normal"/>
    <w:qFormat/>
    <w:pPr>
      <w:spacing w:before="0" w:after="200"/>
    </w:pPr>
    <w:rPr>
      <w:i/>
      <w:iCs/>
      <w:color w:val="1F497D"/>
      <w:sz w:val="18"/>
      <w:szCs w:val="18"/>
    </w:rPr>
  </w:style>
  <w:style w:type="paragraph" w:styleId="Textopreformateado" w:customStyle="1">
    <w:name w:val="Texto preformateado"/>
    <w:basedOn w:val="Normal"/>
    <w:qFormat/>
    <w:pPr/>
    <w:rPr>
      <w:rFonts w:ascii="Liberation Mono" w:hAnsi="Liberation Mono" w:eastAsia="Liberation Mono" w:cs="Liberation Mono"/>
      <w:sz w:val="20"/>
      <w:szCs w:val="20"/>
    </w:rPr>
  </w:style>
  <w:style w:type="paragraph" w:styleId="Cabeceraypie" w:customStyle="1">
    <w:name w:val="Cabecera y pie"/>
    <w:basedOn w:val="Normal"/>
    <w:qFormat/>
    <w:pPr>
      <w:suppressLineNumbers/>
      <w:tabs>
        <w:tab w:val="clear" w:pos="709"/>
        <w:tab w:val="center" w:pos="4820" w:leader="none"/>
        <w:tab w:val="right" w:pos="9640" w:leader="none"/>
      </w:tabs>
    </w:pPr>
    <w:rPr/>
  </w:style>
  <w:style w:type="paragraph" w:styleId="Cabecera">
    <w:name w:val="Header"/>
    <w:basedOn w:val="Cabeceraypie"/>
    <w:pPr/>
    <w:rPr/>
  </w:style>
  <w:style w:type="paragraph" w:styleId="Piedepgina">
    <w:name w:val="Footer"/>
    <w:basedOn w:val="Cabeceraypie"/>
    <w:pPr/>
    <w:rPr/>
  </w:style>
  <w:style w:type="paragraph" w:styleId="Cabeceraizquierda" w:customStyle="1">
    <w:name w:val="Cabecera izquierda"/>
    <w:basedOn w:val="Cabecera"/>
    <w:qFormat/>
    <w:pPr/>
    <w:rPr/>
  </w:style>
  <w:style w:type="paragraph" w:styleId="ListParagraph">
    <w:name w:val="List Paragraph"/>
    <w:basedOn w:val="Normal"/>
    <w:qFormat/>
    <w:pPr>
      <w:ind w:left="831" w:hanging="356"/>
    </w:pPr>
    <w:rPr/>
  </w:style>
  <w:style w:type="paragraph" w:styleId="Contenidodelatabla" w:customStyle="1">
    <w:name w:val="Contenido de la tabla"/>
    <w:basedOn w:val="Normal"/>
    <w:qFormat/>
    <w:pPr/>
    <w:rPr/>
  </w:style>
  <w:style w:type="paragraph" w:styleId="LOnormal" w:customStyle="1">
    <w:name w:val="LO-normal"/>
    <w:qFormat/>
    <w:pPr>
      <w:widowControl/>
      <w:suppressAutoHyphens w:val="true"/>
      <w:bidi w:val="0"/>
      <w:spacing w:lineRule="auto" w:line="276" w:before="0" w:after="0"/>
      <w:jc w:val="left"/>
    </w:pPr>
    <w:rPr>
      <w:rFonts w:ascii="Liberation Serif" w:hAnsi="Liberation Serif" w:eastAsia="Noto Serif CJK SC" w:cs="Lohit Devanagari"/>
      <w:color w:val="auto"/>
      <w:kern w:val="2"/>
      <w:sz w:val="24"/>
      <w:szCs w:val="24"/>
      <w:lang w:val="es-MX" w:eastAsia="zh-CN" w:bidi="hi-IN"/>
    </w:rPr>
  </w:style>
  <w:style w:type="paragraph" w:styleId="NormalWeb">
    <w:name w:val="Normal (Web)"/>
    <w:basedOn w:val="Normal"/>
    <w:uiPriority w:val="99"/>
    <w:semiHidden/>
    <w:unhideWhenUsed/>
    <w:qFormat/>
    <w:rsid w:val="00f433a0"/>
    <w:pPr>
      <w:suppressAutoHyphens w:val="false"/>
      <w:overflowPunct w:val="false"/>
      <w:spacing w:beforeAutospacing="1" w:afterAutospacing="1"/>
    </w:pPr>
    <w:rPr>
      <w:rFonts w:ascii="Times New Roman" w:hAnsi="Times New Roman" w:eastAsia="Times New Roman" w:cs="Times New Roman"/>
      <w:kern w:val="0"/>
      <w:lang w:eastAsia="es-MX" w:bidi="ar-SA"/>
    </w:rPr>
  </w:style>
  <w:style w:type="numbering" w:styleId="NoList" w:default="1">
    <w:name w:val="No List"/>
    <w:uiPriority w:val="99"/>
    <w:semiHidden/>
    <w:unhideWhenUsed/>
    <w:qFormat/>
  </w:style>
  <w:style w:type="table" w:default="1" w:styleId="Tab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hyperlink" Target="http://www.scielo.org.mx/scielo.php?script=sci_arttext&amp;pid=S0188-46112012000100008&amp;lng=es&amp;tlng=es" TargetMode="External"/><Relationship Id="rId9" Type="http://schemas.openxmlformats.org/officeDocument/2006/relationships/hyperlink" Target="https://rinacional.tecnm.mx/jspui/handle/TecNM/4585" TargetMode="External"/><Relationship Id="rId10" Type="http://schemas.openxmlformats.org/officeDocument/2006/relationships/hyperlink" Target="https://www.educationsolidarite.org/es/nuestra-accion/ess-y-educacion/" TargetMode="External"/><Relationship Id="rId11" Type="http://schemas.openxmlformats.org/officeDocument/2006/relationships/hyperlink" Target="https://www.ricyt.org/2023/12/2089/" TargetMode="External"/><Relationship Id="rId12" Type="http://schemas.openxmlformats.org/officeDocument/2006/relationships/header" Target="header4.xml"/><Relationship Id="rId13" Type="http://schemas.openxmlformats.org/officeDocument/2006/relationships/header" Target="header5.xml"/><Relationship Id="rId14" Type="http://schemas.openxmlformats.org/officeDocument/2006/relationships/footer" Target="footer4.xml"/><Relationship Id="rId15" Type="http://schemas.openxmlformats.org/officeDocument/2006/relationships/footer" Target="footer5.xml"/><Relationship Id="rId16" Type="http://schemas.openxmlformats.org/officeDocument/2006/relationships/numbering" Target="numbering.xml"/><Relationship Id="rId17" Type="http://schemas.openxmlformats.org/officeDocument/2006/relationships/fontTable" Target="fontTable.xml"/><Relationship Id="rId18" Type="http://schemas.openxmlformats.org/officeDocument/2006/relationships/settings" Target="settings.xml"/><Relationship Id="rId19" Type="http://schemas.openxmlformats.org/officeDocument/2006/relationships/theme" Target="theme/theme1.xml"/>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1669</TotalTime>
  <Application>LibreOffice/7.0.4.2$Linux_X86_64 LibreOffice_project/00$Build-2</Application>
  <AppVersion>15.0000</AppVersion>
  <Pages>8</Pages>
  <Words>4570</Words>
  <Characters>27127</Characters>
  <CharactersWithSpaces>31564</CharactersWithSpaces>
  <Paragraphs>178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2023-12-27T21:59:00Z</dcterms:created>
  <dc:creator/>
  <dc:description/>
  <dc:language>es-MX</dc:language>
  <cp:lastModifiedBy/>
  <dcterms:modified xsi:type="dcterms:W3CDTF">2025-11-26T09:07:32Z</dcterms:modified>
  <cp:revision>73</cp:revision>
  <dc:subject/>
  <dc:title/>
</cp:coreProperties>
</file>

<file path=docProps/custom.xml><?xml version="1.0" encoding="utf-8"?>
<Properties xmlns="http://schemas.openxmlformats.org/officeDocument/2006/custom-properties" xmlns:vt="http://schemas.openxmlformats.org/officeDocument/2006/docPropsVTypes"/>
</file>