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3.jpeg" ContentType="image/jpe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Arial" w:cs="Times New Roman"/>
          <w:bCs/>
          <w:sz w:val="44"/>
          <w:szCs w:val="44"/>
        </w:rPr>
      </w:pPr>
      <w:r>
        <w:rPr>
          <w:rFonts w:eastAsia="Arial" w:cs="Times New Roman" w:ascii="Times New Roman" w:hAnsi="Times New Roman"/>
          <w:bCs/>
          <w:sz w:val="44"/>
          <w:szCs w:val="44"/>
        </w:rPr>
        <w:t>Determinación de la toxicidad de los lixiviados generados por los residuos sólidos municipales de Valladolid, Yucatán</w:t>
      </w:r>
    </w:p>
    <w:p>
      <w:pPr>
        <w:pStyle w:val="Ttulogeneral"/>
        <w:spacing w:before="0" w:after="0"/>
        <w:ind w:left="0" w:hanging="0"/>
        <w:jc w:val="center"/>
        <w:rPr>
          <w:rFonts w:ascii="Times New Roman" w:hAnsi="Times New Roman" w:cs="Times New Roman"/>
          <w:b w:val="false"/>
          <w:b w:val="false"/>
          <w:bCs w:val="false"/>
          <w:sz w:val="20"/>
          <w:szCs w:val="20"/>
        </w:rPr>
      </w:pPr>
      <w:r>
        <w:rPr>
          <w:rFonts w:cs="Times New Roman" w:ascii="Times New Roman" w:hAnsi="Times New Roman"/>
          <w:color w:val="000000"/>
          <w:sz w:val="20"/>
          <w:szCs w:val="20"/>
        </w:rPr>
      </w:r>
    </w:p>
    <w:p>
      <w:pPr>
        <w:pStyle w:val="Textopreformateado"/>
        <w:ind w:right="115" w:hanging="0"/>
        <w:jc w:val="center"/>
        <w:rPr>
          <w:rFonts w:ascii="Times New Roman" w:hAnsi="Times New Roman" w:cs="Times New Roman"/>
          <w:color w:val="000000"/>
          <w:sz w:val="36"/>
          <w:szCs w:val="36"/>
          <w:lang w:val="en-US"/>
        </w:rPr>
      </w:pPr>
      <w:r>
        <w:rPr>
          <w:rFonts w:cs="Times New Roman" w:ascii="Times New Roman" w:hAnsi="Times New Roman"/>
          <w:color w:val="000000"/>
          <w:sz w:val="36"/>
          <w:szCs w:val="36"/>
          <w:lang w:val="en-US"/>
        </w:rPr>
        <w:t>Determination of the toxicity of leachates generated by municipal solid waste of Valladolid, Yucatan</w:t>
      </w:r>
    </w:p>
    <w:p>
      <w:pPr>
        <w:pStyle w:val="Normal"/>
        <w:ind w:right="115" w:hanging="0"/>
        <w:jc w:val="both"/>
        <w:rPr>
          <w:highlight w:val="yellow"/>
        </w:rPr>
      </w:pPr>
      <w:r>
        <w:rPr>
          <w:rFonts w:cs="Times New Roman" w:ascii="Times New Roman" w:hAnsi="Times New Roman"/>
          <w:color w:val="000000"/>
          <w:sz w:val="20"/>
          <w:szCs w:val="20"/>
        </w:rPr>
      </w:r>
    </w:p>
    <w:p>
      <w:pPr>
        <w:pStyle w:val="Normal"/>
        <w:ind w:right="1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Jennifer Guadalupe Ronquillo Gonzalez</w:t>
      </w:r>
      <w:r>
        <w:rPr>
          <w:rFonts w:cs="Times New Roman" w:ascii="Times New Roman" w:hAnsi="Times New Roman"/>
          <w:color w:val="000000"/>
          <w:sz w:val="24"/>
          <w:szCs w:val="24"/>
          <w:vertAlign w:val="superscript"/>
        </w:rPr>
        <w:t>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Carlos Alberto Puch Hau</w:t>
      </w:r>
      <w:r>
        <w:rPr>
          <w:rFonts w:cs="Times New Roman" w:ascii="Times New Roman" w:hAnsi="Times New Roman"/>
          <w:color w:val="000000"/>
          <w:sz w:val="24"/>
          <w:szCs w:val="24"/>
          <w:vertAlign w:val="superscript"/>
        </w:rPr>
        <w:t>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Ana Maribel Escalante Mañe</w:t>
      </w:r>
      <w:r>
        <w:rPr>
          <w:rFonts w:cs="Times New Roman" w:ascii="Times New Roman" w:hAnsi="Times New Roman"/>
          <w:color w:val="000000"/>
          <w:sz w:val="24"/>
          <w:szCs w:val="24"/>
          <w:vertAlign w:val="superscript"/>
        </w:rPr>
        <w:t>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Germán Giacoman Vallejos</w:t>
      </w:r>
      <w:r>
        <w:rPr>
          <w:rFonts w:cs="Times New Roman" w:ascii="Times New Roman" w:hAnsi="Times New Roman"/>
          <w:color w:val="000000"/>
          <w:sz w:val="24"/>
          <w:szCs w:val="24"/>
          <w:vertAlign w:val="superscript"/>
        </w:rPr>
        <w:t>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Jesús Roberto Pat Canul</w:t>
      </w:r>
      <w:r>
        <w:rPr>
          <w:rFonts w:cs="Times New Roman" w:ascii="Times New Roman" w:hAnsi="Times New Roman"/>
          <w:color w:val="000000"/>
          <w:sz w:val="24"/>
          <w:szCs w:val="24"/>
          <w:vertAlign w:val="superscript"/>
        </w:rPr>
        <w:t>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Jesús Antonio Santos Tejero</w:t>
      </w:r>
      <w:r>
        <w:rPr>
          <w:rFonts w:cs="Times New Roman" w:ascii="Times New Roman" w:hAnsi="Times New Roman"/>
          <w:color w:val="000000"/>
          <w:sz w:val="24"/>
          <w:szCs w:val="24"/>
          <w:vertAlign w:val="superscript"/>
        </w:rPr>
        <w:t>1</w:t>
      </w:r>
      <w:r>
        <w:rPr>
          <w:rFonts w:cs="Times New Roman" w:ascii="Times New Roman" w:hAnsi="Times New Roman"/>
          <w:color w:val="000000"/>
          <w:sz w:val="24"/>
          <w:szCs w:val="24"/>
        </w:rPr>
        <w:t xml:space="preserve"> </w:t>
      </w:r>
    </w:p>
    <w:p>
      <w:pPr>
        <w:pStyle w:val="Normal"/>
        <w:ind w:right="115"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y </w:t>
      </w:r>
      <w:r>
        <w:rPr>
          <w:rFonts w:cs="Times New Roman" w:ascii="Times New Roman" w:hAnsi="Times New Roman"/>
          <w:color w:val="000000"/>
          <w:sz w:val="24"/>
          <w:szCs w:val="24"/>
        </w:rPr>
        <w:t>Delghi Yudire Ruiz Patrón</w:t>
      </w:r>
      <w:r>
        <w:rPr>
          <w:rFonts w:cs="Times New Roman" w:ascii="Times New Roman" w:hAnsi="Times New Roman"/>
          <w:color w:val="000000"/>
          <w:sz w:val="24"/>
          <w:szCs w:val="24"/>
          <w:vertAlign w:val="superscript"/>
        </w:rPr>
        <w:t>1*</w:t>
      </w:r>
    </w:p>
    <w:p>
      <w:pPr>
        <w:pStyle w:val="Normal"/>
        <w:ind w:right="115"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ind w:right="116" w:hanging="0"/>
        <w:jc w:val="center"/>
        <w:rPr>
          <w:rFonts w:ascii="Times New Roman" w:hAnsi="Times New Roman" w:cs="Times New Roman"/>
          <w:color w:val="000000"/>
          <w:sz w:val="24"/>
          <w:szCs w:val="24"/>
        </w:rPr>
      </w:pPr>
      <w:r>
        <w:rPr>
          <w:rFonts w:cs="Times New Roman" w:ascii="Times New Roman" w:hAnsi="Times New Roman"/>
          <w:i/>
          <w:iCs/>
          <w:color w:val="000000"/>
          <w:sz w:val="24"/>
          <w:szCs w:val="24"/>
          <w:vertAlign w:val="superscript"/>
        </w:rPr>
        <w:t>1</w:t>
      </w:r>
      <w:r>
        <w:rPr>
          <w:rFonts w:cs="Times New Roman" w:ascii="Times New Roman" w:hAnsi="Times New Roman"/>
          <w:i/>
          <w:iCs/>
          <w:color w:val="000000"/>
          <w:sz w:val="24"/>
          <w:szCs w:val="24"/>
        </w:rPr>
        <w:t>Tecnológico Nacional  de México campus Valladolid,  carretera Valladolid-Tizimín, KM 3.5 Tablaje Catastral No.8850, CP 97780, Valladolid, Yucatán, México.</w:t>
      </w:r>
    </w:p>
    <w:p>
      <w:pPr>
        <w:pStyle w:val="Normal"/>
        <w:ind w:right="115"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ind w:right="115" w:hanging="0"/>
        <w:jc w:val="center"/>
        <w:rPr>
          <w:rFonts w:ascii="Times New Roman" w:hAnsi="Times New Roman" w:cs="Times New Roman"/>
          <w:i/>
          <w:i/>
          <w:iCs/>
          <w:color w:val="000000"/>
          <w:sz w:val="24"/>
          <w:szCs w:val="24"/>
        </w:rPr>
      </w:pPr>
      <w:r>
        <w:rPr>
          <w:rFonts w:cs="Times New Roman" w:ascii="Times New Roman" w:hAnsi="Times New Roman"/>
          <w:i/>
          <w:iCs/>
          <w:color w:val="000000"/>
          <w:sz w:val="24"/>
          <w:szCs w:val="24"/>
          <w:vertAlign w:val="superscript"/>
        </w:rPr>
        <w:t>2</w:t>
      </w:r>
      <w:r>
        <w:rPr>
          <w:rFonts w:cs="Times New Roman" w:ascii="Times New Roman" w:hAnsi="Times New Roman"/>
          <w:i/>
          <w:iCs/>
          <w:color w:val="000000"/>
          <w:sz w:val="24"/>
          <w:szCs w:val="24"/>
        </w:rPr>
        <w:t>Universidad Autónoma de Yucatán, Facultad de Ingeniería, Avenida Industrias no contaminantes por Anillo periférico Norte s/n, CP 97203, Mérida, Yucatán, México.</w:t>
      </w:r>
    </w:p>
    <w:p>
      <w:pPr>
        <w:pStyle w:val="Normal"/>
        <w:ind w:right="115"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ind w:right="115" w:hanging="0"/>
        <w:jc w:val="center"/>
        <w:rPr>
          <w:rFonts w:ascii="Times New Roman" w:hAnsi="Times New Roman" w:cs="Times New Roman"/>
          <w:i/>
          <w:i/>
          <w:iCs/>
          <w:color w:val="000000"/>
          <w:sz w:val="20"/>
          <w:szCs w:val="20"/>
        </w:rPr>
      </w:pPr>
      <w:r>
        <w:rPr>
          <w:rFonts w:cs="Times New Roman" w:ascii="Times New Roman" w:hAnsi="Times New Roman"/>
          <w:i/>
          <w:iCs/>
          <w:color w:val="000000"/>
          <w:sz w:val="20"/>
          <w:szCs w:val="20"/>
        </w:rPr>
        <w:t>*</w:t>
      </w:r>
      <w:r>
        <w:rPr>
          <w:rFonts w:cs="Times New Roman" w:ascii="Times New Roman" w:hAnsi="Times New Roman"/>
          <w:i/>
          <w:iCs/>
          <w:color w:val="000000"/>
          <w:sz w:val="20"/>
          <w:szCs w:val="20"/>
        </w:rPr>
        <w:t>Corresponding author:</w:t>
      </w:r>
    </w:p>
    <w:p>
      <w:pPr>
        <w:pStyle w:val="Normal"/>
        <w:ind w:right="115" w:hanging="0"/>
        <w:jc w:val="center"/>
        <w:rPr>
          <w:rFonts w:ascii="Times New Roman" w:hAnsi="Times New Roman" w:cs="Times New Roman"/>
          <w:i/>
          <w:i/>
          <w:iCs/>
          <w:color w:val="000000"/>
          <w:sz w:val="20"/>
          <w:szCs w:val="20"/>
        </w:rPr>
      </w:pPr>
      <w:r>
        <w:rPr>
          <w:rFonts w:cs="Times New Roman" w:ascii="Times New Roman" w:hAnsi="Times New Roman"/>
          <w:i/>
          <w:iCs/>
          <w:color w:val="000000"/>
          <w:sz w:val="20"/>
          <w:szCs w:val="20"/>
        </w:rPr>
        <w:t>delghi.rp@valladolid.tecnm.mx</w:t>
      </w:r>
    </w:p>
    <w:p>
      <w:pPr>
        <w:pStyle w:val="Normal"/>
        <w:rPr>
          <w:rFonts w:ascii="Times New Roman" w:hAnsi="Times New Roman" w:cs="Times New Roman"/>
          <w:color w:val="000000"/>
          <w:sz w:val="20"/>
          <w:szCs w:val="20"/>
        </w:rPr>
      </w:pPr>
      <w:r>
        <w:rPr>
          <w:rFonts w:cs="Times New Roman"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3" w:top="1598" w:footer="1133" w:bottom="1729" w:gutter="0"/>
          <w:pgBorders w:display="allPages" w:offsetFrom="page">
            <w:top w:val="single" w:sz="4" w:space="24" w:color="auto"/>
            <w:bottom w:val="single" w:sz="4" w:space="24" w:color="auto"/>
          </w:pgBorders>
          <w:pgNumType w:start="1" w:fmt="decimal"/>
          <w:formProt w:val="false"/>
          <w:titlePg/>
          <w:textDirection w:val="lrTb"/>
          <w:docGrid w:type="default" w:linePitch="600" w:charSpace="32768"/>
        </w:sectPr>
      </w:pPr>
    </w:p>
    <w:p>
      <w:pPr>
        <w:pStyle w:val="Ttulo1"/>
        <w:widowControl w:val="false"/>
        <w:spacing w:before="0" w:after="0"/>
        <w:ind w:left="0" w:right="0" w:hanging="0"/>
        <w:jc w:val="both"/>
        <w:rPr>
          <w:b/>
          <w:b/>
          <w:bCs/>
          <w:color w:val="000000"/>
        </w:rPr>
      </w:pPr>
      <w:r>
        <w:rPr>
          <w:rFonts w:cs="Times New Roman" w:ascii="Times New Roman" w:hAnsi="Times New Roman"/>
          <w:b/>
          <w:bCs/>
          <w:color w:val="000000"/>
        </w:rPr>
        <w:t xml:space="preserve">Resumen. El manejo de residuos sólidos en Valladolid, Yucatán, enfrenta graves desafíos debido al crecimiento poblacional y la falta de un sistema adecuado para gestionar los desechos. Esto ha resultado en la acumulación de lixiviados en los vertederos locales, líquidos contaminantes que se infiltran en el suelo, representando un riesgo significativo para la calidad del agua y la seguridad hídrica de la población. El análisis de los parámetros fisicoquímicos de los lixiviados del relleno sanitario de Valladolid, Yucatán, reveló concentraciones de ciertas variables fisicoquímicas por arriba de </w:t>
      </w:r>
      <w:r>
        <w:rPr>
          <w:rFonts w:eastAsia="Arial" w:cs="Times New Roman" w:ascii="Times New Roman" w:hAnsi="Times New Roman"/>
          <w:b/>
          <w:bCs/>
          <w:color w:val="000000"/>
        </w:rPr>
        <w:t>NOM-001-SEMARNAT-2021</w:t>
      </w:r>
      <w:r>
        <w:rPr>
          <w:rFonts w:cs="Times New Roman" w:ascii="Times New Roman" w:hAnsi="Times New Roman"/>
          <w:b/>
          <w:bCs/>
          <w:color w:val="000000"/>
        </w:rPr>
        <w:t xml:space="preserve">, en particular para la </w:t>
      </w:r>
      <w:r>
        <w:rPr>
          <w:rFonts w:cs="Times New Roman" w:ascii="Times New Roman" w:hAnsi="Times New Roman"/>
          <w:b/>
          <w:bCs/>
          <w:color w:val="000000"/>
        </w:rPr>
        <w:t>Demanda Química de Oxígeno (DQO: 273.6 ± 50.1 mg/L), Nitrógeno Total (19.6 mg/L) y Fosforo Total (13.08 ± 1.5 y 14.1 ± 4.7 mg/L). A pesar de que los valores fisicoquímicos del lixiviado de Valladolid, fueron menores a los determinados en los lixiviados de la ciudad de Mérida, estos representan un riesgo para la seguridad hídrica</w:t>
      </w:r>
      <w:r>
        <w:rPr>
          <w:rFonts w:cs="Times New Roman" w:ascii="Times New Roman" w:hAnsi="Times New Roman"/>
          <w:b/>
          <w:bCs/>
          <w:color w:val="000000"/>
        </w:rPr>
        <w:t xml:space="preserve">. </w:t>
      </w:r>
      <w:r>
        <w:rPr>
          <w:rFonts w:cs="Times New Roman" w:ascii="Times New Roman" w:hAnsi="Times New Roman"/>
          <w:b/>
          <w:bCs/>
          <w:color w:val="000000" w:themeColor="text1"/>
        </w:rPr>
        <w:t xml:space="preserve">Los resultados de este trabajo </w:t>
      </w:r>
      <w:r>
        <w:rPr>
          <w:rFonts w:cs="Times New Roman" w:ascii="Times New Roman" w:hAnsi="Times New Roman"/>
          <w:b/>
          <w:bCs/>
          <w:color w:val="000000"/>
        </w:rPr>
        <w:t>resaltan la necesidad de implementar estrategias sostenibles para mitigar la contaminación, proteger la biodiversidad y garantizar la salud pública.</w:t>
      </w:r>
    </w:p>
    <w:p>
      <w:pPr>
        <w:pStyle w:val="Normal"/>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jc w:val="both"/>
        <w:rPr>
          <w:b/>
          <w:b/>
          <w:bCs/>
          <w:color w:val="000000"/>
        </w:rPr>
      </w:pPr>
      <w:r>
        <w:rPr>
          <w:rFonts w:cs="Times New Roman" w:ascii="Times New Roman" w:hAnsi="Times New Roman"/>
          <w:b/>
          <w:bCs/>
          <w:color w:val="000000"/>
          <w:sz w:val="20"/>
          <w:szCs w:val="20"/>
        </w:rPr>
        <w:t xml:space="preserve">Palabras </w:t>
      </w:r>
      <w:r>
        <w:rPr>
          <w:rFonts w:cs="Times New Roman" w:ascii="Times New Roman" w:hAnsi="Times New Roman"/>
          <w:b/>
          <w:bCs/>
          <w:color w:val="000000"/>
          <w:sz w:val="20"/>
          <w:szCs w:val="20"/>
        </w:rPr>
        <w:t>c</w:t>
      </w:r>
      <w:r>
        <w:rPr>
          <w:rFonts w:cs="Times New Roman" w:ascii="Times New Roman" w:hAnsi="Times New Roman"/>
          <w:b/>
          <w:bCs/>
          <w:color w:val="000000"/>
          <w:sz w:val="20"/>
          <w:szCs w:val="20"/>
        </w:rPr>
        <w:t xml:space="preserve">lave: </w:t>
      </w:r>
      <w:r>
        <w:rPr>
          <w:rFonts w:eastAsia="Times New Roman" w:cs="Times New Roman" w:ascii="Times New Roman" w:hAnsi="Times New Roman"/>
          <w:b/>
          <w:bCs/>
          <w:color w:val="000000"/>
          <w:sz w:val="20"/>
          <w:szCs w:val="20"/>
        </w:rPr>
        <w:t xml:space="preserve">agua residual, contaminación hídrica, residuos sólidos, salud pública. </w:t>
      </w:r>
    </w:p>
    <w:p>
      <w:pPr>
        <w:pStyle w:val="Normal"/>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Ttulo1"/>
        <w:widowControl w:val="false"/>
        <w:spacing w:before="0" w:after="0"/>
        <w:ind w:left="0" w:right="0" w:hanging="0"/>
        <w:jc w:val="both"/>
        <w:rPr>
          <w:b/>
          <w:b/>
          <w:bCs/>
          <w:color w:val="000000"/>
        </w:rPr>
      </w:pPr>
      <w:r>
        <w:rPr>
          <w:rFonts w:cs="Times New Roman" w:ascii="Times New Roman" w:hAnsi="Times New Roman"/>
          <w:b/>
          <w:bCs/>
          <w:color w:val="000000"/>
          <w:lang w:val="en-US"/>
        </w:rPr>
        <w:t xml:space="preserve">Abstract. Solid waste management in Valladolid, Yucatán, faces serious challenges due to population growth and the lack of an adequate system for waste management. This has resulted in the accumulation of leachate in local landfills, polluting liquids that infiltrate soil, posing a significant risk to water quality and water safety for the population. Analysis of the physicochemical parameters of leachate from the landfill in Valladolid, Yucatán, revealed concentrations of certain physico-chemical variables above NOM-001-SEMARNAT-2021, in particular for the </w:t>
      </w:r>
      <w:r>
        <w:rPr>
          <w:rFonts w:cs="Times New Roman" w:ascii="Times New Roman" w:hAnsi="Times New Roman"/>
          <w:b/>
          <w:bCs/>
          <w:color w:val="000000"/>
          <w:lang w:val="en-US"/>
        </w:rPr>
        <w:t xml:space="preserve">Chemical Oxygen Demand (COD: 273.6 50.1 mg/L), Total Nitrogen (19.6 mg/L) and Total Phosphorus (13.08 1.5 and 14.1 4.7 mg/L). Although the physicochemical values of leachate from Valladolid were lower than those determined in the leachates from the city of Mérida, they represent a risk to water security. </w:t>
      </w:r>
      <w:r>
        <w:rPr>
          <w:rFonts w:cs="Times New Roman" w:ascii="Times New Roman" w:hAnsi="Times New Roman"/>
          <w:b/>
          <w:bCs/>
          <w:color w:val="000000"/>
          <w:lang w:val="en-US"/>
        </w:rPr>
        <w:t>The results of this work highlight the need to implement sustainable strategies to mitigate pollution, protect biodiversity and ensure public health.</w:t>
      </w:r>
    </w:p>
    <w:p>
      <w:pPr>
        <w:pStyle w:val="Normal"/>
        <w:jc w:val="both"/>
        <w:rPr>
          <w:rFonts w:ascii="Times New Roman" w:hAnsi="Times New Roman" w:cs="Times New Roman"/>
          <w:b/>
          <w:b/>
          <w:bCs/>
          <w:color w:val="000000"/>
          <w:sz w:val="20"/>
          <w:szCs w:val="20"/>
          <w:lang w:val="en-US"/>
        </w:rPr>
      </w:pPr>
      <w:r>
        <w:rPr>
          <w:rFonts w:cs="Times New Roman" w:ascii="Times New Roman" w:hAnsi="Times New Roman"/>
          <w:b/>
          <w:bCs/>
          <w:color w:val="000000"/>
          <w:sz w:val="20"/>
          <w:szCs w:val="20"/>
          <w:lang w:val="en-US"/>
        </w:rPr>
      </w:r>
    </w:p>
    <w:p>
      <w:pPr>
        <w:pStyle w:val="Normal"/>
        <w:jc w:val="both"/>
        <w:rPr>
          <w:b/>
          <w:b/>
          <w:bCs/>
          <w:color w:val="000000"/>
        </w:rPr>
      </w:pPr>
      <w:r>
        <w:rPr>
          <w:rFonts w:cs="Times New Roman" w:ascii="Times New Roman" w:hAnsi="Times New Roman"/>
          <w:b/>
          <w:bCs/>
          <w:color w:val="000000"/>
          <w:sz w:val="20"/>
          <w:szCs w:val="20"/>
          <w:lang w:val="en-US"/>
        </w:rPr>
        <w:t>Keywords: waste water, water pollution, solid waste, public health.</w:t>
      </w:r>
    </w:p>
    <w:p>
      <w:pPr>
        <w:pStyle w:val="Normal"/>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r>
    </w:p>
    <w:p>
      <w:pPr>
        <w:pStyle w:val="Ttulo1"/>
        <w:widowControl w:val="false"/>
        <w:spacing w:before="0" w:after="0"/>
        <w:ind w:left="0" w:right="0" w:hanging="0"/>
        <w:jc w:val="left"/>
        <w:rPr>
          <w:color w:val="000000"/>
        </w:rPr>
      </w:pPr>
      <w:bookmarkStart w:id="0" w:name="_heading=h.97e7t0ql9gj5"/>
      <w:bookmarkEnd w:id="0"/>
      <w:r>
        <w:rPr>
          <w:rFonts w:cs="Times New Roman" w:ascii="Times New Roman" w:hAnsi="Times New Roman"/>
          <w:color w:val="000000"/>
        </w:rPr>
        <w:t>I. INTRODUCCIÓN</w:t>
      </w:r>
    </w:p>
    <w:p>
      <w:pPr>
        <w:pStyle w:val="Normal"/>
        <w:jc w:val="both"/>
        <w:rPr>
          <w:color w:val="000000"/>
        </w:rPr>
      </w:pPr>
      <w:r>
        <w:rPr>
          <w:rFonts w:eastAsia="Arial" w:cs="Times New Roman" w:ascii="Times New Roman" w:hAnsi="Times New Roman"/>
          <w:color w:val="000000"/>
          <w:sz w:val="20"/>
          <w:szCs w:val="20"/>
        </w:rPr>
        <w:t>La gestión de residuos sólidos municipales se ha convertido en un desafío cada vez más significativo para la sociedad actual, especialmente cuando se trata del constante crecimiento poblacional</w:t>
      </w:r>
      <w:r>
        <w:rPr>
          <w:rFonts w:eastAsia="Arial" w:cs="Times New Roman" w:ascii="Times New Roman" w:hAnsi="Times New Roman"/>
          <w:color w:val="000000"/>
          <w:sz w:val="20"/>
          <w:szCs w:val="20"/>
        </w:rPr>
        <w:t>. Para el caso de la ciudad de Valladolid, en el año 2020 la población fue de 84,460 habitantes, teniendo un crecimiento población del 15.1% en relación al año 2010 (</w:t>
      </w:r>
      <w:r>
        <w:rPr>
          <w:rFonts w:cs="Times New Roman" w:ascii="Times New Roman" w:hAnsi="Times New Roman"/>
          <w:color w:val="000000"/>
          <w:sz w:val="20"/>
          <w:szCs w:val="20"/>
        </w:rPr>
        <w:t>Data México, s. f.)</w:t>
      </w:r>
      <w:r>
        <w:rPr>
          <w:rFonts w:eastAsia="Arial" w:cs="Times New Roman" w:ascii="Times New Roman" w:hAnsi="Times New Roman"/>
          <w:color w:val="000000"/>
          <w:sz w:val="20"/>
          <w:szCs w:val="20"/>
        </w:rPr>
        <w:t xml:space="preserve">.  </w:t>
      </w:r>
    </w:p>
    <w:p>
      <w:pPr>
        <w:pStyle w:val="Normal"/>
        <w:jc w:val="both"/>
        <w:rPr>
          <w:rFonts w:ascii="Times New Roman" w:hAnsi="Times New Roman" w:eastAsia="Arial" w:cs="Times New Roman"/>
          <w:sz w:val="20"/>
          <w:szCs w:val="20"/>
        </w:rPr>
      </w:pPr>
      <w:r>
        <w:rPr>
          <w:color w:val="000000"/>
        </w:rPr>
      </w:r>
    </w:p>
    <w:p>
      <w:pPr>
        <w:pStyle w:val="Normal"/>
        <w:jc w:val="both"/>
        <w:rPr>
          <w:color w:val="000000"/>
        </w:rPr>
      </w:pPr>
      <w:r>
        <w:rPr>
          <w:rFonts w:eastAsia="Arial" w:cs="Times New Roman" w:ascii="Times New Roman" w:hAnsi="Times New Roman"/>
          <w:color w:val="000000"/>
          <w:sz w:val="20"/>
          <w:szCs w:val="20"/>
        </w:rPr>
        <w:t>A medida que la población aumenta, también lo hace la generación de residuos sólidos, lo que provoca un incremento en la producción de lixiviados.</w:t>
      </w:r>
      <w:r>
        <w:rPr>
          <w:rFonts w:cs="Times New Roman" w:ascii="Times New Roman" w:hAnsi="Times New Roman"/>
          <w:color w:val="000000"/>
        </w:rPr>
        <w:t xml:space="preserve"> </w:t>
      </w:r>
      <w:r>
        <w:rPr>
          <w:rFonts w:eastAsia="Arial" w:cs="Times New Roman" w:ascii="Times New Roman" w:hAnsi="Times New Roman"/>
          <w:color w:val="000000"/>
          <w:sz w:val="20"/>
          <w:szCs w:val="20"/>
        </w:rPr>
        <w:t xml:space="preserve">Los lixiviados de los residuos sólidos municipales (RSM) son mezclas complejas de contaminantes que pueden infiltrarse en el suelo y deteriorar la calidad del agua, comprometiendo la seguridad hídrica de los habitantes de un país o región (López, 2023). Si estos lixiviados no se manejan de manera adecuada, pueden penetrar en el suelo y contaminar cuerpos de agua, tanto superficiales como subterráneos, lo que pone en riesgo la biodiversidad y la salud pública. Valladolid, una ciudad del estado de Yucatán, se encuentra en una situación alarmante en esta problemática. A pesar de ser uno de los municipios con mayor densidad poblacional en la región, carece de un sistema eficiente para la gestión de residuos sólidos, lo que ha llevado a una acumulación preocupante de lixiviados en sus vertederos. </w:t>
      </w:r>
    </w:p>
    <w:p>
      <w:pPr>
        <w:pStyle w:val="Normal"/>
        <w:jc w:val="both"/>
        <w:rPr>
          <w:rFonts w:ascii="Times New Roman" w:hAnsi="Times New Roman" w:eastAsia="Arial" w:cs="Times New Roman"/>
          <w:sz w:val="20"/>
          <w:szCs w:val="20"/>
        </w:rPr>
      </w:pPr>
      <w:r>
        <w:rPr>
          <w:color w:val="000000"/>
        </w:rPr>
      </w:r>
    </w:p>
    <w:p>
      <w:pPr>
        <w:pStyle w:val="Normal"/>
        <w:overflowPunct w:val="false"/>
        <w:jc w:val="both"/>
        <w:rPr>
          <w:color w:val="000000"/>
        </w:rPr>
      </w:pPr>
      <w:r>
        <w:rPr>
          <w:rFonts w:eastAsia="Arial" w:cs="Times New Roman" w:ascii="Times New Roman" w:hAnsi="Times New Roman"/>
          <w:color w:val="000000"/>
          <w:sz w:val="20"/>
          <w:szCs w:val="20"/>
        </w:rPr>
        <w:t xml:space="preserve">Estos líquidos contienen compuestos orgánicos e inorgánicos y microorganismos patógenos, los cuales representan un grave riesgo de contaminación para el acuífero, la principal reserva hídrica de la zona. Parte de este líquido de igual manera contiene </w:t>
      </w:r>
      <w:r>
        <w:rPr>
          <w:rFonts w:cs="Times New Roman" w:ascii="Times New Roman" w:hAnsi="Times New Roman"/>
          <w:color w:val="000000"/>
          <w:sz w:val="20"/>
          <w:szCs w:val="20"/>
          <w:shd w:fill="FFFFFF" w:val="clear"/>
        </w:rPr>
        <w:t xml:space="preserve">metales pesados, caracterizados por ser persistentes y acumularse en algunas partes del cuerpo, como los riñones y los músculos, generando distintas repercusiones en la salud de los organismos </w:t>
      </w:r>
      <w:r>
        <w:rPr>
          <w:rFonts w:eastAsia="Arial" w:cs="Times New Roman" w:ascii="Times New Roman" w:hAnsi="Times New Roman"/>
          <w:color w:val="000000"/>
          <w:sz w:val="20"/>
          <w:szCs w:val="20"/>
        </w:rPr>
        <w:t xml:space="preserve">(Escalante-Mañe et al., 2022; </w:t>
      </w:r>
      <w:r>
        <w:rPr>
          <w:rFonts w:eastAsia="Times New Roman" w:cs="Times New Roman" w:ascii="Times New Roman" w:hAnsi="Times New Roman"/>
          <w:color w:val="000000"/>
          <w:kern w:val="0"/>
          <w:sz w:val="20"/>
          <w:szCs w:val="20"/>
          <w:lang w:eastAsia="es-MX" w:bidi="ar-SA"/>
        </w:rPr>
        <w:t>Cañizares-Martínez et al., 2024</w:t>
      </w:r>
      <w:r>
        <w:rPr>
          <w:rFonts w:eastAsia="Arial" w:cs="Times New Roman" w:ascii="Times New Roman" w:hAnsi="Times New Roman"/>
          <w:color w:val="000000"/>
          <w:sz w:val="20"/>
          <w:szCs w:val="20"/>
        </w:rPr>
        <w:t>). Con base a lo mencionado anteriormente, el objetivo principal de este trabajo se basa en la caracterización fisicoquímica de los lixiviados generados en la ciudad de Valladolid, Yucatán, con la finalidad de determinar los potenciales riesgos asociados a estas aguas residuales. Esta investigación permitirá preservar los recursos naturales, proteger la salud pública y garantizar la seguridad hídrica para las generaciones presentes y futuras.</w:t>
      </w:r>
    </w:p>
    <w:p>
      <w:pPr>
        <w:pStyle w:val="LOnormal"/>
        <w:spacing w:lineRule="auto" w:line="240"/>
        <w:ind w:right="124"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b/>
          <w:bCs/>
          <w:color w:val="000000"/>
          <w:sz w:val="20"/>
          <w:szCs w:val="20"/>
        </w:rPr>
        <w:t>II. METODOLOGÍA</w:t>
      </w:r>
    </w:p>
    <w:p>
      <w:pPr>
        <w:pStyle w:val="Normal"/>
        <w:jc w:val="both"/>
        <w:rPr>
          <w:color w:val="000000"/>
        </w:rPr>
      </w:pPr>
      <w:r>
        <w:rPr>
          <w:rFonts w:eastAsia="Arial" w:cs="Times New Roman" w:ascii="Times New Roman" w:hAnsi="Times New Roman"/>
          <w:i/>
          <w:iCs/>
          <w:color w:val="000000"/>
          <w:sz w:val="20"/>
          <w:szCs w:val="20"/>
        </w:rPr>
        <w:t xml:space="preserve">A. </w:t>
      </w:r>
      <w:r>
        <w:rPr>
          <w:rFonts w:eastAsia="Arial" w:cs="Times New Roman" w:ascii="Times New Roman" w:hAnsi="Times New Roman"/>
          <w:i/>
          <w:iCs/>
          <w:color w:val="000000"/>
          <w:sz w:val="20"/>
          <w:szCs w:val="20"/>
        </w:rPr>
        <w:t>Área de estudio</w:t>
      </w:r>
    </w:p>
    <w:p>
      <w:pPr>
        <w:pStyle w:val="Normal"/>
        <w:jc w:val="both"/>
        <w:rPr>
          <w:color w:val="000000"/>
        </w:rPr>
      </w:pPr>
      <w:r>
        <w:rPr>
          <w:rFonts w:eastAsia="Arial" w:cs="Times New Roman" w:ascii="Times New Roman" w:hAnsi="Times New Roman"/>
          <w:color w:val="000000"/>
          <w:sz w:val="20"/>
          <w:szCs w:val="20"/>
        </w:rPr>
        <w:t>La recolección de las muestras del lixiviado se realizó en el basurero municipal desde los depósitos de acumulación de líquidos que se encontraban presentes en el vertedero del municipio de Valladolid, Yucatán (20.6688412, - 88.2236409) ubicado cerca de la calle 54 del Barrio de Sisal.</w:t>
      </w:r>
    </w:p>
    <w:p>
      <w:pPr>
        <w:pStyle w:val="Normal"/>
        <w:jc w:val="both"/>
        <w:rPr>
          <w:rFonts w:ascii="Times New Roman" w:hAnsi="Times New Roman" w:eastAsia="Arial" w:cs="Times New Roman"/>
          <w:sz w:val="20"/>
          <w:szCs w:val="20"/>
        </w:rPr>
      </w:pPr>
      <w:r>
        <w:rPr>
          <w:color w:val="000000"/>
        </w:rPr>
      </w:r>
    </w:p>
    <w:p>
      <w:pPr>
        <w:pStyle w:val="Normal"/>
        <w:jc w:val="both"/>
        <w:rPr>
          <w:color w:val="000000"/>
        </w:rPr>
      </w:pPr>
      <w:r>
        <w:rPr>
          <w:rFonts w:eastAsia="Arial" w:cs="Times New Roman" w:ascii="Times New Roman" w:hAnsi="Times New Roman"/>
          <w:color w:val="000000"/>
          <w:sz w:val="20"/>
          <w:szCs w:val="20"/>
        </w:rPr>
        <w:t xml:space="preserve">Se recolectaron dos muestras compuestas (cada una con su respectiva replica), las cuales fueron preservadas en refrigeración a una temperatura de 4-8°C, hasta su análisis en laboratorio. </w:t>
      </w:r>
    </w:p>
    <w:p>
      <w:pPr>
        <w:pStyle w:val="Normal"/>
        <w:jc w:val="both"/>
        <w:rPr>
          <w:rFonts w:ascii="Times New Roman" w:hAnsi="Times New Roman" w:eastAsia="Arial" w:cs="Times New Roman"/>
          <w:sz w:val="20"/>
          <w:szCs w:val="20"/>
        </w:rPr>
      </w:pPr>
      <w:r>
        <w:rPr>
          <w:color w:val="00000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mc:AlternateContent>
          <mc:Choice Requires="wps">
            <w:drawing>
              <wp:anchor behindDoc="0" distT="0" distB="0" distL="0" distR="0" simplePos="0" locked="0" layoutInCell="0" allowOverlap="1" relativeHeight="3" wp14:anchorId="0845DF30">
                <wp:simplePos x="0" y="0"/>
                <wp:positionH relativeFrom="column">
                  <wp:posOffset>-40640</wp:posOffset>
                </wp:positionH>
                <wp:positionV relativeFrom="paragraph">
                  <wp:posOffset>139700</wp:posOffset>
                </wp:positionV>
                <wp:extent cx="286385" cy="286385"/>
                <wp:effectExtent l="0" t="0" r="0" b="0"/>
                <wp:wrapNone/>
                <wp:docPr id="2" name="Rectángulo 4"/>
                <a:graphic xmlns:a="http://schemas.openxmlformats.org/drawingml/2006/main">
                  <a:graphicData uri="http://schemas.microsoft.com/office/word/2010/wordprocessingShape">
                    <wps:wsp>
                      <wps:cNvSpPr/>
                      <wps:spPr>
                        <a:xfrm>
                          <a:off x="0" y="0"/>
                          <a:ext cx="285840" cy="28584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Contenidodelmarco"/>
                              <w:jc w:val="center"/>
                              <w:rPr>
                                <w:b/>
                                <w:b/>
                                <w:bCs/>
                                <w:lang w:val="es-ES"/>
                              </w:rPr>
                            </w:pPr>
                            <w:r>
                              <w:rPr>
                                <w:b/>
                                <w:bCs/>
                                <w:color w:val="FFFFFF"/>
                                <w:lang w:val="es-ES"/>
                              </w:rPr>
                              <w:t>A</w:t>
                            </w:r>
                          </w:p>
                        </w:txbxContent>
                      </wps:txbx>
                      <wps:bodyPr anchor="ctr">
                        <a:noAutofit/>
                      </wps:bodyPr>
                    </wps:wsp>
                  </a:graphicData>
                </a:graphic>
              </wp:anchor>
            </w:drawing>
          </mc:Choice>
          <mc:Fallback>
            <w:pict>
              <v:rect id="shape_0" ID="Rectángulo 4" stroked="f" style="position:absolute;margin-left:-3.2pt;margin-top:11pt;width:22.45pt;height:22.45pt;mso-wrap-style:square;v-text-anchor:middle" wp14:anchorId="0845DF30">
                <v:fill o:detectmouseclick="t" on="false"/>
                <v:stroke color="#3465a4" weight="12600" joinstyle="miter" endcap="flat"/>
                <v:textbox>
                  <w:txbxContent>
                    <w:p>
                      <w:pPr>
                        <w:pStyle w:val="Contenidodelmarco"/>
                        <w:jc w:val="center"/>
                        <w:rPr>
                          <w:b/>
                          <w:b/>
                          <w:bCs/>
                          <w:lang w:val="es-ES"/>
                        </w:rPr>
                      </w:pPr>
                      <w:r>
                        <w:rPr>
                          <w:b/>
                          <w:bCs/>
                          <w:color w:val="FFFFFF"/>
                          <w:lang w:val="es-ES"/>
                        </w:rPr>
                        <w:t>A</w:t>
                      </w:r>
                    </w:p>
                  </w:txbxContent>
                </v:textbox>
                <w10:wrap type="none"/>
              </v:rect>
            </w:pict>
          </mc:Fallback>
        </mc:AlternateContent>
        <mc:AlternateContent>
          <mc:Choice Requires="wpg">
            <w:drawing>
              <wp:anchor behindDoc="0" distT="0" distB="0" distL="0" distR="0" simplePos="0" locked="0" layoutInCell="0" allowOverlap="1" relativeHeight="4" wp14:anchorId="56A63C11">
                <wp:simplePos x="0" y="0"/>
                <wp:positionH relativeFrom="column">
                  <wp:posOffset>-1905</wp:posOffset>
                </wp:positionH>
                <wp:positionV relativeFrom="paragraph">
                  <wp:posOffset>6350</wp:posOffset>
                </wp:positionV>
                <wp:extent cx="2889885" cy="1638935"/>
                <wp:effectExtent l="0" t="0" r="6350" b="0"/>
                <wp:wrapNone/>
                <wp:docPr id="4" name="Grupo 6"/>
                <a:graphic xmlns:a="http://schemas.openxmlformats.org/drawingml/2006/main">
                  <a:graphicData uri="http://schemas.microsoft.com/office/word/2010/wordprocessingGroup">
                    <wpg:wgp>
                      <wpg:cNvGrpSpPr/>
                      <wpg:grpSpPr>
                        <a:xfrm>
                          <a:off x="0" y="0"/>
                          <a:ext cx="2889360" cy="1638360"/>
                        </a:xfrm>
                      </wpg:grpSpPr>
                      <wpg:grpSp>
                        <wpg:cNvGrpSpPr/>
                        <wpg:grpSpPr>
                          <a:xfrm>
                            <a:off x="0" y="0"/>
                            <a:ext cx="2889360" cy="1638360"/>
                          </a:xfrm>
                        </wpg:grpSpPr>
                        <pic:pic xmlns:pic="http://schemas.openxmlformats.org/drawingml/2006/picture">
                          <pic:nvPicPr>
                            <pic:cNvPr id="0" name="Imagen 1" descr=""/>
                            <pic:cNvPicPr/>
                          </pic:nvPicPr>
                          <pic:blipFill>
                            <a:blip r:embed="rId8"/>
                            <a:srcRect l="21179" t="3693" r="24083" b="9461"/>
                            <a:stretch/>
                          </pic:blipFill>
                          <pic:spPr>
                            <a:xfrm>
                              <a:off x="0" y="0"/>
                              <a:ext cx="1574280" cy="1638360"/>
                            </a:xfrm>
                            <a:prstGeom prst="rect">
                              <a:avLst/>
                            </a:prstGeom>
                            <a:ln w="0">
                              <a:noFill/>
                            </a:ln>
                          </pic:spPr>
                        </pic:pic>
                        <pic:pic xmlns:pic="http://schemas.openxmlformats.org/drawingml/2006/picture">
                          <pic:nvPicPr>
                            <pic:cNvPr id="1" name="Imagen 2" descr=""/>
                            <pic:cNvPicPr/>
                          </pic:nvPicPr>
                          <pic:blipFill>
                            <a:blip r:embed="rId9"/>
                            <a:stretch/>
                          </pic:blipFill>
                          <pic:spPr>
                            <a:xfrm>
                              <a:off x="1575360" y="0"/>
                              <a:ext cx="1313640" cy="1638360"/>
                            </a:xfrm>
                            <a:prstGeom prst="rect">
                              <a:avLst/>
                            </a:prstGeom>
                            <a:ln w="0">
                              <a:noFill/>
                            </a:ln>
                          </pic:spPr>
                        </pic:pic>
                      </wpg:grpSp>
                      <wps:wsp>
                        <wps:cNvSpPr/>
                        <wps:spPr>
                          <a:xfrm flipV="1">
                            <a:off x="2058120" y="1390680"/>
                            <a:ext cx="94680" cy="119880"/>
                          </a:xfrm>
                          <a:custGeom>
                            <a:avLst/>
                            <a:gdLst/>
                            <a:ahLst/>
                            <a:rect l="l" t="t" r="r" b="b"/>
                            <a:pathLst>
                              <a:path w="21600" h="21600">
                                <a:moveTo>
                                  <a:pt x="0" y="0"/>
                                </a:moveTo>
                                <a:lnTo>
                                  <a:pt x="21600" y="21600"/>
                                </a:lnTo>
                              </a:path>
                            </a:pathLst>
                          </a:custGeom>
                          <a:noFill/>
                          <a:ln w="25400">
                            <a:solidFill>
                              <a:srgbClr val="ffff00"/>
                            </a:solidFill>
                            <a:tailEnd len="med" type="triangle" w="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Grupo 6" style="position:absolute;margin-left:-0.15pt;margin-top:0.5pt;width:227.5pt;height:129pt" coordorigin="-3,10" coordsize="4550,2580">
                <v:group id="shape_0" alt="Grupo 3" style="position:absolute;left:-3;top:10;width:4550;height:258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1" stroked="f" style="position:absolute;left:-3;top:10;width:2478;height:2579;mso-wrap-style:none;v-text-anchor:middle" type="shapetype_75">
                    <v:imagedata r:id="rId8" o:detectmouseclick="t"/>
                    <v:stroke color="#3465a4" joinstyle="round" endcap="flat"/>
                    <w10:wrap type="none"/>
                  </v:shape>
                  <v:shape id="shape_0" ID="Imagen 2" stroked="f" style="position:absolute;left:2478;top:10;width:2068;height:2579;mso-wrap-style:none;v-text-anchor:middle" type="shapetype_75">
                    <v:imagedata r:id="rId9" o:detectmouseclick="t"/>
                    <v:stroke color="#3465a4" joinstyle="round" endcap="flat"/>
                  </v:shape>
                </v:group>
                <v:shapetype id="shapetype_32" coordsize="21600,21600" o:spt="32" path="m,l21600,21600nfe">
                  <v:stroke joinstyle="miter"/>
                  <v:path gradientshapeok="t" o:connecttype="rect" textboxrect="0,0,21600,21600"/>
                </v:shapetype>
                <v:shape id="shape_0" ID="Conector recto de flecha 5" stroked="t" style="position:absolute;left:3238;top:2200;width:148;height:188;flip:y;mso-wrap-style:none;v-text-anchor:middle" type="shapetype_32">
                  <v:fill o:detectmouseclick="t" on="false"/>
                  <v:stroke color="yellow" weight="25560" endarrow="block" endarrowwidth="medium" endarrowlength="medium" joinstyle="miter" endcap="flat"/>
                </v:shape>
              </v:group>
            </w:pict>
          </mc:Fallback>
        </mc:AlternateContent>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LOnormal"/>
        <w:spacing w:lineRule="auto" w:line="240"/>
        <w:jc w:val="center"/>
        <w:rPr>
          <w:b w:val="false"/>
          <w:b w:val="false"/>
          <w:bCs w:val="false"/>
          <w:i/>
          <w:i/>
          <w:iCs/>
          <w:color w:val="000000"/>
        </w:rPr>
      </w:pPr>
      <w:r>
        <w:rPr>
          <w:rFonts w:eastAsia="Times New Roman" w:cs="Times New Roman" w:ascii="Times New Roman" w:hAnsi="Times New Roman"/>
          <w:b w:val="false"/>
          <w:bCs w:val="false"/>
          <w:i/>
          <w:iCs/>
          <w:color w:val="000000"/>
          <w:sz w:val="20"/>
          <w:szCs w:val="20"/>
        </w:rPr>
        <w:t>Figura 1. A) Identificación espacial del relleno Sanitario de Valladolid, Yucatán</w:t>
      </w:r>
      <w:r>
        <w:rPr>
          <w:rFonts w:cs="Times New Roman" w:ascii="Times New Roman" w:hAnsi="Times New Roman"/>
          <w:b w:val="false"/>
          <w:bCs w:val="false"/>
          <w:i/>
          <w:iCs/>
          <w:color w:val="000000"/>
          <w:sz w:val="20"/>
          <w:szCs w:val="20"/>
        </w:rPr>
        <w:t xml:space="preserve"> (</w:t>
      </w:r>
      <w:r>
        <w:rPr>
          <w:rFonts w:eastAsia="Times New Roman" w:cs="Times New Roman" w:ascii="Times New Roman" w:hAnsi="Times New Roman"/>
          <w:b w:val="false"/>
          <w:bCs w:val="false"/>
          <w:i/>
          <w:iCs/>
          <w:color w:val="000000"/>
          <w:sz w:val="20"/>
          <w:szCs w:val="20"/>
        </w:rPr>
        <w:t xml:space="preserve">Google Earth, 2024). B) Colecta del lixiviado (flecha en color amarillo). </w:t>
      </w:r>
      <w:r>
        <w:rPr>
          <w:rFonts w:eastAsia="Times New Roman" w:cs="Times New Roman" w:ascii="Times New Roman" w:hAnsi="Times New Roman"/>
          <w:b w:val="false"/>
          <w:bCs w:val="false"/>
          <w:i/>
          <w:iCs/>
          <w:color w:val="000000"/>
          <w:sz w:val="20"/>
          <w:szCs w:val="20"/>
        </w:rPr>
        <w:t>Fuente: Elaboración propia.</w:t>
      </w:r>
    </w:p>
    <w:p>
      <w:pPr>
        <w:pStyle w:val="LOnormal"/>
        <w:spacing w:lineRule="auto" w:line="240"/>
        <w:jc w:val="both"/>
        <w:rPr>
          <w:rFonts w:ascii="Times New Roman" w:hAnsi="Times New Roman" w:eastAsia="Times New Roman" w:cs="Times New Roman"/>
          <w:b/>
          <w:b/>
          <w:iCs/>
          <w:color w:val="000000"/>
          <w:sz w:val="20"/>
          <w:szCs w:val="20"/>
        </w:rPr>
      </w:pPr>
      <w:r>
        <w:rPr>
          <w:rFonts w:eastAsia="Times New Roman" w:cs="Times New Roman" w:ascii="Times New Roman" w:hAnsi="Times New Roman"/>
          <w:b/>
          <w:iCs/>
          <w:color w:val="000000"/>
          <w:sz w:val="20"/>
          <w:szCs w:val="20"/>
        </w:rPr>
      </w:r>
    </w:p>
    <w:p>
      <w:pPr>
        <w:pStyle w:val="Normal"/>
        <w:jc w:val="both"/>
        <w:rPr>
          <w:rFonts w:ascii="Times New Roman" w:hAnsi="Times New Roman" w:eastAsia="Arial" w:cs="Times New Roman"/>
          <w:i/>
          <w:i/>
          <w:iCs/>
          <w:color w:val="000000"/>
          <w:sz w:val="20"/>
          <w:szCs w:val="20"/>
        </w:rPr>
      </w:pPr>
      <w:r>
        <w:rPr>
          <w:rFonts w:eastAsia="Arial" w:cs="Times New Roman" w:ascii="Times New Roman" w:hAnsi="Times New Roman"/>
          <w:i/>
          <w:iCs/>
          <w:color w:val="000000"/>
          <w:sz w:val="20"/>
          <w:szCs w:val="20"/>
        </w:rPr>
      </w:r>
    </w:p>
    <w:p>
      <w:pPr>
        <w:pStyle w:val="Normal"/>
        <w:jc w:val="both"/>
        <w:rPr>
          <w:color w:val="000000"/>
        </w:rPr>
      </w:pPr>
      <w:r>
        <w:rPr>
          <w:rFonts w:eastAsia="Arial" w:cs="Times New Roman" w:ascii="Times New Roman" w:hAnsi="Times New Roman"/>
          <w:i/>
          <w:iCs/>
          <w:color w:val="000000"/>
          <w:sz w:val="20"/>
          <w:szCs w:val="20"/>
        </w:rPr>
        <w:t xml:space="preserve">B. </w:t>
      </w:r>
      <w:r>
        <w:rPr>
          <w:rFonts w:eastAsia="Arial" w:cs="Times New Roman" w:ascii="Times New Roman" w:hAnsi="Times New Roman"/>
          <w:i/>
          <w:iCs/>
          <w:color w:val="000000"/>
          <w:sz w:val="20"/>
          <w:szCs w:val="20"/>
        </w:rPr>
        <w:t xml:space="preserve">Materiales y equipos </w:t>
      </w:r>
    </w:p>
    <w:p>
      <w:pPr>
        <w:pStyle w:val="Normal"/>
        <w:overflowPunct w:val="false"/>
        <w:jc w:val="both"/>
        <w:rPr>
          <w:color w:val="000000"/>
        </w:rPr>
      </w:pPr>
      <w:r>
        <w:rPr>
          <w:rFonts w:eastAsia="Arial" w:cs="Times New Roman" w:ascii="Times New Roman" w:hAnsi="Times New Roman"/>
          <w:color w:val="000000"/>
          <w:sz w:val="20"/>
          <w:szCs w:val="20"/>
        </w:rPr>
        <w:t xml:space="preserve">Para la colecta del lixiviado se empleó un embudo, botellas de plástico de 1 L, cinta aislante, cinta blanca, plumón permanente, bolsas, equipo de protección personal (guantes, cubrebocas, bata, zapatos cerrados y lentes). Se colecto aproximadamente un litro de lixiviado de tres distintos depósitos, con la finalidad de obtener una mezcla compuesta. En total, para este estudio dos muestras compuestas fueron obtenidas. Una vez colectadas las muestras, estas fueron conservadas bajo condiciones de refrigeración tal como menciona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color w:val="000000"/>
          <w:sz w:val="20"/>
          <w:szCs w:val="20"/>
        </w:rPr>
        <w:t xml:space="preserve"> </w:t>
      </w:r>
    </w:p>
    <w:p>
      <w:pPr>
        <w:pStyle w:val="Normal"/>
        <w:overflowPunct w:val="false"/>
        <w:jc w:val="both"/>
        <w:rPr>
          <w:rFonts w:ascii="Times New Roman" w:hAnsi="Times New Roman" w:eastAsia="Arial" w:cs="Times New Roman"/>
          <w:sz w:val="20"/>
          <w:szCs w:val="20"/>
        </w:rPr>
      </w:pPr>
      <w:r>
        <w:rPr>
          <w:color w:val="000000"/>
        </w:rPr>
      </w:r>
    </w:p>
    <w:p>
      <w:pPr>
        <w:pStyle w:val="Normal"/>
        <w:jc w:val="both"/>
        <w:rPr>
          <w:color w:val="000000"/>
        </w:rPr>
      </w:pPr>
      <w:r>
        <w:rPr>
          <w:rFonts w:eastAsia="Arial" w:cs="Times New Roman" w:ascii="Times New Roman" w:hAnsi="Times New Roman"/>
          <w:color w:val="000000"/>
          <w:sz w:val="20"/>
          <w:szCs w:val="20"/>
        </w:rPr>
        <w:t>Entre los principales instrumentos utilizados podemos mencionar a un digestor kendall, matraz kendall, horno de secado, balanza analítica, pipeta, capsulas, filtros de fibra de vidrio, pinzas, entre otros.</w:t>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color w:val="000000"/>
        </w:rPr>
      </w:pPr>
      <w:r>
        <w:rPr>
          <w:rFonts w:eastAsia="Arial" w:cs="Times New Roman" w:ascii="Times New Roman" w:hAnsi="Times New Roman"/>
          <w:i/>
          <w:iCs/>
          <w:color w:val="000000"/>
          <w:sz w:val="20"/>
          <w:szCs w:val="20"/>
        </w:rPr>
        <w:t xml:space="preserve">Evaluación de los parámetros fisicoquímicos </w:t>
      </w:r>
    </w:p>
    <w:p>
      <w:pPr>
        <w:pStyle w:val="Normal"/>
        <w:jc w:val="both"/>
        <w:rPr>
          <w:color w:val="000000"/>
        </w:rPr>
      </w:pPr>
      <w:r>
        <w:rPr>
          <w:rFonts w:eastAsia="Arial" w:cs="Times New Roman" w:ascii="Times New Roman" w:hAnsi="Times New Roman"/>
          <w:color w:val="000000"/>
          <w:sz w:val="20"/>
          <w:szCs w:val="20"/>
        </w:rPr>
        <w:t xml:space="preserve">Para la caracterización fisicoquímica se determinó la demanda química de oxígeno (DQO), demanda biológica de oxígeno (DBO), nitrógeno total Kjeldahl (NKT), nitrógeno amoniacal (NH3-N), sólidos totales </w:t>
      </w:r>
      <w:r>
        <w:rPr>
          <w:rFonts w:cs="Times New Roman" w:ascii="Times New Roman" w:hAnsi="Times New Roman"/>
          <w:color w:val="000000"/>
          <w:sz w:val="20"/>
          <w:szCs w:val="20"/>
        </w:rPr>
        <w:t>(ST), sólidos suspendidos totales (SST) y sólidos totales disueltos (STD),</w:t>
      </w:r>
      <w:r>
        <w:rPr>
          <w:rFonts w:eastAsia="Arial" w:cs="Times New Roman" w:ascii="Times New Roman" w:hAnsi="Times New Roman"/>
          <w:color w:val="000000"/>
          <w:sz w:val="20"/>
          <w:szCs w:val="20"/>
        </w:rPr>
        <w:t xml:space="preserve"> siguiendo los procedimientos recomendados por los métodos estándar para la examinación de aguas y aguas residuales (</w:t>
      </w:r>
      <w:r>
        <w:rPr>
          <w:rFonts w:eastAsia="Arial" w:cs="Times New Roman" w:ascii="Times New Roman" w:hAnsi="Times New Roman"/>
          <w:color w:val="000000"/>
          <w:sz w:val="20"/>
          <w:szCs w:val="20"/>
        </w:rPr>
        <w:t>APHA-AWWA-WPCF, 2005</w:t>
      </w:r>
      <w:r>
        <w:rPr>
          <w:rFonts w:eastAsia="Arial" w:cs="Times New Roman" w:ascii="Times New Roman" w:hAnsi="Times New Roman"/>
          <w:color w:val="000000"/>
          <w:sz w:val="20"/>
          <w:szCs w:val="20"/>
        </w:rPr>
        <w:t>). Estos análisis fueron llevados a cabo con el apoyo de la Facultad de Ingeniería de la Universidad Autónoma de Yucatán (UADY).</w:t>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color w:val="000000"/>
        </w:rPr>
      </w:pPr>
      <w:r>
        <w:rPr>
          <w:rFonts w:eastAsia="Arial" w:cs="Times New Roman" w:ascii="Times New Roman" w:hAnsi="Times New Roman"/>
          <w:b/>
          <w:bCs/>
          <w:color w:val="000000"/>
          <w:sz w:val="20"/>
          <w:szCs w:val="20"/>
        </w:rPr>
        <w:t xml:space="preserve">Demanda Química de Oxígeno </w:t>
      </w:r>
    </w:p>
    <w:p>
      <w:pPr>
        <w:pStyle w:val="Normal"/>
        <w:jc w:val="both"/>
        <w:rPr>
          <w:color w:val="000000"/>
        </w:rPr>
      </w:pPr>
      <w:r>
        <w:rPr>
          <w:rFonts w:eastAsia="Arial" w:cs="Times New Roman" w:ascii="Times New Roman" w:hAnsi="Times New Roman"/>
          <w:color w:val="000000"/>
          <w:sz w:val="20"/>
          <w:szCs w:val="20"/>
        </w:rPr>
        <w:t>La DQO es un parámetro esencial para evaluar el nivel de contaminación orgánica de una muestra de agua. Durante el análisis, se utilizaron dicromato y sulfato de plata como reactivos principales, con el objetivo de oxidar los compuestos orgánicos presentes en las muestras de lixiviados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color w:val="000000"/>
          <w:sz w:val="20"/>
          <w:szCs w:val="20"/>
        </w:rPr>
        <w:t xml:space="preserve">. Para calcular el valor de la DQO se empleó la </w:t>
      </w:r>
      <w:r>
        <w:rPr>
          <w:rFonts w:eastAsia="Arial" w:cs="Times New Roman" w:ascii="Times New Roman" w:hAnsi="Times New Roman"/>
          <w:color w:val="000000"/>
          <w:sz w:val="20"/>
          <w:szCs w:val="20"/>
        </w:rPr>
        <w:t>ecuación</w:t>
      </w:r>
      <w:r>
        <w:rPr>
          <w:rFonts w:eastAsia="Arial" w:cs="Times New Roman" w:ascii="Times New Roman" w:hAnsi="Times New Roman"/>
          <w:color w:val="000000"/>
          <w:sz w:val="20"/>
          <w:szCs w:val="20"/>
        </w:rPr>
        <w:t>:</w:t>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center"/>
        <w:rPr>
          <w:color w:val="000000"/>
        </w:rPr>
      </w:pPr>
      <w:r>
        <w:rPr>
          <w:color w:val="000000"/>
        </w:rPr>
      </w:r>
      <m:oMathPara xmlns:m="http://schemas.openxmlformats.org/officeDocument/2006/math">
        <m:oMathParaPr>
          <m:jc m:val="center"/>
        </m:oMathParaPr>
        <m:oMath>
          <m:r>
            <w:rPr>
              <w:rFonts w:ascii="Cambria Math" w:hAnsi="Cambria Math"/>
            </w:rPr>
            <m:t xml:space="preserve">DQO</m:t>
          </m:r>
          <m:r>
            <w:rPr>
              <w:rFonts w:ascii="Cambria Math" w:hAnsi="Cambria Math"/>
            </w:rPr>
            <m:t xml:space="preserve">=</m:t>
          </m:r>
          <m:f>
            <m:num>
              <m:r>
                <w:rPr>
                  <w:rFonts w:ascii="Cambria Math" w:hAnsi="Cambria Math"/>
                </w:rPr>
                <m:t xml:space="preserve">Lectura</m:t>
              </m:r>
              <m:r>
                <w:rPr>
                  <w:rFonts w:ascii="Cambria Math" w:hAnsi="Cambria Math"/>
                </w:rPr>
                <m:t xml:space="preserve">−</m:t>
              </m:r>
              <m:r>
                <w:rPr>
                  <w:rFonts w:ascii="Cambria Math" w:hAnsi="Cambria Math"/>
                </w:rPr>
                <m:t xml:space="preserve">19.69</m:t>
              </m:r>
            </m:num>
            <m:den>
              <m:r>
                <w:rPr>
                  <w:rFonts w:ascii="Cambria Math" w:hAnsi="Cambria Math"/>
                </w:rPr>
                <m:t xml:space="preserve">0.319</m:t>
              </m:r>
            </m:den>
          </m:f>
        </m:oMath>
      </m:oMathPara>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both"/>
        <w:rPr>
          <w:color w:val="000000"/>
        </w:rPr>
      </w:pPr>
      <w:r>
        <w:rPr>
          <w:rFonts w:eastAsia="Arial" w:cs="Times New Roman" w:ascii="Times New Roman" w:hAnsi="Times New Roman"/>
          <w:b/>
          <w:color w:val="000000"/>
          <w:sz w:val="20"/>
          <w:szCs w:val="20"/>
        </w:rPr>
        <w:t>Sólidos totales</w:t>
      </w:r>
    </w:p>
    <w:p>
      <w:pPr>
        <w:pStyle w:val="Normal"/>
        <w:jc w:val="both"/>
        <w:rPr>
          <w:color w:val="000000"/>
        </w:rPr>
      </w:pPr>
      <w:r>
        <w:rPr>
          <w:rFonts w:eastAsia="Arial" w:cs="Times New Roman" w:ascii="Times New Roman" w:hAnsi="Times New Roman"/>
          <w:bCs/>
          <w:color w:val="000000"/>
          <w:sz w:val="20"/>
          <w:szCs w:val="20"/>
        </w:rPr>
        <w:t xml:space="preserve">El análisis de sólidos totales es de gran importancia para evaluar la calidad del agua, ya que permite medir la cantidad de materia orgánica e inorgánica presente. Este proceso se realizó utilizando cápsulas, una balanza analítica y un horno de secado. El procedimiento consistió en pesar inicialmente las cápsulas vacías, seguido de la adición de 20 mL de cada muestra, etiquetadas como muestras 1, 2, 3 y 4. Posterior al secado en el horno, se volvieron a pesar para calcular la cantidad de sólidos totales en cada muestra de </w:t>
      </w:r>
      <w:r>
        <w:rPr>
          <w:rFonts w:eastAsia="Arial" w:cs="Times New Roman" w:ascii="Times New Roman" w:hAnsi="Times New Roman"/>
          <w:color w:val="000000"/>
          <w:sz w:val="20"/>
          <w:szCs w:val="20"/>
        </w:rPr>
        <w:t xml:space="preserve">lixiviado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bCs/>
          <w:color w:val="000000"/>
          <w:sz w:val="20"/>
          <w:szCs w:val="20"/>
        </w:rPr>
        <w:t xml:space="preserve">. </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b/>
          <w:color w:val="000000"/>
          <w:sz w:val="20"/>
          <w:szCs w:val="20"/>
        </w:rPr>
        <w:t xml:space="preserve">Solidos suspendidos </w:t>
      </w:r>
    </w:p>
    <w:p>
      <w:pPr>
        <w:pStyle w:val="Normal"/>
        <w:jc w:val="both"/>
        <w:rPr>
          <w:color w:val="000000"/>
        </w:rPr>
      </w:pPr>
      <w:r>
        <w:rPr>
          <w:rFonts w:eastAsia="Arial" w:cs="Times New Roman" w:ascii="Times New Roman" w:hAnsi="Times New Roman"/>
          <w:bCs/>
          <w:color w:val="000000"/>
          <w:sz w:val="20"/>
          <w:szCs w:val="20"/>
        </w:rPr>
        <w:t xml:space="preserve">El análisis de sólidos suspendidos totales se realizó en un periodo de 1.30 minutos utilizando filtros de fibra de vidrio, un matraz, pinzas y un horno. Las fibras de vidrio fueron pesadas previamente para identificar su masa inicial, y luego se filtraron 50 ml de lixiviado. El proceso de filtración por vacío, duró entre 5 y 7 minutos, dependiendo de la muestra. Finalmente, los filtros fueron secados en el horno durante 1 hora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bCs/>
          <w:color w:val="000000"/>
          <w:sz w:val="20"/>
          <w:szCs w:val="20"/>
        </w:rPr>
        <w:t xml:space="preserve">. </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b/>
          <w:color w:val="000000"/>
          <w:sz w:val="20"/>
          <w:szCs w:val="20"/>
        </w:rPr>
        <w:t xml:space="preserve">Fosforo total </w:t>
      </w:r>
    </w:p>
    <w:p>
      <w:pPr>
        <w:pStyle w:val="Normal"/>
        <w:jc w:val="both"/>
        <w:rPr>
          <w:color w:val="000000"/>
        </w:rPr>
      </w:pPr>
      <w:r>
        <w:rPr>
          <w:rFonts w:eastAsia="Arial" w:cs="Times New Roman" w:ascii="Times New Roman" w:hAnsi="Times New Roman"/>
          <w:bCs/>
          <w:color w:val="000000"/>
          <w:sz w:val="20"/>
          <w:szCs w:val="20"/>
        </w:rPr>
        <w:t xml:space="preserve">Para la determinación del fosforo total se utilizó un método similar al del análisis de sólidos suspendidos totales. Después de la digestión de las muestras, se llevaron a cabo mediciones utilizando un digestor Kendall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bCs/>
          <w:color w:val="000000"/>
          <w:sz w:val="20"/>
          <w:szCs w:val="20"/>
        </w:rPr>
        <w:t>, y los resultados se calcularon a partir de las lecturas obtenidas, usando la siguiente formula:</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center"/>
        <w:rPr>
          <w:color w:val="000000"/>
        </w:rPr>
      </w:pPr>
      <w:r>
        <w:rPr>
          <w:color w:val="000000"/>
        </w:rPr>
      </w:r>
      <m:oMathPara xmlns:m="http://schemas.openxmlformats.org/officeDocument/2006/math">
        <m:oMathParaPr>
          <m:jc m:val="center"/>
        </m:oMathParaPr>
        <m:oMath>
          <m:r>
            <w:rPr>
              <w:rFonts w:ascii="Cambria Math" w:hAnsi="Cambria Math"/>
            </w:rPr>
            <m:t xml:space="preserve">fosforo</m:t>
          </m:r>
          <m:r>
            <w:rPr>
              <w:rFonts w:ascii="Cambria Math" w:hAnsi="Cambria Math"/>
            </w:rPr>
            <m:t xml:space="preserve">=</m:t>
          </m:r>
          <m:f>
            <m:num>
              <m:r>
                <w:rPr>
                  <w:rFonts w:ascii="Cambria Math" w:hAnsi="Cambria Math"/>
                </w:rPr>
                <m:t xml:space="preserve">lectura</m:t>
              </m:r>
              <m:r>
                <w:rPr>
                  <w:rFonts w:ascii="Cambria Math" w:hAnsi="Cambria Math"/>
                </w:rPr>
                <m:t xml:space="preserve">−</m:t>
              </m:r>
              <m:r>
                <w:rPr>
                  <w:rFonts w:ascii="Cambria Math" w:hAnsi="Cambria Math"/>
                </w:rPr>
                <m:t xml:space="preserve">0.4762</m:t>
              </m:r>
            </m:num>
            <m:den>
              <m:r>
                <w:rPr>
                  <w:rFonts w:ascii="Cambria Math" w:hAnsi="Cambria Math"/>
                </w:rPr>
                <m:t xml:space="preserve">0.1083</m:t>
              </m:r>
            </m:den>
          </m:f>
        </m:oMath>
      </m:oMathPara>
    </w:p>
    <w:p>
      <w:pPr>
        <w:pStyle w:val="Normal"/>
        <w:jc w:val="both"/>
        <w:rPr>
          <w:rFonts w:ascii="Times New Roman" w:hAnsi="Times New Roman" w:eastAsia="Arial" w:cs="Times New Roman"/>
          <w:b/>
          <w:b/>
          <w:color w:val="000000"/>
          <w:sz w:val="20"/>
          <w:szCs w:val="20"/>
        </w:rPr>
      </w:pPr>
      <w:r>
        <w:rPr>
          <w:rFonts w:eastAsia="Arial" w:cs="Times New Roman" w:ascii="Times New Roman" w:hAnsi="Times New Roman"/>
          <w:b/>
          <w:color w:val="000000"/>
          <w:sz w:val="20"/>
          <w:szCs w:val="20"/>
        </w:rPr>
      </w:r>
    </w:p>
    <w:p>
      <w:pPr>
        <w:pStyle w:val="Normal"/>
        <w:jc w:val="both"/>
        <w:rPr>
          <w:color w:val="000000"/>
        </w:rPr>
      </w:pPr>
      <w:r>
        <w:rPr>
          <w:rFonts w:eastAsia="Arial" w:cs="Times New Roman" w:ascii="Times New Roman" w:hAnsi="Times New Roman"/>
          <w:b/>
          <w:color w:val="000000"/>
          <w:sz w:val="20"/>
          <w:szCs w:val="20"/>
        </w:rPr>
        <w:t xml:space="preserve">Nitrógeno amoniacal </w:t>
      </w:r>
    </w:p>
    <w:p>
      <w:pPr>
        <w:pStyle w:val="Normal"/>
        <w:jc w:val="both"/>
        <w:rPr>
          <w:color w:val="000000"/>
        </w:rPr>
      </w:pPr>
      <w:r>
        <w:rPr>
          <w:rFonts w:eastAsia="Arial" w:cs="Times New Roman" w:ascii="Times New Roman" w:hAnsi="Times New Roman"/>
          <w:bCs/>
          <w:color w:val="000000"/>
          <w:sz w:val="20"/>
          <w:szCs w:val="20"/>
        </w:rPr>
        <w:t xml:space="preserve">Para este análisis, se emplearon diferentes materiales y equipos, tales como, matraces Buchi, vaso de precipitados, probetas, equipo destilador y diversos reactivos, entre los que destacan el ácido bórico, NaOH (hidróxido de sodio) y H₂SO₄ (ácido sulfúrico). El procedimiento se llevó a cabo en varias etapas. En primer lugar, se prepararon los matraces Buchi y se vertieron 50 mL de ácido bórico en un vaso de precipitado, los cuales fueron medidos con precisión en una probeta. Estas soluciones se distribuyeron en los matraces asignados a cada muestra. Luego, se extrajeron 10 mL de lixiviado de cada muestra, los cuales fueron diluidos con 90 mL de agua destilada en los mismos matraces. Posteriormente, todas las muestras fueron procesadas simultáneamente en el equipo destilador durante cinco minutos, para separar el nitrógeno amoniacal. Después de la destilación, se agregó 2 mL de NaOH en una probeta para preparar las muestras para el paso final, que consistió en una titulación con 10 ml de H₂SO₄. El volumen de ácido necesario para neutralizar cada muestra permitió determinar la concentración de nitrógeno amoniacal presente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bCs/>
          <w:color w:val="000000"/>
          <w:sz w:val="20"/>
          <w:szCs w:val="20"/>
        </w:rPr>
        <w:t>.</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b/>
          <w:color w:val="000000"/>
          <w:sz w:val="20"/>
          <w:szCs w:val="20"/>
        </w:rPr>
        <w:t>DBO</w:t>
      </w:r>
    </w:p>
    <w:p>
      <w:pPr>
        <w:pStyle w:val="Normal"/>
        <w:jc w:val="both"/>
        <w:rPr>
          <w:color w:val="000000"/>
        </w:rPr>
      </w:pPr>
      <w:r>
        <w:rPr>
          <w:rFonts w:eastAsia="Arial" w:cs="Times New Roman" w:ascii="Times New Roman" w:hAnsi="Times New Roman"/>
          <w:bCs/>
          <w:color w:val="000000"/>
          <w:sz w:val="20"/>
          <w:szCs w:val="20"/>
        </w:rPr>
        <w:t xml:space="preserve">El procedimiento se llevó a cabo utilizando un equipo de aire conectado a un sistema de agua destilada, en el que se mezcló fosfato de sodio para obtener una solución adecuada. Se emplearon cinco litros de agua destilada en total, repartidos entre las muestras (un litro por muestra). Las mediciones se realizaron utilizando tres botellas de cristal para cada muestra, obteniendo así los valores de oxígeno disuelto inicial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bCs/>
          <w:color w:val="000000"/>
          <w:sz w:val="20"/>
          <w:szCs w:val="20"/>
        </w:rPr>
        <w:t>.</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b/>
          <w:color w:val="000000"/>
          <w:sz w:val="20"/>
          <w:szCs w:val="20"/>
        </w:rPr>
        <w:t>Nitrógeno total</w:t>
      </w:r>
    </w:p>
    <w:p>
      <w:pPr>
        <w:pStyle w:val="Normal"/>
        <w:jc w:val="both"/>
        <w:rPr>
          <w:color w:val="000000"/>
        </w:rPr>
      </w:pPr>
      <w:r>
        <w:rPr>
          <w:rFonts w:eastAsia="Arial" w:cs="Times New Roman" w:ascii="Times New Roman" w:hAnsi="Times New Roman"/>
          <w:bCs/>
          <w:color w:val="000000"/>
          <w:sz w:val="20"/>
          <w:szCs w:val="20"/>
        </w:rPr>
        <w:t xml:space="preserve">Este proceso fue realizado utilizando un conjunto de equipos y reactivos, incluyendo matraces Erlenmeyer, matraces Buchí, tiosulfato y un digestor Kendall. El procedimiento comenzó con la adición de 50 ml de muestra en un matraz Erlenmeyer que contenía ácido bórico. Después se colocó hidróxido amoniacal en un matraz Buchi. Ambos materiales fueron transferidos al digestor Kendall, donde se sometieron a un proceso de digestión para descomponer las sustancias nitrogenadas presentes. Al finalizar el proceso de digestión, se procedió a la titulación de las muestras para medir la cantidad de nitrógeno total presente </w:t>
      </w:r>
      <w:r>
        <w:rPr>
          <w:rFonts w:eastAsia="Arial" w:cs="Times New Roman" w:ascii="Times New Roman" w:hAnsi="Times New Roman"/>
          <w:color w:val="000000"/>
          <w:sz w:val="20"/>
          <w:szCs w:val="20"/>
        </w:rPr>
        <w:t xml:space="preserve">(APHA-AWWA-WPCF, 2005; </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bCs/>
          <w:color w:val="000000"/>
          <w:sz w:val="20"/>
          <w:szCs w:val="20"/>
        </w:rPr>
        <w:t xml:space="preserve">. </w:t>
      </w:r>
    </w:p>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b/>
          <w:bCs/>
          <w:color w:val="000000"/>
          <w:sz w:val="20"/>
          <w:szCs w:val="20"/>
        </w:rPr>
        <w:t>III. RESULTADOS</w:t>
      </w:r>
    </w:p>
    <w:p>
      <w:pPr>
        <w:pStyle w:val="Normal"/>
        <w:jc w:val="both"/>
        <w:rPr>
          <w:color w:val="000000"/>
        </w:rPr>
      </w:pPr>
      <w:r>
        <w:rPr>
          <w:rFonts w:eastAsia="Arial" w:cs="Times New Roman" w:ascii="Times New Roman" w:hAnsi="Times New Roman"/>
          <w:b/>
          <w:bCs/>
          <w:color w:val="000000"/>
          <w:sz w:val="20"/>
          <w:szCs w:val="20"/>
        </w:rPr>
        <w:t xml:space="preserve">Caracterización fisicoquímica </w:t>
      </w:r>
    </w:p>
    <w:p>
      <w:pPr>
        <w:pStyle w:val="Normal"/>
        <w:jc w:val="both"/>
        <w:rPr>
          <w:color w:val="000000"/>
        </w:rPr>
      </w:pPr>
      <w:r>
        <w:rPr>
          <w:rFonts w:eastAsia="Arial" w:cs="Times New Roman" w:ascii="Times New Roman" w:hAnsi="Times New Roman"/>
          <w:color w:val="000000"/>
          <w:sz w:val="20"/>
          <w:szCs w:val="20"/>
        </w:rPr>
        <w:t xml:space="preserve">El lixiviado producido por los residuos sólidos municipales (RSM) en Valladolid, Yucatán, es una mezcla compleja que puede incluir una gran variedad de compuestos químicos. La evaluación individual de cada uno de estos compuestos es impráctica debido a la complejidad y al gran número de sustancias presentes. No obstante, se han realizado estudios de caracterización enfocados en identificar y analizar compuestos específicos que tienen relevancia ambiental. </w:t>
      </w:r>
    </w:p>
    <w:p>
      <w:pPr>
        <w:pStyle w:val="Normal"/>
        <w:jc w:val="both"/>
        <w:rPr>
          <w:rFonts w:ascii="Times New Roman" w:hAnsi="Times New Roman" w:eastAsia="Arial" w:cs="Times New Roman"/>
          <w:sz w:val="20"/>
          <w:szCs w:val="20"/>
        </w:rPr>
      </w:pPr>
      <w:r>
        <w:rPr>
          <w:color w:val="000000"/>
        </w:rPr>
      </w:r>
    </w:p>
    <w:p>
      <w:pPr>
        <w:pStyle w:val="Normal"/>
        <w:jc w:val="both"/>
        <w:rPr>
          <w:color w:val="000000"/>
        </w:rPr>
      </w:pPr>
      <w:r>
        <w:rPr>
          <w:rFonts w:eastAsia="Arial" w:cs="Times New Roman" w:ascii="Times New Roman" w:hAnsi="Times New Roman"/>
          <w:color w:val="000000"/>
          <w:sz w:val="20"/>
          <w:szCs w:val="20"/>
        </w:rPr>
        <w:t>Según Martínez et al. (2018), la caracterización química de los lixiviados es crucial para entender los riesgos que representan para el medio ambiente y la salud pública, ya que estos pueden contener contaminantes que afectan los ecosistemas acuáticos y terrestres.</w:t>
      </w:r>
    </w:p>
    <w:p>
      <w:pPr>
        <w:pStyle w:val="Normal"/>
        <w:jc w:val="both"/>
        <w:rPr>
          <w:rFonts w:ascii="Times New Roman" w:hAnsi="Times New Roman" w:eastAsia="Arial" w:cs="Times New Roman"/>
          <w:sz w:val="20"/>
          <w:szCs w:val="20"/>
        </w:rPr>
      </w:pPr>
      <w:r>
        <w:rPr>
          <w:color w:val="000000"/>
        </w:rPr>
      </w:r>
    </w:p>
    <w:p>
      <w:pPr>
        <w:pStyle w:val="Normal"/>
        <w:jc w:val="both"/>
        <w:rPr>
          <w:color w:val="000000"/>
        </w:rPr>
      </w:pPr>
      <w:r>
        <w:rPr>
          <w:rFonts w:eastAsia="Arial" w:cs="Times New Roman" w:ascii="Times New Roman" w:hAnsi="Times New Roman"/>
          <w:color w:val="000000"/>
          <w:sz w:val="20"/>
          <w:szCs w:val="20"/>
        </w:rPr>
        <w:t>Estos estudios permiten obtener una comprensión más detallada y precisa de los posibles riesgos que los lixiviados pueden representar para el medio ambiente en la región de Valladolid, Yucatán. La identificación de estos compuestos es fundamental para desarrollar estrategias de gestión y mitigación que protejan los recursos naturales locales y la salud pública.</w:t>
      </w:r>
    </w:p>
    <w:p>
      <w:pPr>
        <w:pStyle w:val="Normal"/>
        <w:jc w:val="both"/>
        <w:rPr>
          <w:rFonts w:ascii="Times New Roman" w:hAnsi="Times New Roman" w:eastAsia="Arial" w:cs="Times New Roman"/>
          <w:sz w:val="20"/>
          <w:szCs w:val="20"/>
        </w:rPr>
      </w:pPr>
      <w:r>
        <w:rPr>
          <w:color w:val="000000"/>
        </w:rPr>
      </w:r>
    </w:p>
    <w:p>
      <w:pPr>
        <w:pStyle w:val="Normal"/>
        <w:jc w:val="both"/>
        <w:rPr>
          <w:color w:val="000000"/>
        </w:rPr>
      </w:pPr>
      <w:r>
        <w:rPr>
          <w:rFonts w:eastAsia="Arial" w:cs="Times New Roman" w:ascii="Times New Roman" w:hAnsi="Times New Roman"/>
          <w:color w:val="000000"/>
          <w:sz w:val="20"/>
          <w:szCs w:val="20"/>
        </w:rPr>
        <w:t>En la Tabla 1 se presentan los valores obtenidos de la Demanda Química de Oxígeno (DQO) en las muestras de lixiviados, obteniendo valores que van desde 29.184 mg/L hasta 323.855 mg/L.</w:t>
      </w:r>
    </w:p>
    <w:p>
      <w:pPr>
        <w:pStyle w:val="Normal"/>
        <w:jc w:val="both"/>
        <w:rPr>
          <w:rFonts w:ascii="Times New Roman" w:hAnsi="Times New Roman" w:eastAsia="Arial" w:cs="Times New Roman"/>
          <w:b/>
          <w:b/>
          <w:bCs/>
          <w:color w:val="000000"/>
          <w:sz w:val="20"/>
          <w:szCs w:val="20"/>
        </w:rPr>
      </w:pPr>
      <w:r>
        <w:rPr>
          <w:rFonts w:eastAsia="Arial" w:cs="Times New Roman" w:ascii="Times New Roman" w:hAnsi="Times New Roman"/>
          <w:b/>
          <w:bCs/>
          <w:color w:val="000000"/>
          <w:sz w:val="20"/>
          <w:szCs w:val="20"/>
        </w:rPr>
      </w:r>
    </w:p>
    <w:tbl>
      <w:tblPr>
        <w:tblStyle w:val="TableNormal2"/>
        <w:tblW w:w="467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283"/>
        <w:gridCol w:w="997"/>
        <w:gridCol w:w="2398"/>
      </w:tblGrid>
      <w:tr>
        <w:trPr/>
        <w:tc>
          <w:tcPr>
            <w:tcW w:w="4678" w:type="dxa"/>
            <w:gridSpan w:val="3"/>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 xml:space="preserve">Tabla 1. Demanda Química de Oxígeno de los lixiviados de los residuos sólidos municipales de la ciudad de Valladolid, Yucatán. </w:t>
            </w:r>
            <w:r>
              <w:rPr>
                <w:rFonts w:eastAsia="Arial" w:cs="Times New Roman" w:ascii="Times New Roman" w:hAnsi="Times New Roman"/>
                <w:b/>
                <w:bCs/>
                <w:color w:val="000000"/>
                <w:kern w:val="0"/>
                <w:sz w:val="20"/>
                <w:szCs w:val="20"/>
                <w:lang w:val="es-MX" w:eastAsia="es-MX" w:bidi="ar-SA"/>
              </w:rPr>
              <w:t>Fuente: Elaboración propia.</w:t>
            </w:r>
          </w:p>
        </w:tc>
      </w:tr>
      <w:tr>
        <w:trPr/>
        <w:tc>
          <w:tcPr>
            <w:tcW w:w="1283"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Calibri" w:cs="Times New Roman"/>
                <w:b/>
                <w:b/>
                <w:bCs/>
                <w:color w:val="000000"/>
                <w:kern w:val="0"/>
                <w:sz w:val="20"/>
                <w:szCs w:val="20"/>
                <w:lang w:val="es-MX" w:eastAsia="es-MX" w:bidi="ar-SA"/>
              </w:rPr>
            </w:pPr>
            <w:r>
              <w:rPr>
                <w:rFonts w:eastAsia="Calibri" w:cs="Times New Roman" w:ascii="Times New Roman" w:hAnsi="Times New Roman"/>
                <w:b/>
                <w:bCs/>
                <w:color w:val="000000"/>
                <w:kern w:val="0"/>
                <w:sz w:val="20"/>
                <w:szCs w:val="20"/>
                <w:lang w:val="es-MX" w:eastAsia="es-MX" w:bidi="ar-SA"/>
                <w14:ligatures w14:val="standardContextual"/>
              </w:rPr>
              <w:t>Muestra</w:t>
            </w:r>
          </w:p>
        </w:tc>
        <w:tc>
          <w:tcPr>
            <w:tcW w:w="997"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Calibri" w:cs="Times New Roman"/>
                <w:b/>
                <w:b/>
                <w:bCs/>
                <w:color w:val="000000"/>
                <w:kern w:val="0"/>
                <w:sz w:val="20"/>
                <w:szCs w:val="20"/>
                <w:lang w:val="es-MX" w:eastAsia="es-MX" w:bidi="ar-SA"/>
              </w:rPr>
            </w:pPr>
            <w:r>
              <w:rPr>
                <w:rFonts w:eastAsia="Calibri" w:cs="Times New Roman" w:ascii="Times New Roman" w:hAnsi="Times New Roman"/>
                <w:b/>
                <w:bCs/>
                <w:color w:val="000000"/>
                <w:kern w:val="0"/>
                <w:sz w:val="20"/>
                <w:szCs w:val="20"/>
                <w:lang w:val="es-MX" w:eastAsia="es-MX" w:bidi="ar-SA"/>
                <w14:ligatures w14:val="standardContextual"/>
              </w:rPr>
              <w:t>Replicas</w:t>
            </w:r>
          </w:p>
        </w:tc>
        <w:tc>
          <w:tcPr>
            <w:tcW w:w="2398"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Calibri" w:cs="Times New Roman"/>
                <w:b/>
                <w:b/>
                <w:color w:val="000000"/>
                <w:kern w:val="0"/>
                <w:sz w:val="20"/>
                <w:szCs w:val="20"/>
                <w:lang w:val="es-MX" w:eastAsia="es-MX" w:bidi="ar-SA"/>
              </w:rPr>
            </w:pPr>
            <w:r>
              <w:rPr>
                <w:rFonts w:eastAsia="Calibri" w:cs="Times New Roman" w:ascii="Times New Roman" w:hAnsi="Times New Roman"/>
                <w:b/>
                <w:color w:val="000000"/>
                <w:kern w:val="0"/>
                <w:sz w:val="20"/>
                <w:szCs w:val="20"/>
                <w:lang w:val="es-MX" w:eastAsia="es-MX" w:bidi="ar-SA"/>
                <w14:ligatures w14:val="standardContextual"/>
              </w:rPr>
              <w:t>Resultado</w:t>
            </w:r>
          </w:p>
        </w:tc>
      </w:tr>
      <w:tr>
        <w:trPr/>
        <w:tc>
          <w:tcPr>
            <w:tcW w:w="1283" w:type="dxa"/>
            <w:vMerge w:val="restart"/>
            <w:tcBorders>
              <w:top w:val="single" w:sz="4" w:space="0" w:color="000000"/>
            </w:tcBorders>
            <w:vAlign w:val="center"/>
          </w:tcPr>
          <w:p>
            <w:pPr>
              <w:pStyle w:val="Normal"/>
              <w:widowControl/>
              <w:suppressAutoHyphens w:val="false"/>
              <w:spacing w:lineRule="auto" w:line="259" w:before="0" w:after="160"/>
              <w:jc w:val="center"/>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1</w:t>
            </w:r>
          </w:p>
        </w:tc>
        <w:tc>
          <w:tcPr>
            <w:tcW w:w="997" w:type="dxa"/>
            <w:tcBorders>
              <w:top w:val="single" w:sz="4" w:space="0" w:color="000000"/>
            </w:tcBorders>
          </w:tcPr>
          <w:p>
            <w:pPr>
              <w:pStyle w:val="Normal"/>
              <w:widowControl/>
              <w:suppressAutoHyphens w:val="false"/>
              <w:spacing w:lineRule="auto" w:line="240" w:before="0" w:after="160"/>
              <w:jc w:val="both"/>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Replica 1</w:t>
            </w:r>
          </w:p>
        </w:tc>
        <w:tc>
          <w:tcPr>
            <w:tcW w:w="2398"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29.184 mg/L</w:t>
            </w:r>
          </w:p>
        </w:tc>
      </w:tr>
      <w:tr>
        <w:trPr/>
        <w:tc>
          <w:tcPr>
            <w:tcW w:w="1283" w:type="dxa"/>
            <w:vMerge w:val="continue"/>
            <w:tcBorders/>
          </w:tcPr>
          <w:p>
            <w:pPr>
              <w:pStyle w:val="Normal"/>
              <w:widowControl/>
              <w:suppressAutoHyphens w:val="false"/>
              <w:spacing w:lineRule="auto" w:line="259" w:before="0" w:after="160"/>
              <w:jc w:val="both"/>
              <w:rPr>
                <w:rFonts w:ascii="Times New Roman" w:hAnsi="Times New Roman" w:eastAsia="Calibri" w:cs="Times New Roman"/>
                <w:color w:val="000000"/>
                <w:kern w:val="0"/>
                <w:sz w:val="20"/>
                <w:szCs w:val="20"/>
                <w:lang w:val="es-MX" w:eastAsia="es-MX" w:bidi="ar-SA"/>
                <w14:ligatures w14:val="standardContextual"/>
              </w:rPr>
            </w:pPr>
            <w:r>
              <w:rPr>
                <w:rFonts w:eastAsia="Calibri" w:cs="Times New Roman" w:ascii="Times New Roman" w:hAnsi="Times New Roman"/>
                <w:color w:val="000000"/>
                <w:kern w:val="0"/>
                <w:sz w:val="20"/>
                <w:szCs w:val="20"/>
                <w:lang w:val="es-MX" w:eastAsia="es-MX" w:bidi="ar-SA"/>
                <w14:ligatures w14:val="standardContextual"/>
              </w:rPr>
            </w:r>
          </w:p>
        </w:tc>
        <w:tc>
          <w:tcPr>
            <w:tcW w:w="997" w:type="dxa"/>
            <w:tcBorders>
              <w:bottom w:val="single" w:sz="4" w:space="0" w:color="000000"/>
            </w:tcBorders>
          </w:tcPr>
          <w:p>
            <w:pPr>
              <w:pStyle w:val="Normal"/>
              <w:widowControl/>
              <w:suppressAutoHyphens w:val="false"/>
              <w:spacing w:lineRule="auto" w:line="240" w:before="0" w:after="160"/>
              <w:jc w:val="both"/>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Replica 2</w:t>
            </w:r>
          </w:p>
        </w:tc>
        <w:tc>
          <w:tcPr>
            <w:tcW w:w="2398"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35.454 mg/L</w:t>
            </w:r>
          </w:p>
        </w:tc>
      </w:tr>
      <w:tr>
        <w:trPr/>
        <w:tc>
          <w:tcPr>
            <w:tcW w:w="1283" w:type="dxa"/>
            <w:vMerge w:val="restart"/>
            <w:tcBorders/>
            <w:vAlign w:val="center"/>
          </w:tcPr>
          <w:p>
            <w:pPr>
              <w:pStyle w:val="Normal"/>
              <w:widowControl/>
              <w:suppressAutoHyphens w:val="false"/>
              <w:spacing w:lineRule="auto" w:line="259" w:before="0" w:after="160"/>
              <w:jc w:val="center"/>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2</w:t>
            </w:r>
          </w:p>
        </w:tc>
        <w:tc>
          <w:tcPr>
            <w:tcW w:w="997" w:type="dxa"/>
            <w:tcBorders>
              <w:top w:val="single" w:sz="4" w:space="0" w:color="000000"/>
            </w:tcBorders>
          </w:tcPr>
          <w:p>
            <w:pPr>
              <w:pStyle w:val="Normal"/>
              <w:widowControl/>
              <w:suppressAutoHyphens w:val="false"/>
              <w:spacing w:lineRule="auto" w:line="240" w:before="0" w:after="160"/>
              <w:jc w:val="both"/>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Replica 3</w:t>
            </w:r>
          </w:p>
        </w:tc>
        <w:tc>
          <w:tcPr>
            <w:tcW w:w="2398"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323.855 mg/L</w:t>
            </w:r>
          </w:p>
        </w:tc>
      </w:tr>
      <w:tr>
        <w:trPr/>
        <w:tc>
          <w:tcPr>
            <w:tcW w:w="1283" w:type="dxa"/>
            <w:vMerge w:val="continue"/>
            <w:tcBorders>
              <w:bottom w:val="single" w:sz="4" w:space="0" w:color="000000"/>
            </w:tcBorders>
          </w:tcPr>
          <w:p>
            <w:pPr>
              <w:pStyle w:val="Normal"/>
              <w:widowControl/>
              <w:suppressAutoHyphens w:val="false"/>
              <w:spacing w:lineRule="auto" w:line="259" w:before="0" w:after="160"/>
              <w:jc w:val="both"/>
              <w:rPr>
                <w:rFonts w:ascii="Times New Roman" w:hAnsi="Times New Roman" w:eastAsia="Calibri" w:cs="Times New Roman"/>
                <w:color w:val="000000"/>
                <w:kern w:val="0"/>
                <w:sz w:val="20"/>
                <w:szCs w:val="20"/>
                <w:lang w:val="es-MX" w:eastAsia="es-MX" w:bidi="ar-SA"/>
                <w14:ligatures w14:val="standardContextual"/>
              </w:rPr>
            </w:pPr>
            <w:r>
              <w:rPr>
                <w:rFonts w:eastAsia="Calibri" w:cs="Times New Roman" w:ascii="Times New Roman" w:hAnsi="Times New Roman"/>
                <w:color w:val="000000"/>
                <w:kern w:val="0"/>
                <w:sz w:val="20"/>
                <w:szCs w:val="20"/>
                <w:lang w:val="es-MX" w:eastAsia="es-MX" w:bidi="ar-SA"/>
                <w14:ligatures w14:val="standardContextual"/>
              </w:rPr>
            </w:r>
          </w:p>
        </w:tc>
        <w:tc>
          <w:tcPr>
            <w:tcW w:w="997" w:type="dxa"/>
            <w:tcBorders>
              <w:bottom w:val="single" w:sz="4" w:space="0" w:color="000000"/>
            </w:tcBorders>
          </w:tcPr>
          <w:p>
            <w:pPr>
              <w:pStyle w:val="Normal"/>
              <w:widowControl/>
              <w:suppressAutoHyphens w:val="false"/>
              <w:spacing w:lineRule="auto" w:line="240" w:before="0" w:after="160"/>
              <w:jc w:val="both"/>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Replica 4</w:t>
            </w:r>
          </w:p>
        </w:tc>
        <w:tc>
          <w:tcPr>
            <w:tcW w:w="2398"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Calibri" w:cs="Times New Roman"/>
                <w:color w:val="000000"/>
                <w:kern w:val="0"/>
                <w:sz w:val="20"/>
                <w:szCs w:val="20"/>
                <w:lang w:val="es-MX" w:eastAsia="es-MX" w:bidi="ar-SA"/>
              </w:rPr>
            </w:pPr>
            <w:r>
              <w:rPr>
                <w:rFonts w:eastAsia="Calibri" w:cs="Times New Roman" w:ascii="Times New Roman" w:hAnsi="Times New Roman"/>
                <w:color w:val="000000"/>
                <w:kern w:val="0"/>
                <w:sz w:val="20"/>
                <w:szCs w:val="20"/>
                <w:lang w:val="es-MX" w:eastAsia="es-MX" w:bidi="ar-SA"/>
                <w14:ligatures w14:val="standardContextual"/>
              </w:rPr>
              <w:t>223.542 mg/l</w:t>
            </w:r>
          </w:p>
        </w:tc>
      </w:tr>
    </w:tbl>
    <w:p>
      <w:pPr>
        <w:pStyle w:val="Normal"/>
        <w:jc w:val="both"/>
        <w:rPr>
          <w:rFonts w:ascii="Times New Roman" w:hAnsi="Times New Roman" w:eastAsia="Arial" w:cs="Times New Roman"/>
          <w:b/>
          <w:b/>
          <w:color w:val="000000"/>
          <w:sz w:val="20"/>
          <w:szCs w:val="20"/>
        </w:rPr>
      </w:pPr>
      <w:r>
        <w:rPr>
          <w:rFonts w:eastAsia="Arial" w:cs="Times New Roman" w:ascii="Times New Roman" w:hAnsi="Times New Roman"/>
          <w:b/>
          <w:color w:val="000000"/>
          <w:sz w:val="20"/>
          <w:szCs w:val="20"/>
        </w:rPr>
      </w:r>
    </w:p>
    <w:p>
      <w:pPr>
        <w:pStyle w:val="Normal"/>
        <w:jc w:val="both"/>
        <w:rPr>
          <w:color w:val="000000"/>
        </w:rPr>
      </w:pPr>
      <w:r>
        <w:rPr>
          <w:rFonts w:eastAsia="Arial" w:cs="Times New Roman" w:ascii="Times New Roman" w:hAnsi="Times New Roman"/>
          <w:bCs/>
          <w:color w:val="000000"/>
          <w:sz w:val="20"/>
          <w:szCs w:val="20"/>
        </w:rPr>
        <w:t xml:space="preserve">Con respecto a los sólidos totales, los resultados son presentados en la </w:t>
      </w:r>
      <w:r>
        <w:rPr>
          <w:rFonts w:eastAsia="Arial" w:cs="Times New Roman" w:ascii="Times New Roman" w:hAnsi="Times New Roman"/>
          <w:bCs/>
          <w:color w:val="000000"/>
          <w:sz w:val="20"/>
          <w:szCs w:val="20"/>
        </w:rPr>
        <w:t>T</w:t>
      </w:r>
      <w:r>
        <w:rPr>
          <w:rFonts w:eastAsia="Arial" w:cs="Times New Roman" w:ascii="Times New Roman" w:hAnsi="Times New Roman"/>
          <w:bCs/>
          <w:color w:val="000000"/>
          <w:sz w:val="20"/>
          <w:szCs w:val="20"/>
        </w:rPr>
        <w:t xml:space="preserve">abla 2. Los pesos obtenidos en las muestras analizadas estuvieron dentro de un rango de 73.3 a 93.0 g. En el caso de los sólidos suspendidos las concentraciones fueron menores en relación a los sólidos totales, pero similares entre las muestras analizadas (Tabla 3). </w:t>
      </w:r>
    </w:p>
    <w:p>
      <w:pPr>
        <w:pStyle w:val="Normal"/>
        <w:jc w:val="both"/>
        <w:rPr>
          <w:rFonts w:ascii="Times New Roman" w:hAnsi="Times New Roman" w:eastAsia="Arial" w:cs="Times New Roman"/>
          <w:bCs/>
          <w:sz w:val="20"/>
          <w:szCs w:val="20"/>
        </w:rPr>
      </w:pPr>
      <w:r>
        <w:rPr>
          <w:color w:val="000000"/>
        </w:rPr>
      </w:r>
    </w:p>
    <w:p>
      <w:pPr>
        <w:pStyle w:val="Normal"/>
        <w:jc w:val="both"/>
        <w:rPr>
          <w:color w:val="000000"/>
        </w:rPr>
      </w:pPr>
      <w:r>
        <w:rPr>
          <w:rFonts w:eastAsia="Arial" w:cs="Times New Roman" w:ascii="Times New Roman" w:hAnsi="Times New Roman"/>
          <w:bCs/>
          <w:color w:val="000000"/>
          <w:sz w:val="20"/>
          <w:szCs w:val="20"/>
        </w:rPr>
        <w:t>Esto indica una importante presencia de materiales disueltos y suspendidos en los lixiviados, lo que puede afectar la calidad del agua y el suelo donde estos residuos son depositados.</w:t>
      </w:r>
    </w:p>
    <w:p>
      <w:pPr>
        <w:pStyle w:val="Normal"/>
        <w:jc w:val="both"/>
        <w:rPr>
          <w:rFonts w:ascii="Times New Roman" w:hAnsi="Times New Roman" w:eastAsia="Arial" w:cs="Times New Roman"/>
          <w:b/>
          <w:b/>
          <w:sz w:val="20"/>
          <w:szCs w:val="20"/>
        </w:rPr>
      </w:pPr>
      <w:r>
        <w:rPr>
          <w:color w:val="000000"/>
        </w:rPr>
      </w:r>
    </w:p>
    <w:tbl>
      <w:tblPr>
        <w:tblStyle w:val="TableNormal3"/>
        <w:tblW w:w="4673"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1188"/>
        <w:gridCol w:w="1175"/>
        <w:gridCol w:w="2310"/>
      </w:tblGrid>
      <w:tr>
        <w:trPr/>
        <w:tc>
          <w:tcPr>
            <w:tcW w:w="4673" w:type="dxa"/>
            <w:gridSpan w:val="3"/>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 xml:space="preserve">Tabla 2. Sólidos totales determinados en las muestras de lixiviados de los residuos sólidos municipales de Valladolid, Yucatán. </w:t>
            </w:r>
            <w:r>
              <w:rPr>
                <w:rFonts w:eastAsia="Arial" w:cs="Times New Roman" w:ascii="Times New Roman" w:hAnsi="Times New Roman"/>
                <w:b/>
                <w:bCs/>
                <w:color w:val="000000"/>
                <w:kern w:val="0"/>
                <w:sz w:val="20"/>
                <w:szCs w:val="20"/>
                <w:lang w:val="es-MX" w:eastAsia="es-MX" w:bidi="ar-SA"/>
              </w:rPr>
              <w:t>Fuente: Elaboración propia.</w:t>
            </w:r>
          </w:p>
        </w:tc>
      </w:tr>
      <w:tr>
        <w:trPr/>
        <w:tc>
          <w:tcPr>
            <w:tcW w:w="1188" w:type="dxa"/>
            <w:tcBorders>
              <w:top w:val="single" w:sz="4" w:space="0" w:color="000000"/>
              <w:bottom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Muestra</w:t>
            </w:r>
          </w:p>
        </w:tc>
        <w:tc>
          <w:tcPr>
            <w:tcW w:w="1175" w:type="dxa"/>
            <w:tcBorders>
              <w:top w:val="single" w:sz="4" w:space="0" w:color="000000"/>
              <w:bottom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Réplicas</w:t>
            </w:r>
          </w:p>
        </w:tc>
        <w:tc>
          <w:tcPr>
            <w:tcW w:w="2310" w:type="dxa"/>
            <w:tcBorders>
              <w:top w:val="single" w:sz="4" w:space="0" w:color="000000"/>
              <w:bottom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Sólidos totales (g)</w:t>
            </w:r>
          </w:p>
        </w:tc>
      </w:tr>
      <w:tr>
        <w:trPr/>
        <w:tc>
          <w:tcPr>
            <w:tcW w:w="1188" w:type="dxa"/>
            <w:vMerge w:val="restart"/>
            <w:tcBorders>
              <w:top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w:t>
            </w:r>
          </w:p>
        </w:tc>
        <w:tc>
          <w:tcPr>
            <w:tcW w:w="1175"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1</w:t>
            </w:r>
          </w:p>
        </w:tc>
        <w:tc>
          <w:tcPr>
            <w:tcW w:w="2310"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73.35</w:t>
            </w:r>
          </w:p>
        </w:tc>
      </w:tr>
      <w:tr>
        <w:trPr/>
        <w:tc>
          <w:tcPr>
            <w:tcW w:w="1188" w:type="dxa"/>
            <w:vMerge w:val="continue"/>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75"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2</w:t>
            </w:r>
          </w:p>
        </w:tc>
        <w:tc>
          <w:tcPr>
            <w:tcW w:w="2310"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93.01</w:t>
            </w:r>
          </w:p>
        </w:tc>
      </w:tr>
      <w:tr>
        <w:trPr/>
        <w:tc>
          <w:tcPr>
            <w:tcW w:w="1188" w:type="dxa"/>
            <w:vMerge w:val="restart"/>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w:t>
            </w:r>
          </w:p>
        </w:tc>
        <w:tc>
          <w:tcPr>
            <w:tcW w:w="1175"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3</w:t>
            </w:r>
          </w:p>
        </w:tc>
        <w:tc>
          <w:tcPr>
            <w:tcW w:w="2310"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73.59</w:t>
            </w:r>
          </w:p>
        </w:tc>
      </w:tr>
      <w:tr>
        <w:trPr/>
        <w:tc>
          <w:tcPr>
            <w:tcW w:w="1188" w:type="dxa"/>
            <w:vMerge w:val="continue"/>
            <w:tcBorders>
              <w:bottom w:val="single" w:sz="4" w:space="0" w:color="000000"/>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75"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4</w:t>
            </w:r>
          </w:p>
        </w:tc>
        <w:tc>
          <w:tcPr>
            <w:tcW w:w="2310"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82.94</w:t>
            </w:r>
          </w:p>
        </w:tc>
      </w:tr>
    </w:tbl>
    <w:p>
      <w:pPr>
        <w:pStyle w:val="Normal"/>
        <w:jc w:val="both"/>
        <w:rPr>
          <w:rFonts w:ascii="Times New Roman" w:hAnsi="Times New Roman" w:eastAsia="Arial" w:cs="Times New Roman"/>
          <w:b/>
          <w:b/>
          <w:color w:val="000000"/>
          <w:sz w:val="20"/>
          <w:szCs w:val="20"/>
          <w:highlight w:val="red"/>
        </w:rPr>
      </w:pPr>
      <w:r>
        <w:rPr>
          <w:rFonts w:eastAsia="Arial" w:cs="Times New Roman" w:ascii="Times New Roman" w:hAnsi="Times New Roman"/>
          <w:b/>
          <w:color w:val="000000"/>
          <w:sz w:val="20"/>
          <w:szCs w:val="20"/>
          <w:highlight w:val="red"/>
        </w:rPr>
      </w:r>
    </w:p>
    <w:p>
      <w:pPr>
        <w:pStyle w:val="LOnormal"/>
        <w:spacing w:lineRule="auto" w:line="240"/>
        <w:jc w:val="both"/>
        <w:rPr>
          <w:color w:val="000000"/>
        </w:rPr>
      </w:pPr>
      <w:r>
        <w:rPr>
          <w:rFonts w:cs="Times New Roman" w:ascii="Times New Roman" w:hAnsi="Times New Roman"/>
          <w:color w:val="000000"/>
          <w:sz w:val="20"/>
          <w:szCs w:val="20"/>
        </w:rPr>
        <w:t>La Tabla 3 muestra la cantidad de sólidos suspendidos, es decir, partículas que flotan en los líquidos en las distintas muestras de lixiviados de residuos sólidos. Los resultados son muy parecidos entre las réplicas, lo que significa que no hubo grandes diferencias en la cantidad de estas partículas de las muestras evaluadas.</w:t>
      </w:r>
    </w:p>
    <w:p>
      <w:pPr>
        <w:pStyle w:val="LOnormal"/>
        <w:spacing w:lineRule="auto" w:line="240"/>
        <w:jc w:val="both"/>
        <w:rPr>
          <w:rFonts w:ascii="Times New Roman" w:hAnsi="Times New Roman" w:eastAsia="Arial" w:cs="Times New Roman"/>
          <w:b/>
          <w:b/>
          <w:sz w:val="20"/>
          <w:szCs w:val="20"/>
        </w:rPr>
      </w:pPr>
      <w:r>
        <w:rPr>
          <w:color w:val="000000"/>
        </w:rPr>
      </w:r>
    </w:p>
    <w:tbl>
      <w:tblPr>
        <w:tblStyle w:val="TableNormal3"/>
        <w:tblW w:w="467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250"/>
        <w:gridCol w:w="1163"/>
        <w:gridCol w:w="2265"/>
      </w:tblGrid>
      <w:tr>
        <w:trPr/>
        <w:tc>
          <w:tcPr>
            <w:tcW w:w="4678" w:type="dxa"/>
            <w:gridSpan w:val="3"/>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 xml:space="preserve">Tabla 3. Sólidos suspendidos determinados en las muestras de lixiviados de los residuos sólidos municipales de Valladolid, Yucatán. </w:t>
            </w:r>
            <w:r>
              <w:rPr>
                <w:rFonts w:eastAsia="Arial" w:cs="Times New Roman" w:ascii="Times New Roman" w:hAnsi="Times New Roman"/>
                <w:b/>
                <w:bCs/>
                <w:color w:val="000000"/>
                <w:kern w:val="0"/>
                <w:sz w:val="20"/>
                <w:szCs w:val="20"/>
                <w:lang w:val="es-MX" w:eastAsia="es-MX" w:bidi="ar-SA"/>
              </w:rPr>
              <w:t>Fuente: Elaboración propia.</w:t>
            </w:r>
          </w:p>
        </w:tc>
      </w:tr>
      <w:tr>
        <w:trPr/>
        <w:tc>
          <w:tcPr>
            <w:tcW w:w="1250"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Muestra</w:t>
            </w:r>
          </w:p>
        </w:tc>
        <w:tc>
          <w:tcPr>
            <w:tcW w:w="1163"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Réplicas</w:t>
            </w:r>
          </w:p>
        </w:tc>
        <w:tc>
          <w:tcPr>
            <w:tcW w:w="2265"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Sólidos suspendidos (g)</w:t>
            </w:r>
          </w:p>
        </w:tc>
      </w:tr>
      <w:tr>
        <w:trPr/>
        <w:tc>
          <w:tcPr>
            <w:tcW w:w="1250" w:type="dxa"/>
            <w:vMerge w:val="restart"/>
            <w:tcBorders>
              <w:top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w:t>
            </w:r>
          </w:p>
        </w:tc>
        <w:tc>
          <w:tcPr>
            <w:tcW w:w="1163"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1</w:t>
            </w:r>
          </w:p>
        </w:tc>
        <w:tc>
          <w:tcPr>
            <w:tcW w:w="2265"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0.917</w:t>
            </w:r>
          </w:p>
        </w:tc>
      </w:tr>
      <w:tr>
        <w:trPr/>
        <w:tc>
          <w:tcPr>
            <w:tcW w:w="1250" w:type="dxa"/>
            <w:vMerge w:val="continue"/>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63"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2</w:t>
            </w:r>
          </w:p>
        </w:tc>
        <w:tc>
          <w:tcPr>
            <w:tcW w:w="2265"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0.917</w:t>
            </w:r>
          </w:p>
        </w:tc>
      </w:tr>
      <w:tr>
        <w:trPr/>
        <w:tc>
          <w:tcPr>
            <w:tcW w:w="1250" w:type="dxa"/>
            <w:vMerge w:val="restart"/>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w:t>
            </w:r>
          </w:p>
        </w:tc>
        <w:tc>
          <w:tcPr>
            <w:tcW w:w="1163"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3</w:t>
            </w:r>
          </w:p>
        </w:tc>
        <w:tc>
          <w:tcPr>
            <w:tcW w:w="2265"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0.922</w:t>
            </w:r>
          </w:p>
        </w:tc>
      </w:tr>
      <w:tr>
        <w:trPr/>
        <w:tc>
          <w:tcPr>
            <w:tcW w:w="1250" w:type="dxa"/>
            <w:vMerge w:val="continue"/>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63"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4</w:t>
            </w:r>
          </w:p>
        </w:tc>
        <w:tc>
          <w:tcPr>
            <w:tcW w:w="2265"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0.920</w:t>
            </w:r>
          </w:p>
        </w:tc>
      </w:tr>
    </w:tbl>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jc w:val="both"/>
        <w:rPr>
          <w:color w:val="000000"/>
        </w:rPr>
      </w:pPr>
      <w:r>
        <w:rPr>
          <w:rFonts w:cs="Times New Roman" w:ascii="Times New Roman" w:hAnsi="Times New Roman"/>
          <w:color w:val="000000"/>
          <w:sz w:val="20"/>
          <w:szCs w:val="20"/>
        </w:rPr>
        <w:t xml:space="preserve">En la </w:t>
      </w:r>
      <w:r>
        <w:rPr>
          <w:rFonts w:cs="Times New Roman" w:ascii="Times New Roman" w:hAnsi="Times New Roman"/>
          <w:color w:val="000000"/>
          <w:sz w:val="20"/>
          <w:szCs w:val="20"/>
        </w:rPr>
        <w:t>T</w:t>
      </w:r>
      <w:r>
        <w:rPr>
          <w:rFonts w:cs="Times New Roman" w:ascii="Times New Roman" w:hAnsi="Times New Roman"/>
          <w:color w:val="000000"/>
          <w:sz w:val="20"/>
          <w:szCs w:val="20"/>
        </w:rPr>
        <w:t>abla 4 se muestra la presencia de fósforo en los lixiviados, el cual puede tener implicaciones significativas para el medio ambiente, especialmente en cuerpos de agua ya que contribuye a la eutrofización. Las concentraciones del fosforo estuvieron en un rango entre 9.44 y 18.95 mg/L.</w:t>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jc w:val="center"/>
        <w:rPr>
          <w:color w:val="000000"/>
        </w:rPr>
      </w:pPr>
      <w:r>
        <w:rPr>
          <w:rFonts w:eastAsia="Arial" w:cs="Times New Roman" w:ascii="Times New Roman" w:hAnsi="Times New Roman"/>
          <w:b/>
          <w:color w:val="000000"/>
          <w:sz w:val="20"/>
          <w:szCs w:val="20"/>
        </w:rPr>
        <w:t xml:space="preserve">Tabla 4. Fosforo total determinado en las muestras de los lixiviados de los residuos sólidos municipales de Valladolid, Yucatán. </w:t>
      </w:r>
      <w:r>
        <w:rPr>
          <w:rFonts w:eastAsia="Arial" w:cs="Times New Roman" w:ascii="Times New Roman" w:hAnsi="Times New Roman"/>
          <w:b/>
          <w:bCs/>
          <w:color w:val="000000"/>
          <w:kern w:val="0"/>
          <w:sz w:val="20"/>
          <w:szCs w:val="20"/>
          <w:lang w:val="es-MX" w:eastAsia="es-MX" w:bidi="ar-SA"/>
        </w:rPr>
        <w:t>Fuente: Elaboración propia.</w:t>
      </w:r>
    </w:p>
    <w:tbl>
      <w:tblPr>
        <w:tblStyle w:val="TableNormal3"/>
        <w:tblW w:w="4673"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1107"/>
        <w:gridCol w:w="1774"/>
        <w:gridCol w:w="1792"/>
      </w:tblGrid>
      <w:tr>
        <w:trPr/>
        <w:tc>
          <w:tcPr>
            <w:tcW w:w="1107"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Muestra</w:t>
            </w:r>
          </w:p>
        </w:tc>
        <w:tc>
          <w:tcPr>
            <w:tcW w:w="1774" w:type="dxa"/>
            <w:tcBorders>
              <w:top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Réplicas</w:t>
            </w:r>
          </w:p>
        </w:tc>
        <w:tc>
          <w:tcPr>
            <w:tcW w:w="1792"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Fosforo total (mg/L)</w:t>
            </w:r>
          </w:p>
        </w:tc>
      </w:tr>
      <w:tr>
        <w:trPr/>
        <w:tc>
          <w:tcPr>
            <w:tcW w:w="1107" w:type="dxa"/>
            <w:vMerge w:val="restart"/>
            <w:tcBorders>
              <w:top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w:t>
            </w:r>
          </w:p>
        </w:tc>
        <w:tc>
          <w:tcPr>
            <w:tcW w:w="1774"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1</w:t>
            </w:r>
          </w:p>
        </w:tc>
        <w:tc>
          <w:tcPr>
            <w:tcW w:w="1792" w:type="dxa"/>
            <w:tcBorders>
              <w:top w:val="single" w:sz="4" w:space="0" w:color="000000"/>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11.56 mg</w:t>
            </w:r>
          </w:p>
        </w:tc>
      </w:tr>
      <w:tr>
        <w:trPr/>
        <w:tc>
          <w:tcPr>
            <w:tcW w:w="1107" w:type="dxa"/>
            <w:vMerge w:val="continue"/>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774"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2</w:t>
            </w:r>
          </w:p>
        </w:tc>
        <w:tc>
          <w:tcPr>
            <w:tcW w:w="1792" w:type="dxa"/>
            <w:tcBorders>
              <w:bottom w:val="single" w:sz="4" w:space="0" w:color="000000"/>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14.61 mg</w:t>
            </w:r>
          </w:p>
        </w:tc>
      </w:tr>
      <w:tr>
        <w:trPr/>
        <w:tc>
          <w:tcPr>
            <w:tcW w:w="1107" w:type="dxa"/>
            <w:vMerge w:val="restart"/>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w:t>
            </w:r>
          </w:p>
        </w:tc>
        <w:tc>
          <w:tcPr>
            <w:tcW w:w="1774"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3</w:t>
            </w:r>
          </w:p>
        </w:tc>
        <w:tc>
          <w:tcPr>
            <w:tcW w:w="1792" w:type="dxa"/>
            <w:tcBorders>
              <w:top w:val="single" w:sz="4" w:space="0" w:color="000000"/>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18.95 mg</w:t>
            </w:r>
          </w:p>
        </w:tc>
      </w:tr>
      <w:tr>
        <w:trPr/>
        <w:tc>
          <w:tcPr>
            <w:tcW w:w="1107" w:type="dxa"/>
            <w:vMerge w:val="continue"/>
            <w:tcBorders>
              <w:bottom w:val="single" w:sz="4" w:space="0" w:color="000000"/>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774"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4</w:t>
            </w:r>
          </w:p>
        </w:tc>
        <w:tc>
          <w:tcPr>
            <w:tcW w:w="1792" w:type="dxa"/>
            <w:tcBorders>
              <w:bottom w:val="single" w:sz="4" w:space="0" w:color="000000"/>
            </w:tcBorders>
          </w:tcPr>
          <w:p>
            <w:pPr>
              <w:pStyle w:val="Normal"/>
              <w:widowControl/>
              <w:suppressAutoHyphens w:val="false"/>
              <w:spacing w:lineRule="auto" w:line="240"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9.44 mg</w:t>
            </w:r>
          </w:p>
        </w:tc>
      </w:tr>
    </w:tbl>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jc w:val="both"/>
        <w:rPr>
          <w:color w:val="000000"/>
        </w:rPr>
      </w:pPr>
      <w:r>
        <w:rPr>
          <w:rFonts w:eastAsia="Arial" w:cs="Times New Roman" w:ascii="Times New Roman" w:hAnsi="Times New Roman"/>
          <w:bCs/>
          <w:color w:val="000000"/>
          <w:sz w:val="20"/>
          <w:szCs w:val="20"/>
        </w:rPr>
        <w:t xml:space="preserve">Los resultados de la </w:t>
      </w:r>
      <w:r>
        <w:rPr>
          <w:rFonts w:eastAsia="Arial" w:cs="Times New Roman" w:ascii="Times New Roman" w:hAnsi="Times New Roman"/>
          <w:bCs/>
          <w:color w:val="000000"/>
          <w:sz w:val="20"/>
          <w:szCs w:val="20"/>
        </w:rPr>
        <w:t>T</w:t>
      </w:r>
      <w:r>
        <w:rPr>
          <w:rFonts w:eastAsia="Arial" w:cs="Times New Roman" w:ascii="Times New Roman" w:hAnsi="Times New Roman"/>
          <w:bCs/>
          <w:color w:val="000000"/>
          <w:sz w:val="20"/>
          <w:szCs w:val="20"/>
        </w:rPr>
        <w:t>abla 5 muestran niveles de nitrógeno amoniacal (</w:t>
      </w:r>
      <w:r>
        <w:rPr>
          <w:rFonts w:cs="Times New Roman" w:ascii="Times New Roman" w:hAnsi="Times New Roman"/>
          <w:bCs/>
          <w:color w:val="000000"/>
          <w:sz w:val="20"/>
          <w:szCs w:val="20"/>
        </w:rPr>
        <w:t>N-NH</w:t>
      </w:r>
      <w:r>
        <w:rPr>
          <w:rFonts w:cs="Times New Roman" w:ascii="Times New Roman" w:hAnsi="Times New Roman"/>
          <w:bCs/>
          <w:color w:val="000000"/>
          <w:sz w:val="20"/>
          <w:szCs w:val="20"/>
          <w:vertAlign w:val="subscript"/>
        </w:rPr>
        <w:t>3</w:t>
      </w:r>
      <w:r>
        <w:rPr>
          <w:rFonts w:cs="Times New Roman" w:ascii="Times New Roman" w:hAnsi="Times New Roman"/>
          <w:bCs/>
          <w:color w:val="000000"/>
          <w:sz w:val="20"/>
          <w:szCs w:val="20"/>
        </w:rPr>
        <w:t>)</w:t>
      </w:r>
      <w:r>
        <w:rPr>
          <w:rFonts w:eastAsia="Arial" w:cs="Times New Roman" w:ascii="Times New Roman" w:hAnsi="Times New Roman"/>
          <w:bCs/>
          <w:color w:val="000000"/>
          <w:sz w:val="20"/>
          <w:szCs w:val="20"/>
        </w:rPr>
        <w:t xml:space="preserve"> que podrían contribuir a la contaminación y alteración de los ecosistemas acuáticos, afectando tanto la biodiversidad como la calidad del agua. Los valores detectados fueron desde 8.3 hasta 12.1 ml. Las concentraciones más bajas fueron observadas en la muestra 1. </w:t>
      </w:r>
    </w:p>
    <w:p>
      <w:pPr>
        <w:pStyle w:val="Normal"/>
        <w:jc w:val="both"/>
        <w:rPr>
          <w:rFonts w:ascii="Times New Roman" w:hAnsi="Times New Roman" w:eastAsia="Arial" w:cs="Times New Roman"/>
          <w:bCs/>
          <w:sz w:val="20"/>
          <w:szCs w:val="20"/>
        </w:rPr>
      </w:pPr>
      <w:r>
        <w:rPr>
          <w:color w:val="000000"/>
        </w:rPr>
      </w:r>
    </w:p>
    <w:p>
      <w:pPr>
        <w:pStyle w:val="Normal"/>
        <w:jc w:val="both"/>
        <w:rPr>
          <w:rFonts w:ascii="Times New Roman" w:hAnsi="Times New Roman" w:eastAsia="Arial" w:cs="Times New Roman"/>
          <w:bCs/>
          <w:sz w:val="20"/>
          <w:szCs w:val="20"/>
        </w:rPr>
      </w:pPr>
      <w:r>
        <w:rPr>
          <w:color w:val="000000"/>
        </w:rPr>
      </w:r>
    </w:p>
    <w:p>
      <w:pPr>
        <w:pStyle w:val="Normal"/>
        <w:jc w:val="both"/>
        <w:rPr>
          <w:rFonts w:ascii="Times New Roman" w:hAnsi="Times New Roman" w:eastAsia="Arial" w:cs="Times New Roman"/>
          <w:bCs/>
          <w:sz w:val="20"/>
          <w:szCs w:val="20"/>
        </w:rPr>
      </w:pPr>
      <w:r>
        <w:rPr>
          <w:color w:val="000000"/>
        </w:rPr>
      </w:r>
    </w:p>
    <w:p>
      <w:pPr>
        <w:pStyle w:val="Normal"/>
        <w:jc w:val="both"/>
        <w:rPr>
          <w:rFonts w:ascii="Times New Roman" w:hAnsi="Times New Roman" w:eastAsia="Arial" w:cs="Times New Roman"/>
          <w:bCs/>
          <w:sz w:val="20"/>
          <w:szCs w:val="20"/>
        </w:rPr>
      </w:pPr>
      <w:r>
        <w:rPr>
          <w:color w:val="000000"/>
        </w:rPr>
      </w:r>
    </w:p>
    <w:p>
      <w:pPr>
        <w:pStyle w:val="Normal"/>
        <w:jc w:val="both"/>
        <w:rPr>
          <w:rFonts w:ascii="Times New Roman" w:hAnsi="Times New Roman" w:eastAsia="Arial" w:cs="Times New Roman"/>
          <w:bCs/>
          <w:sz w:val="20"/>
          <w:szCs w:val="20"/>
        </w:rPr>
      </w:pPr>
      <w:r>
        <w:rPr>
          <w:color w:val="000000"/>
        </w:rPr>
      </w:r>
    </w:p>
    <w:p>
      <w:pPr>
        <w:pStyle w:val="Normal"/>
        <w:jc w:val="both"/>
        <w:rPr>
          <w:rFonts w:ascii="Times New Roman" w:hAnsi="Times New Roman" w:eastAsia="Arial" w:cs="Times New Roman"/>
          <w:bCs/>
          <w:sz w:val="20"/>
          <w:szCs w:val="20"/>
        </w:rPr>
      </w:pPr>
      <w:r>
        <w:rPr>
          <w:color w:val="00000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jc w:val="center"/>
        <w:rPr>
          <w:color w:val="000000"/>
        </w:rPr>
      </w:pPr>
      <w:r>
        <w:rPr>
          <w:rFonts w:eastAsia="Arial" w:cs="Times New Roman" w:ascii="Times New Roman" w:hAnsi="Times New Roman"/>
          <w:b/>
          <w:color w:val="000000"/>
          <w:sz w:val="20"/>
          <w:szCs w:val="20"/>
        </w:rPr>
        <w:t>Tabla 5. Nitrógeno amoniacal (</w:t>
      </w:r>
      <w:bookmarkStart w:id="1" w:name="_Hlk178883436"/>
      <w:r>
        <w:rPr>
          <w:rFonts w:cs="Times New Roman" w:ascii="Times New Roman" w:hAnsi="Times New Roman"/>
          <w:b/>
          <w:color w:val="000000" w:themeColor="text1"/>
          <w:sz w:val="20"/>
          <w:szCs w:val="20"/>
        </w:rPr>
        <w:t>N-NH</w:t>
      </w:r>
      <w:r>
        <w:rPr>
          <w:rFonts w:cs="Times New Roman" w:ascii="Times New Roman" w:hAnsi="Times New Roman"/>
          <w:b/>
          <w:color w:val="000000" w:themeColor="text1"/>
          <w:sz w:val="20"/>
          <w:szCs w:val="20"/>
          <w:vertAlign w:val="subscript"/>
        </w:rPr>
        <w:t>3</w:t>
      </w:r>
      <w:bookmarkEnd w:id="1"/>
      <w:r>
        <w:rPr>
          <w:rFonts w:cs="Times New Roman" w:ascii="Times New Roman" w:hAnsi="Times New Roman"/>
          <w:b/>
          <w:color w:val="000000"/>
          <w:sz w:val="20"/>
          <w:szCs w:val="20"/>
        </w:rPr>
        <w:t xml:space="preserve">) </w:t>
      </w:r>
      <w:r>
        <w:rPr>
          <w:rFonts w:eastAsia="Arial" w:cs="Times New Roman" w:ascii="Times New Roman" w:hAnsi="Times New Roman"/>
          <w:b/>
          <w:color w:val="000000"/>
          <w:sz w:val="20"/>
          <w:szCs w:val="20"/>
        </w:rPr>
        <w:t xml:space="preserve">determinado en las muestras de los lixiviados de los residuos sólidos municipales de Valladolid, Yucatán.  </w:t>
      </w:r>
      <w:r>
        <w:rPr>
          <w:rFonts w:eastAsia="Arial" w:cs="Times New Roman" w:ascii="Times New Roman" w:hAnsi="Times New Roman"/>
          <w:b/>
          <w:bCs/>
          <w:color w:val="000000"/>
          <w:kern w:val="0"/>
          <w:sz w:val="20"/>
          <w:szCs w:val="20"/>
          <w:lang w:val="es-MX" w:eastAsia="es-MX" w:bidi="ar-SA"/>
        </w:rPr>
        <w:t>Fuente: Elaboración propia.</w:t>
      </w:r>
    </w:p>
    <w:tbl>
      <w:tblPr>
        <w:tblStyle w:val="TableNormal3"/>
        <w:tblW w:w="4668"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1272"/>
        <w:gridCol w:w="1200"/>
        <w:gridCol w:w="1098"/>
        <w:gridCol w:w="1097"/>
      </w:tblGrid>
      <w:tr>
        <w:trPr/>
        <w:tc>
          <w:tcPr>
            <w:tcW w:w="1272" w:type="dxa"/>
            <w:tcBorders>
              <w:top w:val="single" w:sz="4" w:space="0" w:color="000000"/>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Muestra</w:t>
            </w:r>
          </w:p>
        </w:tc>
        <w:tc>
          <w:tcPr>
            <w:tcW w:w="1200" w:type="dxa"/>
            <w:tcBorders>
              <w:top w:val="single" w:sz="4" w:space="0" w:color="000000"/>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 xml:space="preserve">Replicas </w:t>
            </w:r>
          </w:p>
        </w:tc>
        <w:tc>
          <w:tcPr>
            <w:tcW w:w="1098" w:type="dxa"/>
            <w:tcBorders>
              <w:top w:val="single" w:sz="4" w:space="0" w:color="000000"/>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Lixiviado (ml)</w:t>
            </w:r>
          </w:p>
        </w:tc>
        <w:tc>
          <w:tcPr>
            <w:tcW w:w="1097" w:type="dxa"/>
            <w:tcBorders>
              <w:top w:val="single" w:sz="4" w:space="0" w:color="000000"/>
              <w:bottom w:val="single" w:sz="4" w:space="0" w:color="000000"/>
            </w:tcBorders>
          </w:tcPr>
          <w:p>
            <w:pPr>
              <w:pStyle w:val="Normal"/>
              <w:widowControl/>
              <w:suppressAutoHyphens w:val="false"/>
              <w:spacing w:lineRule="auto" w:line="259" w:before="0" w:after="160"/>
              <w:jc w:val="both"/>
              <w:rPr>
                <w:rFonts w:ascii="Times New Roman" w:hAnsi="Times New Roman" w:cs="Times New Roman"/>
                <w:b/>
                <w:b/>
                <w:color w:val="000000"/>
                <w:kern w:val="0"/>
                <w:sz w:val="20"/>
                <w:szCs w:val="20"/>
                <w:lang w:val="es-MX" w:eastAsia="es-MX" w:bidi="ar-SA"/>
              </w:rPr>
            </w:pPr>
            <w:r>
              <w:rPr>
                <w:rFonts w:cs="Times New Roman" w:ascii="Times New Roman" w:hAnsi="Times New Roman"/>
                <w:b/>
                <w:color w:val="000000" w:themeColor="text1"/>
                <w:kern w:val="0"/>
                <w:sz w:val="20"/>
                <w:szCs w:val="20"/>
                <w:lang w:val="es-MX" w:eastAsia="es-MX" w:bidi="ar-SA"/>
              </w:rPr>
              <w:t>N-NH</w:t>
            </w:r>
            <w:r>
              <w:rPr>
                <w:rFonts w:cs="Times New Roman" w:ascii="Times New Roman" w:hAnsi="Times New Roman"/>
                <w:b/>
                <w:color w:val="000000" w:themeColor="text1"/>
                <w:kern w:val="0"/>
                <w:sz w:val="20"/>
                <w:szCs w:val="20"/>
                <w:vertAlign w:val="subscript"/>
                <w:lang w:val="es-MX" w:eastAsia="es-MX" w:bidi="ar-SA"/>
              </w:rPr>
              <w:t>3</w:t>
            </w:r>
            <w:r>
              <w:rPr>
                <w:rFonts w:eastAsia="Arial" w:cs="Times New Roman" w:ascii="Times New Roman" w:hAnsi="Times New Roman"/>
                <w:b/>
                <w:color w:val="000000" w:themeColor="text1"/>
                <w:kern w:val="0"/>
                <w:sz w:val="20"/>
                <w:szCs w:val="20"/>
                <w:lang w:val="es-MX" w:eastAsia="es-MX" w:bidi="ar-SA"/>
              </w:rPr>
              <w:t xml:space="preserve"> </w:t>
            </w:r>
            <w:r>
              <w:rPr>
                <w:rFonts w:eastAsia="Arial" w:cs="Times New Roman" w:ascii="Times New Roman" w:hAnsi="Times New Roman"/>
                <w:b/>
                <w:color w:val="000000"/>
                <w:kern w:val="0"/>
                <w:sz w:val="20"/>
                <w:szCs w:val="20"/>
                <w:lang w:val="es-MX" w:eastAsia="es-MX" w:bidi="ar-SA"/>
              </w:rPr>
              <w:t>(mg/L)</w:t>
            </w:r>
          </w:p>
        </w:tc>
      </w:tr>
      <w:tr>
        <w:trPr/>
        <w:tc>
          <w:tcPr>
            <w:tcW w:w="1272" w:type="dxa"/>
            <w:vMerge w:val="restart"/>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w:t>
            </w:r>
          </w:p>
          <w:p>
            <w:pPr>
              <w:pStyle w:val="Normal"/>
              <w:widowControl/>
              <w:suppressAutoHyphens w:val="false"/>
              <w:spacing w:lineRule="auto" w:line="240" w:before="0" w:after="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200"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1</w:t>
            </w:r>
          </w:p>
        </w:tc>
        <w:tc>
          <w:tcPr>
            <w:tcW w:w="1098" w:type="dxa"/>
            <w:tcBorders>
              <w:top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10</w:t>
            </w:r>
          </w:p>
        </w:tc>
        <w:tc>
          <w:tcPr>
            <w:tcW w:w="1097" w:type="dxa"/>
            <w:tcBorders>
              <w:top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8.3</w:t>
            </w:r>
          </w:p>
        </w:tc>
      </w:tr>
      <w:tr>
        <w:trPr/>
        <w:tc>
          <w:tcPr>
            <w:tcW w:w="1272" w:type="dxa"/>
            <w:vMerge w:val="continue"/>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200"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2</w:t>
            </w:r>
          </w:p>
        </w:tc>
        <w:tc>
          <w:tcPr>
            <w:tcW w:w="1098" w:type="dxa"/>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10</w:t>
            </w:r>
          </w:p>
        </w:tc>
        <w:tc>
          <w:tcPr>
            <w:tcW w:w="1097" w:type="dxa"/>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8.5</w:t>
            </w:r>
          </w:p>
        </w:tc>
      </w:tr>
      <w:tr>
        <w:trPr>
          <w:trHeight w:val="50" w:hRule="atLeast"/>
        </w:trPr>
        <w:tc>
          <w:tcPr>
            <w:tcW w:w="1272" w:type="dxa"/>
            <w:vMerge w:val="restart"/>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w:t>
            </w:r>
          </w:p>
        </w:tc>
        <w:tc>
          <w:tcPr>
            <w:tcW w:w="1200"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3</w:t>
            </w:r>
          </w:p>
        </w:tc>
        <w:tc>
          <w:tcPr>
            <w:tcW w:w="1098" w:type="dxa"/>
            <w:tcBorders>
              <w:top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10</w:t>
            </w:r>
          </w:p>
        </w:tc>
        <w:tc>
          <w:tcPr>
            <w:tcW w:w="1097" w:type="dxa"/>
            <w:tcBorders>
              <w:top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12.1</w:t>
            </w:r>
          </w:p>
        </w:tc>
      </w:tr>
      <w:tr>
        <w:trPr/>
        <w:tc>
          <w:tcPr>
            <w:tcW w:w="1272" w:type="dxa"/>
            <w:vMerge w:val="continue"/>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200"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4</w:t>
            </w:r>
          </w:p>
        </w:tc>
        <w:tc>
          <w:tcPr>
            <w:tcW w:w="1098" w:type="dxa"/>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10</w:t>
            </w:r>
          </w:p>
        </w:tc>
        <w:tc>
          <w:tcPr>
            <w:tcW w:w="1097" w:type="dxa"/>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13</w:t>
            </w:r>
          </w:p>
        </w:tc>
      </w:tr>
    </w:tbl>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color w:val="000000"/>
        </w:rPr>
      </w:pPr>
      <w:r>
        <w:rPr>
          <w:rFonts w:eastAsia="Arial" w:cs="Times New Roman" w:ascii="Times New Roman" w:hAnsi="Times New Roman"/>
          <w:bCs/>
          <w:color w:val="000000"/>
          <w:sz w:val="20"/>
          <w:szCs w:val="20"/>
        </w:rPr>
        <w:t xml:space="preserve">En relación a la DBO, los resultados se presentan en la </w:t>
      </w:r>
      <w:r>
        <w:rPr>
          <w:rFonts w:eastAsia="Arial" w:cs="Times New Roman" w:ascii="Times New Roman" w:hAnsi="Times New Roman"/>
          <w:bCs/>
          <w:color w:val="000000"/>
          <w:sz w:val="20"/>
          <w:szCs w:val="20"/>
        </w:rPr>
        <w:t>T</w:t>
      </w:r>
      <w:r>
        <w:rPr>
          <w:rFonts w:eastAsia="Arial" w:cs="Times New Roman" w:ascii="Times New Roman" w:hAnsi="Times New Roman"/>
          <w:bCs/>
          <w:color w:val="000000"/>
          <w:sz w:val="20"/>
          <w:szCs w:val="20"/>
        </w:rPr>
        <w:t xml:space="preserve">abla 6. Los valores obtenidos van en una escala de 1.75 mg/L a 4.50 mg/L. </w:t>
      </w:r>
    </w:p>
    <w:p>
      <w:pPr>
        <w:pStyle w:val="Normal"/>
        <w:jc w:val="both"/>
        <w:rPr>
          <w:color w:val="000000"/>
        </w:rPr>
      </w:pPr>
      <w:r>
        <w:rPr>
          <w:rFonts w:eastAsia="Arial" w:cs="Times New Roman" w:ascii="Times New Roman" w:hAnsi="Times New Roman"/>
          <w:b/>
          <w:color w:val="000000"/>
          <w:sz w:val="20"/>
          <w:szCs w:val="20"/>
        </w:rPr>
        <w:t xml:space="preserve"> </w:t>
      </w:r>
    </w:p>
    <w:tbl>
      <w:tblPr>
        <w:tblStyle w:val="TableNormal3"/>
        <w:tblW w:w="4673" w:type="dxa"/>
        <w:jc w:val="left"/>
        <w:tblInd w:w="5" w:type="dxa"/>
        <w:tblLayout w:type="fixed"/>
        <w:tblCellMar>
          <w:top w:w="0" w:type="dxa"/>
          <w:left w:w="0" w:type="dxa"/>
          <w:bottom w:w="0" w:type="dxa"/>
          <w:right w:w="0" w:type="dxa"/>
        </w:tblCellMar>
        <w:tblLook w:val="04a0" w:noHBand="0" w:noVBand="1" w:firstColumn="1" w:lastRow="0" w:lastColumn="0" w:firstRow="1"/>
      </w:tblPr>
      <w:tblGrid>
        <w:gridCol w:w="4673"/>
      </w:tblGrid>
      <w:tr>
        <w:trPr/>
        <w:tc>
          <w:tcPr>
            <w:tcW w:w="4673" w:type="dxa"/>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 xml:space="preserve">Tabla 6. Demanda biológica de oxígeno (DBO), determinado en las muestras de los lixiviados de los residuos sólidos municipales de Valladolid, Yucatán. </w:t>
            </w:r>
            <w:r>
              <w:rPr>
                <w:rFonts w:eastAsia="Arial" w:cs="Times New Roman" w:ascii="Times New Roman" w:hAnsi="Times New Roman"/>
                <w:b/>
                <w:bCs/>
                <w:color w:val="000000"/>
                <w:kern w:val="0"/>
                <w:sz w:val="20"/>
                <w:szCs w:val="20"/>
                <w:lang w:val="es-MX" w:eastAsia="es-MX" w:bidi="ar-SA"/>
              </w:rPr>
              <w:t>Fuente: Elaboración propia.</w:t>
            </w:r>
          </w:p>
          <w:tbl>
            <w:tblPr>
              <w:tblStyle w:val="TableNormal3"/>
              <w:tblW w:w="467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250"/>
              <w:gridCol w:w="1162"/>
              <w:gridCol w:w="2261"/>
            </w:tblGrid>
            <w:tr>
              <w:trPr/>
              <w:tc>
                <w:tcPr>
                  <w:tcW w:w="1250"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Muestra</w:t>
                  </w:r>
                </w:p>
              </w:tc>
              <w:tc>
                <w:tcPr>
                  <w:tcW w:w="1162"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Réplicas</w:t>
                  </w:r>
                </w:p>
              </w:tc>
              <w:tc>
                <w:tcPr>
                  <w:tcW w:w="2261"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DBO</w:t>
                  </w:r>
                </w:p>
              </w:tc>
            </w:tr>
            <w:tr>
              <w:trPr/>
              <w:tc>
                <w:tcPr>
                  <w:tcW w:w="1250" w:type="dxa"/>
                  <w:vMerge w:val="restart"/>
                  <w:tcBorders>
                    <w:top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w:t>
                  </w:r>
                </w:p>
              </w:tc>
              <w:tc>
                <w:tcPr>
                  <w:tcW w:w="1162"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1</w:t>
                  </w:r>
                </w:p>
              </w:tc>
              <w:tc>
                <w:tcPr>
                  <w:tcW w:w="2261"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2.54</w:t>
                  </w:r>
                </w:p>
              </w:tc>
            </w:tr>
            <w:tr>
              <w:trPr/>
              <w:tc>
                <w:tcPr>
                  <w:tcW w:w="1250" w:type="dxa"/>
                  <w:vMerge w:val="continue"/>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62"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2</w:t>
                  </w:r>
                </w:p>
              </w:tc>
              <w:tc>
                <w:tcPr>
                  <w:tcW w:w="2261"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1.75</w:t>
                  </w:r>
                </w:p>
              </w:tc>
            </w:tr>
            <w:tr>
              <w:trPr/>
              <w:tc>
                <w:tcPr>
                  <w:tcW w:w="1250" w:type="dxa"/>
                  <w:vMerge w:val="restart"/>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w:t>
                  </w:r>
                </w:p>
              </w:tc>
              <w:tc>
                <w:tcPr>
                  <w:tcW w:w="1162"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3</w:t>
                  </w:r>
                </w:p>
              </w:tc>
              <w:tc>
                <w:tcPr>
                  <w:tcW w:w="2261"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4.12</w:t>
                  </w:r>
                </w:p>
              </w:tc>
            </w:tr>
            <w:tr>
              <w:trPr/>
              <w:tc>
                <w:tcPr>
                  <w:tcW w:w="1250" w:type="dxa"/>
                  <w:vMerge w:val="continue"/>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62"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4</w:t>
                  </w:r>
                </w:p>
              </w:tc>
              <w:tc>
                <w:tcPr>
                  <w:tcW w:w="2261"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4.50</w:t>
                  </w:r>
                </w:p>
              </w:tc>
            </w:tr>
          </w:tbl>
          <w:p>
            <w:pPr>
              <w:pStyle w:val="Normal"/>
              <w:widowControl w:val="false"/>
              <w:jc w:val="both"/>
              <w:rPr>
                <w:rFonts w:ascii="Times New Roman" w:hAnsi="Times New Roman" w:eastAsia="Arial" w:cs="Times New Roman"/>
                <w:b/>
                <w:b/>
                <w:color w:val="000000"/>
                <w:sz w:val="20"/>
                <w:szCs w:val="20"/>
              </w:rPr>
            </w:pPr>
            <w:r>
              <w:rPr>
                <w:rFonts w:eastAsia="Arial" w:cs="Times New Roman" w:ascii="Times New Roman" w:hAnsi="Times New Roman"/>
                <w:b/>
                <w:color w:val="000000"/>
                <w:sz w:val="20"/>
                <w:szCs w:val="20"/>
              </w:rPr>
            </w:r>
          </w:p>
        </w:tc>
      </w:tr>
    </w:tbl>
    <w:p>
      <w:pPr>
        <w:pStyle w:val="LOnormal"/>
        <w:spacing w:lineRule="auto" w:line="240"/>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bCs/>
          <w:color w:val="000000"/>
          <w:sz w:val="20"/>
          <w:szCs w:val="20"/>
        </w:rPr>
        <w:t xml:space="preserve">En la Tabla 7 se puede observar los resultados de nitrógeno total, cabe mencionar que es un nutriente esencial, pero en cantidades excesivas puede provocar disminución de oxígeno lo que afectaría al entorno natural. </w:t>
      </w:r>
    </w:p>
    <w:p>
      <w:pPr>
        <w:pStyle w:val="Normal"/>
        <w:jc w:val="both"/>
        <w:rPr>
          <w:rFonts w:ascii="Times New Roman" w:hAnsi="Times New Roman" w:eastAsia="Arial" w:cs="Times New Roman"/>
          <w:bCs/>
          <w:sz w:val="20"/>
          <w:szCs w:val="20"/>
        </w:rPr>
      </w:pPr>
      <w:r>
        <w:rPr>
          <w:color w:val="000000"/>
        </w:rPr>
      </w:r>
    </w:p>
    <w:p>
      <w:pPr>
        <w:pStyle w:val="Normal"/>
        <w:jc w:val="both"/>
        <w:rPr>
          <w:color w:val="000000"/>
        </w:rPr>
      </w:pPr>
      <w:r>
        <w:rPr>
          <w:rFonts w:eastAsia="Arial" w:cs="Times New Roman" w:ascii="Times New Roman" w:hAnsi="Times New Roman"/>
          <w:bCs/>
          <w:color w:val="000000"/>
          <w:sz w:val="20"/>
          <w:szCs w:val="20"/>
        </w:rPr>
        <w:t xml:space="preserve">Los resultados muestran la concentración de nitrógeno total en las cuatro muestras de lixiviados recolectadas varían de 12.6 mg/L a 20.6 mg/L. Esto indica diferencias en los niveles de nitrógeno en las distintas áreas muestreadas. </w:t>
      </w:r>
    </w:p>
    <w:p>
      <w:pPr>
        <w:pStyle w:val="Normal"/>
        <w:jc w:val="both"/>
        <w:rPr>
          <w:rFonts w:ascii="Times New Roman" w:hAnsi="Times New Roman" w:eastAsia="Arial" w:cs="Times New Roman"/>
          <w:bCs/>
          <w:sz w:val="20"/>
          <w:szCs w:val="20"/>
        </w:rPr>
      </w:pPr>
      <w:r>
        <w:rPr>
          <w:color w:val="000000"/>
        </w:rPr>
      </w:r>
    </w:p>
    <w:p>
      <w:pPr>
        <w:pStyle w:val="Normal"/>
        <w:jc w:val="both"/>
        <w:rPr>
          <w:color w:val="000000"/>
        </w:rPr>
      </w:pPr>
      <w:r>
        <w:rPr>
          <w:rFonts w:eastAsia="Arial" w:cs="Times New Roman" w:ascii="Times New Roman" w:hAnsi="Times New Roman"/>
          <w:bCs/>
          <w:color w:val="000000"/>
          <w:sz w:val="20"/>
          <w:szCs w:val="20"/>
        </w:rPr>
        <w:t>Estas variaciones pueden deberse a diferencias en la composición de los residuos sólidos o en el proceso de descomposición de los mismos.</w:t>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LOnormal"/>
        <w:spacing w:lineRule="auto" w:line="240"/>
        <w:jc w:val="both"/>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p>
      <w:pPr>
        <w:pStyle w:val="Normal"/>
        <w:jc w:val="center"/>
        <w:rPr>
          <w:color w:val="000000"/>
        </w:rPr>
      </w:pPr>
      <w:r>
        <w:rPr>
          <w:rFonts w:eastAsia="Arial" w:cs="Times New Roman" w:ascii="Times New Roman" w:hAnsi="Times New Roman"/>
          <w:b/>
          <w:color w:val="000000"/>
          <w:sz w:val="20"/>
          <w:szCs w:val="20"/>
        </w:rPr>
        <w:t xml:space="preserve">Tabla 7. Nitrógeno total determinado en las muestras de los lixiviados de los residuos sólidos municipales de Valladolid, Yucatán. </w:t>
      </w:r>
      <w:r>
        <w:rPr>
          <w:rFonts w:eastAsia="Arial" w:cs="Times New Roman" w:ascii="Times New Roman" w:hAnsi="Times New Roman"/>
          <w:b/>
          <w:bCs/>
          <w:color w:val="000000"/>
          <w:kern w:val="0"/>
          <w:sz w:val="20"/>
          <w:szCs w:val="20"/>
          <w:lang w:val="es-MX" w:eastAsia="es-MX" w:bidi="ar-SA"/>
        </w:rPr>
        <w:t>Fuente: Elaboración propia.</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tbl>
      <w:tblPr>
        <w:tblStyle w:val="TableNormal3"/>
        <w:tblW w:w="467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250"/>
        <w:gridCol w:w="1163"/>
        <w:gridCol w:w="2265"/>
      </w:tblGrid>
      <w:tr>
        <w:trPr/>
        <w:tc>
          <w:tcPr>
            <w:tcW w:w="1250"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color w:val="000000"/>
                <w:kern w:val="0"/>
                <w:sz w:val="20"/>
                <w:szCs w:val="20"/>
                <w:lang w:val="es-MX" w:eastAsia="es-MX" w:bidi="ar-SA"/>
              </w:rPr>
            </w:pPr>
            <w:r>
              <w:rPr>
                <w:rFonts w:eastAsia="Arial" w:cs="Times New Roman" w:ascii="Times New Roman" w:hAnsi="Times New Roman"/>
                <w:b/>
                <w:color w:val="000000"/>
                <w:kern w:val="0"/>
                <w:sz w:val="20"/>
                <w:szCs w:val="20"/>
                <w:lang w:val="es-MX" w:eastAsia="es-MX" w:bidi="ar-SA"/>
              </w:rPr>
              <w:t>Muestra</w:t>
            </w:r>
          </w:p>
        </w:tc>
        <w:tc>
          <w:tcPr>
            <w:tcW w:w="1163"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Réplicas</w:t>
            </w:r>
          </w:p>
        </w:tc>
        <w:tc>
          <w:tcPr>
            <w:tcW w:w="2265" w:type="dxa"/>
            <w:tcBorders>
              <w:top w:val="single" w:sz="4" w:space="0" w:color="000000"/>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
                <w:b/>
                <w:bCs/>
                <w:color w:val="000000"/>
                <w:kern w:val="0"/>
                <w:sz w:val="20"/>
                <w:szCs w:val="20"/>
                <w:lang w:val="es-MX" w:eastAsia="es-MX" w:bidi="ar-SA"/>
              </w:rPr>
            </w:pPr>
            <w:r>
              <w:rPr>
                <w:rFonts w:eastAsia="Arial" w:cs="Times New Roman" w:ascii="Times New Roman" w:hAnsi="Times New Roman"/>
                <w:b/>
                <w:bCs/>
                <w:color w:val="000000"/>
                <w:kern w:val="0"/>
                <w:sz w:val="20"/>
                <w:szCs w:val="20"/>
                <w:lang w:val="es-MX" w:eastAsia="es-MX" w:bidi="ar-SA"/>
              </w:rPr>
              <w:t>Nitrógeno Total (mg/L)</w:t>
            </w:r>
          </w:p>
        </w:tc>
      </w:tr>
      <w:tr>
        <w:trPr/>
        <w:tc>
          <w:tcPr>
            <w:tcW w:w="1250" w:type="dxa"/>
            <w:vMerge w:val="restart"/>
            <w:tcBorders>
              <w:top w:val="single" w:sz="4" w:space="0" w:color="000000"/>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w:t>
            </w:r>
          </w:p>
        </w:tc>
        <w:tc>
          <w:tcPr>
            <w:tcW w:w="1163"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1</w:t>
            </w:r>
          </w:p>
        </w:tc>
        <w:tc>
          <w:tcPr>
            <w:tcW w:w="2265"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15.0</w:t>
            </w:r>
          </w:p>
        </w:tc>
      </w:tr>
      <w:tr>
        <w:trPr/>
        <w:tc>
          <w:tcPr>
            <w:tcW w:w="1250" w:type="dxa"/>
            <w:vMerge w:val="continue"/>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63"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2</w:t>
            </w:r>
          </w:p>
        </w:tc>
        <w:tc>
          <w:tcPr>
            <w:tcW w:w="2265"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12.6</w:t>
            </w:r>
          </w:p>
        </w:tc>
      </w:tr>
      <w:tr>
        <w:trPr/>
        <w:tc>
          <w:tcPr>
            <w:tcW w:w="1250" w:type="dxa"/>
            <w:vMerge w:val="restart"/>
            <w:tcBorders/>
            <w:vAlign w:val="center"/>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w:t>
            </w:r>
          </w:p>
        </w:tc>
        <w:tc>
          <w:tcPr>
            <w:tcW w:w="1163"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3</w:t>
            </w:r>
          </w:p>
        </w:tc>
        <w:tc>
          <w:tcPr>
            <w:tcW w:w="2265" w:type="dxa"/>
            <w:tcBorders>
              <w:top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18.6</w:t>
            </w:r>
          </w:p>
        </w:tc>
      </w:tr>
      <w:tr>
        <w:trPr/>
        <w:tc>
          <w:tcPr>
            <w:tcW w:w="1250" w:type="dxa"/>
            <w:vMerge w:val="continue"/>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r>
          </w:p>
        </w:tc>
        <w:tc>
          <w:tcPr>
            <w:tcW w:w="1163"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Réplica 4</w:t>
            </w:r>
          </w:p>
        </w:tc>
        <w:tc>
          <w:tcPr>
            <w:tcW w:w="2265" w:type="dxa"/>
            <w:tcBorders>
              <w:bottom w:val="single" w:sz="4" w:space="0" w:color="000000"/>
            </w:tcBorders>
          </w:tcPr>
          <w:p>
            <w:pPr>
              <w:pStyle w:val="Normal"/>
              <w:widowControl/>
              <w:suppressAutoHyphens w:val="false"/>
              <w:spacing w:lineRule="auto" w:line="240" w:before="0" w:after="160"/>
              <w:jc w:val="center"/>
              <w:rPr>
                <w:rFonts w:ascii="Times New Roman" w:hAnsi="Times New Roman" w:eastAsia="Arial" w:cs="Times New Roman"/>
                <w:bCs/>
                <w:color w:val="000000"/>
                <w:kern w:val="0"/>
                <w:sz w:val="20"/>
                <w:szCs w:val="20"/>
                <w:lang w:val="es-MX" w:eastAsia="es-MX" w:bidi="ar-SA"/>
              </w:rPr>
            </w:pPr>
            <w:r>
              <w:rPr>
                <w:rFonts w:eastAsia="Arial" w:cs="Times New Roman" w:ascii="Times New Roman" w:hAnsi="Times New Roman"/>
                <w:bCs/>
                <w:color w:val="000000"/>
                <w:kern w:val="0"/>
                <w:sz w:val="20"/>
                <w:szCs w:val="20"/>
                <w:lang w:val="es-MX" w:eastAsia="es-MX" w:bidi="ar-SA"/>
              </w:rPr>
              <w:t>20.6</w:t>
            </w:r>
          </w:p>
        </w:tc>
      </w:tr>
    </w:tbl>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color w:val="000000"/>
          <w:sz w:val="20"/>
          <w:szCs w:val="20"/>
        </w:rPr>
        <w:t>Los resultados presentados en la Tabla 8 permiten comparar las concentraciones promedio de diversos parámetros medidos en las muestras de lixiviados de los residuos sólidos municipales de Valladolid y Mérida, en relación con los límites establecidos por la normatividad mexicana (</w:t>
      </w:r>
      <w:r>
        <w:rPr>
          <w:rFonts w:eastAsia="Arial" w:cs="Times New Roman" w:ascii="Times New Roman" w:hAnsi="Times New Roman"/>
          <w:bCs/>
          <w:color w:val="000000"/>
          <w:sz w:val="20"/>
          <w:szCs w:val="20"/>
        </w:rPr>
        <w:t>NOM-001-SEMARNAT-2021)</w:t>
      </w:r>
      <w:r>
        <w:rPr>
          <w:rFonts w:eastAsia="Arial" w:cs="Times New Roman" w:ascii="Times New Roman" w:hAnsi="Times New Roman"/>
          <w:color w:val="000000"/>
          <w:sz w:val="20"/>
          <w:szCs w:val="20"/>
        </w:rPr>
        <w:t xml:space="preserve">. En cuanto a la Demanda Química de Oxígeno (DQO), los valores obtenidos en Valladolid muestran una variabilidad considerable entre las dos muestras, con 32.3 mg/L en la Muestra 1 y 273.6 mg/L en la Muestra 2. Aunque estos valores son significativamente más bajos que los reportados en Mérida, donde se alcanza un promedio de 14,600 mg/L </w:t>
      </w:r>
      <w:r>
        <w:rPr>
          <w:rFonts w:eastAsia="Arial" w:cs="Times New Roman" w:ascii="Times New Roman" w:hAnsi="Times New Roman"/>
          <w:color w:val="000000"/>
          <w:sz w:val="20"/>
          <w:szCs w:val="20"/>
        </w:rPr>
        <w:t>(</w:t>
      </w:r>
      <w:r>
        <w:rPr>
          <w:rFonts w:eastAsia="Times New Roman" w:cs="Times New Roman" w:ascii="Times New Roman" w:hAnsi="Times New Roman"/>
          <w:color w:val="000000"/>
          <w:kern w:val="0"/>
          <w:sz w:val="20"/>
          <w:szCs w:val="20"/>
          <w:lang w:eastAsia="es-MX" w:bidi="ar-SA"/>
        </w:rPr>
        <w:t>Escalante-Mañé et al. 2022)</w:t>
      </w:r>
      <w:r>
        <w:rPr>
          <w:rFonts w:eastAsia="Arial" w:cs="Times New Roman" w:ascii="Times New Roman" w:hAnsi="Times New Roman"/>
          <w:color w:val="000000"/>
          <w:sz w:val="20"/>
          <w:szCs w:val="20"/>
        </w:rPr>
        <w:t>, ambos resultados de Valladolid superan el límite máximo permisible establecido por la normatividad mexicana, que es de 60 mg/L. Este dato sugiere que, aunque la concentración de DQO es mucho menor en Valladolid en comparación con Mérida, aún existe un riesgo de contaminación, lo que resalta la necesidad de un mejor control de los lixiviados en la zona. En relación con la Demanda Biológica de Oxígeno (DBO), los resultados en Valladolid son bastante consistentes entre las dos muestras, con valores varían entre 1.75 mg/L a 4.5 mg/L, mientras que en Mérida se observa un valor mucho más elevado de 109.8 mg/L. Los valores más bajos en Valladolid sugieren que los lixiviados en esta ciudad tienen una menor carga de materia orgánica biodegradable en comparación con Mérida. El análisis de Nitrógeno Total (NT) revela que en Valladolid se observan concentraciones de 13.8 mg/L y 19.6 mg/L, valores cercanos al límite máximo permitido de 15 mg/L. En contraste, los resultados de Mérida son muy altos, alcanzando los 4,671 mg/L, lo que representa un riesgo de contaminación en la región. Aunque Valladolid presenta valores más bajos en comparación con Mérida, la superación del límite normativo en algunas muestras también es motivo de preocupación. En cuanto al Fósforo Total (FT), los valores reportados en Valladolid (13.08 mg/L y 14.1 mg/L) también superan el límite máximo permitido, que es de 5 mg/L, lo que sugiere una alta concentración de fósforo en los lixiviados. Este contaminante, junto con el nitrógeno, es un factor clave en la eutrofización de cuerpos de agua, lo que puede generar graves efectos en la biodiversidad acuática. Los valores de Mérida, aunque mucho más altos (41.8 mg/L), destacan aún más la diferencia en el manejo y control de los lixiviados entre ambas ciudades. Por otro lado, en cuanto a los Sólidos Suspendidos (SS), los valores obtenidos en Valladolid son bastante bajos y consistentes, con 0.9 mg/L en ambas muestras, estando por debajo del límite permitido de 20 mg/L. Esto sugiere que, al menos en este parámetro, los lixiviados de Valladolid no presentan una carga significativa de partículas suspendidas que puedan afectar la calidad del agua o el suelo. En Mérida no se dispone de datos sobre este parámetro, lo que dificulta una comparación directa. Finalmente, en relación al Nitrógeno Amoniacal (</w:t>
      </w:r>
      <w:r>
        <w:rPr>
          <w:rFonts w:cs="Times New Roman" w:ascii="Times New Roman" w:hAnsi="Times New Roman"/>
          <w:color w:val="000000" w:themeColor="text1"/>
          <w:sz w:val="20"/>
          <w:szCs w:val="20"/>
        </w:rPr>
        <w:t>N-NH</w:t>
      </w:r>
      <w:r>
        <w:rPr>
          <w:rFonts w:cs="Times New Roman" w:ascii="Times New Roman" w:hAnsi="Times New Roman"/>
          <w:color w:val="000000" w:themeColor="text1"/>
          <w:sz w:val="20"/>
          <w:szCs w:val="20"/>
          <w:vertAlign w:val="subscript"/>
        </w:rPr>
        <w:t>3</w:t>
      </w:r>
      <w:r>
        <w:rPr>
          <w:rFonts w:cs="Times New Roman" w:ascii="Times New Roman" w:hAnsi="Times New Roman"/>
          <w:color w:val="000000"/>
          <w:sz w:val="20"/>
          <w:szCs w:val="20"/>
        </w:rPr>
        <w:t>)</w:t>
      </w:r>
      <w:r>
        <w:rPr>
          <w:rFonts w:eastAsia="Arial" w:cs="Times New Roman" w:ascii="Times New Roman" w:hAnsi="Times New Roman"/>
          <w:color w:val="000000"/>
          <w:sz w:val="20"/>
          <w:szCs w:val="20"/>
        </w:rPr>
        <w:t>, los valores de Valladolid (8.4 mg/L y 12.5 mg/L), estos valores sugieren la presencia de compuestos amoniacales, que podrían tener impactos negativos si no se gestionan adecuadamente.</w:t>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p>
      <w:pPr>
        <w:pStyle w:val="Normal"/>
        <w:jc w:val="center"/>
        <w:rPr>
          <w:color w:val="000000"/>
        </w:rPr>
      </w:pPr>
      <w:r>
        <w:rPr>
          <w:rFonts w:eastAsia="Arial" w:cs="Times New Roman" w:ascii="Times New Roman" w:hAnsi="Times New Roman"/>
          <w:b/>
          <w:bCs/>
          <w:color w:val="000000"/>
          <w:sz w:val="20"/>
          <w:szCs w:val="20"/>
        </w:rPr>
        <w:t xml:space="preserve">Tabla 8. Valores promedios determinados en las muestras de lixiviados de los residuos sólidos municipales de Valladolid en comparación de los resultados del relleno sanitario de Mérida. </w:t>
      </w:r>
      <w:r>
        <w:rPr>
          <w:rFonts w:eastAsia="Arial" w:cs="Times New Roman" w:ascii="Times New Roman" w:hAnsi="Times New Roman"/>
          <w:b/>
          <w:bCs/>
          <w:color w:val="000000"/>
          <w:kern w:val="0"/>
          <w:sz w:val="20"/>
          <w:szCs w:val="20"/>
          <w:lang w:val="es-MX" w:eastAsia="es-MX" w:bidi="ar-SA"/>
        </w:rPr>
        <w:t>Fuente: Elaboración propia.</w:t>
      </w:r>
    </w:p>
    <w:p>
      <w:pPr>
        <w:pStyle w:val="Normal"/>
        <w:jc w:val="both"/>
        <w:rPr>
          <w:rFonts w:ascii="Times New Roman" w:hAnsi="Times New Roman" w:eastAsia="Arial" w:cs="Times New Roman"/>
          <w:color w:val="000000"/>
          <w:sz w:val="20"/>
          <w:szCs w:val="20"/>
        </w:rPr>
      </w:pPr>
      <w:r>
        <w:rPr>
          <w:rFonts w:eastAsia="Arial" w:cs="Times New Roman" w:ascii="Times New Roman" w:hAnsi="Times New Roman"/>
          <w:color w:val="000000"/>
          <w:sz w:val="20"/>
          <w:szCs w:val="20"/>
        </w:rPr>
      </w:r>
    </w:p>
    <w:tbl>
      <w:tblPr>
        <w:tblStyle w:val="TableNormal3"/>
        <w:tblW w:w="4673" w:type="dxa"/>
        <w:jc w:val="left"/>
        <w:tblInd w:w="5" w:type="dxa"/>
        <w:tblLayout w:type="fixed"/>
        <w:tblCellMar>
          <w:top w:w="0" w:type="dxa"/>
          <w:left w:w="0" w:type="dxa"/>
          <w:bottom w:w="0" w:type="dxa"/>
          <w:right w:w="0" w:type="dxa"/>
        </w:tblCellMar>
        <w:tblLook w:val="0480" w:noHBand="0" w:noVBand="1" w:firstColumn="1" w:lastRow="0" w:lastColumn="0" w:firstRow="0"/>
      </w:tblPr>
      <w:tblGrid>
        <w:gridCol w:w="897"/>
        <w:gridCol w:w="989"/>
        <w:gridCol w:w="1305"/>
        <w:gridCol w:w="967"/>
        <w:gridCol w:w="515"/>
      </w:tblGrid>
      <w:tr>
        <w:trPr>
          <w:trHeight w:val="655" w:hRule="atLeast"/>
        </w:trPr>
        <w:tc>
          <w:tcPr>
            <w:tcW w:w="897"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Parámetros</w:t>
            </w:r>
          </w:p>
        </w:tc>
        <w:tc>
          <w:tcPr>
            <w:tcW w:w="2294" w:type="dxa"/>
            <w:gridSpan w:val="2"/>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Valladolid</w:t>
            </w:r>
          </w:p>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w:t>
            </w:r>
            <w:r>
              <w:rPr>
                <w:rFonts w:eastAsia="Arial" w:cs="Times New Roman" w:ascii="Times New Roman" w:hAnsi="Times New Roman"/>
                <w:b/>
                <w:color w:val="000000"/>
                <w:kern w:val="0"/>
                <w:sz w:val="16"/>
                <w:szCs w:val="16"/>
                <w:lang w:val="es-MX" w:eastAsia="es-MX" w:bidi="ar-SA"/>
              </w:rPr>
              <w:t>en este estudio</w:t>
            </w:r>
            <w:r>
              <w:rPr>
                <w:rFonts w:eastAsia="Arial" w:cs="Times New Roman" w:ascii="Times New Roman" w:hAnsi="Times New Roman"/>
                <w:b/>
                <w:color w:val="000000"/>
                <w:kern w:val="0"/>
                <w:sz w:val="16"/>
                <w:szCs w:val="16"/>
                <w:lang w:val="es-MX" w:eastAsia="es-MX" w:bidi="ar-SA"/>
              </w:rPr>
              <w:t>)</w:t>
            </w:r>
          </w:p>
        </w:tc>
        <w:tc>
          <w:tcPr>
            <w:tcW w:w="967"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 xml:space="preserve">Mérida </w:t>
            </w:r>
          </w:p>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(Escalante-Mañe et al., 2022)</w:t>
            </w:r>
          </w:p>
        </w:tc>
        <w:tc>
          <w:tcPr>
            <w:tcW w:w="515"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LMP México</w:t>
            </w:r>
          </w:p>
        </w:tc>
      </w:tr>
      <w:tr>
        <w:trPr/>
        <w:tc>
          <w:tcPr>
            <w:tcW w:w="897"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r>
          </w:p>
        </w:tc>
        <w:tc>
          <w:tcPr>
            <w:tcW w:w="989"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Muestra 1</w:t>
            </w:r>
          </w:p>
        </w:tc>
        <w:tc>
          <w:tcPr>
            <w:tcW w:w="1305"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t>Muestra 2</w:t>
            </w:r>
          </w:p>
        </w:tc>
        <w:tc>
          <w:tcPr>
            <w:tcW w:w="967"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r>
          </w:p>
        </w:tc>
        <w:tc>
          <w:tcPr>
            <w:tcW w:w="515" w:type="dxa"/>
            <w:tcBorders>
              <w:top w:val="single" w:sz="4" w:space="0" w:color="000000"/>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b/>
                <w:b/>
                <w:color w:val="000000"/>
                <w:kern w:val="0"/>
                <w:sz w:val="16"/>
                <w:szCs w:val="16"/>
                <w:lang w:val="es-MX" w:eastAsia="es-MX" w:bidi="ar-SA"/>
              </w:rPr>
            </w:pPr>
            <w:r>
              <w:rPr>
                <w:rFonts w:eastAsia="Arial" w:cs="Times New Roman" w:ascii="Times New Roman" w:hAnsi="Times New Roman"/>
                <w:b/>
                <w:color w:val="000000"/>
                <w:kern w:val="0"/>
                <w:sz w:val="16"/>
                <w:szCs w:val="16"/>
                <w:lang w:val="es-MX" w:eastAsia="es-MX" w:bidi="ar-SA"/>
              </w:rPr>
            </w:r>
          </w:p>
        </w:tc>
      </w:tr>
      <w:tr>
        <w:trPr/>
        <w:tc>
          <w:tcPr>
            <w:tcW w:w="897" w:type="dxa"/>
            <w:tcBorders>
              <w:top w:val="single" w:sz="4" w:space="0" w:color="000000"/>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DQO (mg/L)</w:t>
            </w:r>
          </w:p>
        </w:tc>
        <w:tc>
          <w:tcPr>
            <w:tcW w:w="989"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32.3±3.1</w:t>
            </w:r>
          </w:p>
        </w:tc>
        <w:tc>
          <w:tcPr>
            <w:tcW w:w="1305"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273.6±50.1</w:t>
            </w:r>
          </w:p>
        </w:tc>
        <w:tc>
          <w:tcPr>
            <w:tcW w:w="967" w:type="dxa"/>
            <w:tcBorders>
              <w:top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14600± 150</w:t>
            </w:r>
          </w:p>
        </w:tc>
        <w:tc>
          <w:tcPr>
            <w:tcW w:w="515" w:type="dxa"/>
            <w:tcBorders>
              <w:top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60</w:t>
            </w:r>
          </w:p>
        </w:tc>
      </w:tr>
      <w:tr>
        <w:trPr/>
        <w:tc>
          <w:tcPr>
            <w:tcW w:w="897"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DBO (mg/L)</w:t>
            </w:r>
          </w:p>
        </w:tc>
        <w:tc>
          <w:tcPr>
            <w:tcW w:w="989"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7.2± 0.1</w:t>
            </w:r>
          </w:p>
        </w:tc>
        <w:tc>
          <w:tcPr>
            <w:tcW w:w="1305"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2.1 ± 0.3</w:t>
            </w:r>
          </w:p>
        </w:tc>
        <w:tc>
          <w:tcPr>
            <w:tcW w:w="967"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4.3± 0.19</w:t>
            </w:r>
          </w:p>
        </w:tc>
        <w:tc>
          <w:tcPr>
            <w:tcW w:w="515" w:type="dxa"/>
            <w:tcBorders/>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w:t>
            </w:r>
          </w:p>
        </w:tc>
      </w:tr>
      <w:tr>
        <w:trPr/>
        <w:tc>
          <w:tcPr>
            <w:tcW w:w="897"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NT</w:t>
            </w:r>
          </w:p>
        </w:tc>
        <w:tc>
          <w:tcPr>
            <w:tcW w:w="989"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13.8±1.2</w:t>
            </w:r>
          </w:p>
        </w:tc>
        <w:tc>
          <w:tcPr>
            <w:tcW w:w="1305"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19.6±1</w:t>
            </w:r>
          </w:p>
        </w:tc>
        <w:tc>
          <w:tcPr>
            <w:tcW w:w="967"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4671 ± 67</w:t>
            </w:r>
          </w:p>
        </w:tc>
        <w:tc>
          <w:tcPr>
            <w:tcW w:w="515" w:type="dxa"/>
            <w:tcBorders/>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15</w:t>
            </w:r>
          </w:p>
        </w:tc>
      </w:tr>
      <w:tr>
        <w:trPr/>
        <w:tc>
          <w:tcPr>
            <w:tcW w:w="897"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FT</w:t>
            </w:r>
          </w:p>
        </w:tc>
        <w:tc>
          <w:tcPr>
            <w:tcW w:w="989"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13.08±1.5</w:t>
            </w:r>
          </w:p>
        </w:tc>
        <w:tc>
          <w:tcPr>
            <w:tcW w:w="1305"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14.1±4.7</w:t>
            </w:r>
          </w:p>
        </w:tc>
        <w:tc>
          <w:tcPr>
            <w:tcW w:w="967"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41.8 ± 0.1</w:t>
            </w:r>
          </w:p>
        </w:tc>
        <w:tc>
          <w:tcPr>
            <w:tcW w:w="515" w:type="dxa"/>
            <w:tcBorders/>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5</w:t>
            </w:r>
          </w:p>
        </w:tc>
      </w:tr>
      <w:tr>
        <w:trPr/>
        <w:tc>
          <w:tcPr>
            <w:tcW w:w="897"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ST</w:t>
            </w:r>
          </w:p>
        </w:tc>
        <w:tc>
          <w:tcPr>
            <w:tcW w:w="989"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83.17±9.8</w:t>
            </w:r>
          </w:p>
        </w:tc>
        <w:tc>
          <w:tcPr>
            <w:tcW w:w="1305"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78.2±4.6</w:t>
            </w:r>
          </w:p>
        </w:tc>
        <w:tc>
          <w:tcPr>
            <w:tcW w:w="967" w:type="dxa"/>
            <w:tcBorders/>
            <w:vAlign w:val="center"/>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26392.0±151.8</w:t>
            </w:r>
          </w:p>
        </w:tc>
        <w:tc>
          <w:tcPr>
            <w:tcW w:w="515" w:type="dxa"/>
            <w:tcBorders/>
            <w:vAlign w:val="center"/>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w:t>
            </w:r>
          </w:p>
        </w:tc>
      </w:tr>
      <w:tr>
        <w:trPr/>
        <w:tc>
          <w:tcPr>
            <w:tcW w:w="897"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 xml:space="preserve">SS </w:t>
            </w:r>
          </w:p>
        </w:tc>
        <w:tc>
          <w:tcPr>
            <w:tcW w:w="989"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 xml:space="preserve"> </w:t>
            </w:r>
            <w:r>
              <w:rPr>
                <w:rFonts w:eastAsia="Arial" w:cs="Times New Roman" w:ascii="Times New Roman" w:hAnsi="Times New Roman"/>
                <w:color w:val="000000"/>
                <w:kern w:val="0"/>
                <w:sz w:val="16"/>
                <w:szCs w:val="16"/>
                <w:lang w:val="es-MX" w:eastAsia="es-MX" w:bidi="ar-SA"/>
              </w:rPr>
              <w:t>0.9±0</w:t>
            </w:r>
          </w:p>
        </w:tc>
        <w:tc>
          <w:tcPr>
            <w:tcW w:w="1305" w:type="dxa"/>
            <w:tcBorders/>
          </w:tcPr>
          <w:p>
            <w:pPr>
              <w:pStyle w:val="Normal"/>
              <w:widowControl/>
              <w:suppressAutoHyphens w:val="false"/>
              <w:spacing w:lineRule="auto" w:line="259" w:before="0" w:after="160"/>
              <w:jc w:val="left"/>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 xml:space="preserve"> </w:t>
            </w:r>
            <w:r>
              <w:rPr>
                <w:rFonts w:eastAsia="Arial" w:cs="Times New Roman" w:ascii="Times New Roman" w:hAnsi="Times New Roman"/>
                <w:color w:val="000000"/>
                <w:kern w:val="0"/>
                <w:sz w:val="16"/>
                <w:szCs w:val="16"/>
                <w:lang w:val="es-MX" w:eastAsia="es-MX" w:bidi="ar-SA"/>
              </w:rPr>
              <w:t>0.9 ±0.001</w:t>
            </w:r>
          </w:p>
        </w:tc>
        <w:tc>
          <w:tcPr>
            <w:tcW w:w="967" w:type="dxa"/>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 xml:space="preserve">520.0±20.0 </w:t>
            </w:r>
          </w:p>
        </w:tc>
        <w:tc>
          <w:tcPr>
            <w:tcW w:w="515" w:type="dxa"/>
            <w:tcBorders/>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20</w:t>
            </w:r>
          </w:p>
        </w:tc>
      </w:tr>
      <w:tr>
        <w:trPr/>
        <w:tc>
          <w:tcPr>
            <w:tcW w:w="897" w:type="dxa"/>
            <w:tcBorders>
              <w:bottom w:val="single" w:sz="4" w:space="0" w:color="000000"/>
            </w:tcBorders>
          </w:tcPr>
          <w:p>
            <w:pPr>
              <w:pStyle w:val="Normal"/>
              <w:widowControl/>
              <w:suppressAutoHyphens w:val="false"/>
              <w:spacing w:lineRule="auto" w:line="259" w:before="0" w:after="160"/>
              <w:jc w:val="left"/>
              <w:rPr>
                <w:rFonts w:ascii="Times New Roman" w:hAnsi="Times New Roman" w:cs="Times New Roman"/>
                <w:bCs/>
                <w:color w:val="000000"/>
                <w:kern w:val="0"/>
                <w:sz w:val="16"/>
                <w:szCs w:val="16"/>
                <w:lang w:val="es-MX" w:eastAsia="es-MX" w:bidi="ar-SA"/>
              </w:rPr>
            </w:pPr>
            <w:r>
              <w:rPr>
                <w:rFonts w:cs="Times New Roman" w:ascii="Times New Roman" w:hAnsi="Times New Roman"/>
                <w:bCs/>
                <w:color w:val="000000" w:themeColor="text1"/>
                <w:kern w:val="0"/>
                <w:sz w:val="16"/>
                <w:szCs w:val="16"/>
                <w:lang w:val="es-MX" w:eastAsia="es-MX" w:bidi="ar-SA"/>
              </w:rPr>
              <w:t>N-NH</w:t>
            </w:r>
            <w:r>
              <w:rPr>
                <w:rFonts w:cs="Times New Roman" w:ascii="Times New Roman" w:hAnsi="Times New Roman"/>
                <w:bCs/>
                <w:color w:val="000000" w:themeColor="text1"/>
                <w:kern w:val="0"/>
                <w:sz w:val="16"/>
                <w:szCs w:val="16"/>
                <w:vertAlign w:val="subscript"/>
                <w:lang w:val="es-MX" w:eastAsia="es-MX" w:bidi="ar-SA"/>
              </w:rPr>
              <w:t>3</w:t>
            </w:r>
          </w:p>
        </w:tc>
        <w:tc>
          <w:tcPr>
            <w:tcW w:w="989"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8.4±0.1</w:t>
            </w:r>
          </w:p>
        </w:tc>
        <w:tc>
          <w:tcPr>
            <w:tcW w:w="1305"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12.5±0.4</w:t>
            </w:r>
          </w:p>
        </w:tc>
        <w:tc>
          <w:tcPr>
            <w:tcW w:w="967" w:type="dxa"/>
            <w:tcBorders>
              <w:bottom w:val="single" w:sz="4" w:space="0" w:color="000000"/>
            </w:tcBorders>
          </w:tcPr>
          <w:p>
            <w:pPr>
              <w:pStyle w:val="Normal"/>
              <w:widowControl/>
              <w:suppressAutoHyphens w:val="false"/>
              <w:spacing w:lineRule="auto" w:line="259" w:before="0" w:after="160"/>
              <w:jc w:val="both"/>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 xml:space="preserve"> </w:t>
            </w:r>
            <w:r>
              <w:rPr>
                <w:rFonts w:eastAsia="Arial" w:cs="Times New Roman" w:ascii="Times New Roman" w:hAnsi="Times New Roman"/>
                <w:color w:val="000000"/>
                <w:kern w:val="0"/>
                <w:sz w:val="16"/>
                <w:szCs w:val="16"/>
                <w:lang w:val="es-MX" w:eastAsia="es-MX" w:bidi="ar-SA"/>
              </w:rPr>
              <w:t>4239±6.9</w:t>
            </w:r>
          </w:p>
        </w:tc>
        <w:tc>
          <w:tcPr>
            <w:tcW w:w="515" w:type="dxa"/>
            <w:tcBorders>
              <w:bottom w:val="single" w:sz="4" w:space="0" w:color="000000"/>
            </w:tcBorders>
          </w:tcPr>
          <w:p>
            <w:pPr>
              <w:pStyle w:val="Normal"/>
              <w:widowControl/>
              <w:suppressAutoHyphens w:val="false"/>
              <w:spacing w:lineRule="auto" w:line="259" w:before="0" w:after="160"/>
              <w:jc w:val="center"/>
              <w:rPr>
                <w:rFonts w:ascii="Times New Roman" w:hAnsi="Times New Roman" w:eastAsia="Arial" w:cs="Times New Roman"/>
                <w:color w:val="000000"/>
                <w:kern w:val="0"/>
                <w:sz w:val="16"/>
                <w:szCs w:val="16"/>
                <w:lang w:val="es-MX" w:eastAsia="es-MX" w:bidi="ar-SA"/>
              </w:rPr>
            </w:pPr>
            <w:r>
              <w:rPr>
                <w:rFonts w:eastAsia="Arial" w:cs="Times New Roman" w:ascii="Times New Roman" w:hAnsi="Times New Roman"/>
                <w:color w:val="000000"/>
                <w:kern w:val="0"/>
                <w:sz w:val="16"/>
                <w:szCs w:val="16"/>
                <w:lang w:val="es-MX" w:eastAsia="es-MX" w:bidi="ar-SA"/>
              </w:rPr>
              <w:t>*</w:t>
            </w:r>
          </w:p>
        </w:tc>
      </w:tr>
    </w:tbl>
    <w:p>
      <w:pPr>
        <w:pStyle w:val="Normal"/>
        <w:jc w:val="both"/>
        <w:rPr>
          <w:color w:val="000000"/>
        </w:rPr>
      </w:pPr>
      <w:r>
        <w:rPr>
          <w:rFonts w:eastAsia="Arial" w:cs="Times New Roman" w:ascii="Times New Roman" w:hAnsi="Times New Roman"/>
          <w:bCs/>
          <w:color w:val="000000"/>
          <w:sz w:val="20"/>
          <w:szCs w:val="20"/>
        </w:rPr>
        <w:t>Nota: Valor promedio (n=2, ± desviación estándar) de la calidad del lixiviado del relleno sanitario de Valladolid, Yucatán y los estándares nacionales para aguas residuales. (NOM-001-SEMARNAT-2021).</w:t>
      </w:r>
    </w:p>
    <w:p>
      <w:pPr>
        <w:pStyle w:val="Normal"/>
        <w:jc w:val="both"/>
        <w:rPr>
          <w:rFonts w:ascii="Times New Roman" w:hAnsi="Times New Roman" w:eastAsia="Arial" w:cs="Times New Roman"/>
          <w:bCs/>
          <w:color w:val="000000"/>
          <w:sz w:val="20"/>
          <w:szCs w:val="20"/>
        </w:rPr>
      </w:pPr>
      <w:r>
        <w:rPr>
          <w:rFonts w:eastAsia="Arial" w:cs="Times New Roman" w:ascii="Times New Roman" w:hAnsi="Times New Roman"/>
          <w:bCs/>
          <w:color w:val="000000"/>
          <w:sz w:val="20"/>
          <w:szCs w:val="20"/>
        </w:rPr>
      </w:r>
    </w:p>
    <w:p>
      <w:pPr>
        <w:pStyle w:val="Normal"/>
        <w:jc w:val="both"/>
        <w:rPr>
          <w:color w:val="000000"/>
        </w:rPr>
      </w:pPr>
      <w:r>
        <w:rPr>
          <w:rFonts w:eastAsia="Arial" w:cs="Times New Roman" w:ascii="Times New Roman" w:hAnsi="Times New Roman"/>
          <w:bCs/>
          <w:color w:val="000000"/>
          <w:sz w:val="20"/>
          <w:szCs w:val="20"/>
        </w:rPr>
        <w:t>DBO (demanda biológica de oxígeno, DQO (demanda química de oxígeno), N.T (nitrógeno total), F.T (fosforo total), S.P (Solidos suspendidos), S.T (Solidos totales) y N.A (nitrógeno amoniacal). * Datos no obtenidos de la normatividad.</w:t>
      </w:r>
    </w:p>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b/>
          <w:bCs/>
          <w:color w:val="000000"/>
          <w:sz w:val="20"/>
          <w:szCs w:val="20"/>
        </w:rPr>
        <w:t>IV. DISCUSIÓN</w:t>
      </w:r>
    </w:p>
    <w:p>
      <w:pPr>
        <w:pStyle w:val="LOnormal"/>
        <w:spacing w:lineRule="auto" w:line="240"/>
        <w:jc w:val="both"/>
        <w:rPr>
          <w:color w:val="000000"/>
        </w:rPr>
      </w:pPr>
      <w:r>
        <w:rPr>
          <w:rFonts w:cs="Times New Roman" w:ascii="Times New Roman" w:hAnsi="Times New Roman"/>
          <w:color w:val="000000"/>
          <w:sz w:val="20"/>
          <w:szCs w:val="20"/>
        </w:rPr>
        <w:t>Los lixiviados del relleno sanitario de Valladolid, Yucatán, demuestran importantes riesgos para el medio ambiente y la salud pública debido a sus elevados niveles de contaminantes, como la Demanda Química de Oxígeno (DQO), el nitrógeno y el fósforo, que exceden los límites permitidos por la normativa mexicana. Estos datos demuestran la necesidad de un programa de gestión de residuos sólidos en la zona, con la finalidad de reducir el impacto negativo a la calidad del agua dulce. Aunque en comparación con el relleno sanitario de Mérida, los lixiviados de Valladolid presentan concentraciones más bajas de contaminantes orgánicos, el riesgo sigue siendo considerable si no se toman acciones inmediatas. La acumulación de estos contaminantes puede provocar eutrofización y dañar la biodiversidad acuática. Es crucial, por tanto, implementar soluciones más sostenibles y fortalecer la gestión de residuos en Valladolid para salvaguardar tanto la salud pública como los recursos hídricos.</w:t>
      </w:r>
    </w:p>
    <w:p>
      <w:pPr>
        <w:pStyle w:val="LOnormal"/>
        <w:spacing w:lineRule="auto" w:line="240"/>
        <w:jc w:val="both"/>
        <w:rPr>
          <w:rFonts w:ascii="Times New Roman" w:hAnsi="Times New Roman" w:cs="Times New Roman"/>
          <w:sz w:val="20"/>
          <w:szCs w:val="20"/>
        </w:rPr>
      </w:pPr>
      <w:r>
        <w:rPr>
          <w:color w:val="000000"/>
        </w:rPr>
      </w:r>
    </w:p>
    <w:p>
      <w:pPr>
        <w:pStyle w:val="LOnormal"/>
        <w:spacing w:lineRule="auto" w:line="240"/>
        <w:jc w:val="both"/>
        <w:rPr>
          <w:color w:val="000000"/>
        </w:rPr>
      </w:pPr>
      <w:r>
        <w:rPr>
          <w:rFonts w:eastAsia="Times New Roman" w:cs="Times New Roman" w:ascii="Times New Roman" w:hAnsi="Times New Roman"/>
          <w:color w:val="000000"/>
          <w:sz w:val="20"/>
          <w:szCs w:val="20"/>
        </w:rPr>
        <w:t>También existen estudios en otras regiones de México que han investigado la composición y toxicidad de los lixiviados generados en rellenos sanitarios, lo que</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permite ampliar el panorama sobre los riesgos ambientales asociados a este tipo de residuos. Por ejemplo, en el estudio realizado por Alcalde et al. (2019) en el relleno sanitario de Guadalajara, se observó que los lixiviados presentaban concentraciones significativamente altas de contaminantes como la Demanda Química de Oxígeno (DQO) y el Nitrógeno Total (N.T), superando en varios casos los valores encontrados en los rellenos sanitarios de Valladolid y Mérida. Esto indica que los lixiviados no solo varían dentro del estado de Yucatán, sino que las características y magnitud de la contaminación pueden ser sustancialmente diferentes en otras ciudades, en función de los tipos de residuos generados y las condiciones específicas de cada relleno sanitario. De manera similar, investigaciones en otras partes del mundo también han confirmado la heterogeneidad en la calidad de los lixiviados, como lo reportan Zhao et al. (2017) en su estudio de lixiviados en China, donde las altas concentraciones de nitrógeno y materia orgánica fueron identificadas como amenazas significativas para los cuerpos de agua locales. Esto indica la importancia de considerar no solo los parámetros normativos locales, sino también las características particulares de cada sitio de disposición final de residuos, dado que los lixiviados son influenciados por factores como el clima, la composición de los residuos y las prácticas de manejo en cada región.</w:t>
      </w:r>
    </w:p>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b/>
          <w:bCs/>
          <w:color w:val="000000"/>
          <w:sz w:val="20"/>
          <w:szCs w:val="20"/>
        </w:rPr>
        <w:t>V. CONCLUSIONES</w:t>
      </w:r>
    </w:p>
    <w:p>
      <w:pPr>
        <w:pStyle w:val="LOnormal"/>
        <w:spacing w:lineRule="auto" w:line="240"/>
        <w:jc w:val="both"/>
        <w:rPr>
          <w:color w:val="000000"/>
        </w:rPr>
      </w:pPr>
      <w:r>
        <w:rPr>
          <w:rFonts w:cs="Times New Roman" w:ascii="Times New Roman" w:hAnsi="Times New Roman"/>
          <w:color w:val="000000"/>
          <w:sz w:val="20"/>
          <w:szCs w:val="20"/>
        </w:rPr>
        <w:t>La investigación sobre los lixiviados del relleno sanitario de Valladolid, Yucatán, ha evidenciado la presencia de contaminantes, lo que implica riesgos significativos para la calidad del agua y la salud pública. Estos resultados reflejan la necesidad de mejorar la gestión de residuos en la región con el propósito de mitigar los efectos de la contaminación, especialmente de los recursos hídricos subterráneos que se encuentran en Yucatán. El presente estudio ofrece una base para futuras investigaciones, enfocadas en el monitoreo continuo de la calidad del lixiviado y el desarrollo de estrategias más sostenibles de manejo de residuos. Esto permitirá no solo prevenir mayores daños ambientales, sino también fortalecer las políticas de protección de los recursos hídricos que se encuentre en la región.</w:t>
      </w:r>
    </w:p>
    <w:p>
      <w:pPr>
        <w:pStyle w:val="LOnormal"/>
        <w:spacing w:lineRule="auto" w:line="24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rPr>
          <w:color w:val="000000"/>
        </w:rPr>
      </w:pPr>
      <w:r>
        <w:rPr>
          <w:rFonts w:eastAsia="Times New Roman" w:cs="Times New Roman" w:ascii="Times New Roman" w:hAnsi="Times New Roman"/>
          <w:b/>
          <w:bCs/>
          <w:color w:val="000000"/>
          <w:sz w:val="20"/>
          <w:szCs w:val="20"/>
        </w:rPr>
        <w:t>AGRADECIMIENTOS</w:t>
      </w:r>
    </w:p>
    <w:p>
      <w:pPr>
        <w:pStyle w:val="LOnormal"/>
        <w:jc w:val="both"/>
        <w:rPr>
          <w:color w:val="000000"/>
        </w:rPr>
      </w:pPr>
      <w:r>
        <w:rPr>
          <w:rFonts w:cs="Times New Roman" w:ascii="Times New Roman" w:hAnsi="Times New Roman"/>
          <w:color w:val="000000"/>
          <w:sz w:val="20"/>
          <w:szCs w:val="20"/>
        </w:rPr>
        <w:t>Este trabajo fue parcialmente financiado por el Tecnológico Nacional de México con número de proyecto 20048.24-PD, otorgado a Carlos A. Puch Hau. Se agradece a la Facultad de Ingeniería de la Universidad Autónoma de Yucatán, por las facilidades brindadas para el procesamiento de las muestras de lixiviado.</w:t>
      </w:r>
    </w:p>
    <w:p>
      <w:pPr>
        <w:pStyle w:val="LOnormal"/>
        <w:spacing w:lineRule="auto" w:line="24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rPr>
          <w:color w:val="000000"/>
        </w:rPr>
      </w:pPr>
      <w:r>
        <w:rPr>
          <w:rFonts w:eastAsia="Times New Roman" w:cs="Times New Roman" w:ascii="Times New Roman" w:hAnsi="Times New Roman"/>
          <w:b/>
          <w:bCs/>
          <w:color w:val="000000"/>
          <w:sz w:val="20"/>
          <w:szCs w:val="20"/>
        </w:rPr>
        <w:t>REFERENCIAS</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APHA-AWWA-WPCF (2005). Standard Methods for the Examina- tion of Water and Wastewater, 20th ed., American Public Heal- th Association, American Water Works Association and Water Pollution Control Federation: Washington DC.</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Alcalde, R., Sánchez, L., &amp; Pérez, J. (2019). Caracterización fisicoquímica de lixiviados en el relleno sanitario de Guadalajara, México. Revista de Ciencias Ambientales, 32(4), 89-104.</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Beddows, P., et. al. (2007) “Los cenotes de la península de Yucatán”, Arqueología Mexicana N° 83, pp 32-35.</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pPr>
      <w:r>
        <w:rPr>
          <w:rFonts w:cs="Times New Roman" w:ascii="Times New Roman" w:hAnsi="Times New Roman"/>
          <w:color w:val="000000" w:themeColor="text1"/>
          <w:sz w:val="20"/>
          <w:szCs w:val="20"/>
        </w:rPr>
        <w:t xml:space="preserve">Cañizares-Martínez, M. A., Quintanilla-Mena, M. A., Améndola-Pimenta, M., Rodríguez-Canul, R., Árcega-Cabrera, F., Del Río-García, M., Ceja-Moreno, V., Aguirre-Macedo, M. L., &amp; Puch-Hau, C. A. (2024). Multiple-Integrated Biomarker Indexes to Assess the Responses of the Flatfish </w:t>
      </w:r>
      <w:r>
        <w:rPr>
          <w:rFonts w:cs="Times New Roman" w:ascii="Times New Roman" w:hAnsi="Times New Roman"/>
          <w:i/>
          <w:iCs/>
          <w:color w:val="000000" w:themeColor="text1"/>
          <w:sz w:val="20"/>
          <w:szCs w:val="20"/>
        </w:rPr>
        <w:t>Achirus lineatus</w:t>
      </w:r>
      <w:r>
        <w:rPr>
          <w:rFonts w:cs="Times New Roman" w:ascii="Times New Roman" w:hAnsi="Times New Roman"/>
          <w:color w:val="000000" w:themeColor="text1"/>
          <w:sz w:val="20"/>
          <w:szCs w:val="20"/>
        </w:rPr>
        <w:t xml:space="preserve"> during Exposure to Light Crude Oil Water Accommodated Fraction. Bulletin Of Environmental Contamination And Toxicology, 113(5). </w:t>
      </w:r>
      <w:r>
        <w:rPr>
          <w:rStyle w:val="Url"/>
          <w:rFonts w:cs="Times New Roman" w:ascii="Times New Roman" w:hAnsi="Times New Roman"/>
          <w:color w:val="000000" w:themeColor="text1"/>
          <w:sz w:val="20"/>
          <w:szCs w:val="20"/>
        </w:rPr>
        <w:t>https://doi.org/10.1007/s00128-024-03967-x</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Ensañat, F. et. al (2020) “Percepción de congestión y dimensión social de la capacidad de carga en cenotes de Yucatán”, Cuadernos de Turismo, N° 45, pp. 93-112.</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 xml:space="preserve">Escalante-Mañe, A.M., Hernández-Nuñez, E., Méndez-Novelo, R.I. et al. Exposure to Landfill Leachates Affects </w:t>
      </w:r>
    </w:p>
    <w:p>
      <w:pPr>
        <w:pStyle w:val="LOnormal"/>
        <w:spacing w:lineRule="auto" w:line="240"/>
        <w:jc w:val="both"/>
        <w:rPr>
          <w:color w:val="000000"/>
        </w:rPr>
      </w:pPr>
      <w:r>
        <w:rPr>
          <w:rFonts w:eastAsia="Times New Roman" w:cs="Times New Roman" w:ascii="Times New Roman" w:hAnsi="Times New Roman"/>
          <w:color w:val="000000"/>
          <w:sz w:val="20"/>
          <w:szCs w:val="20"/>
        </w:rPr>
        <w:t xml:space="preserve">the Embryonic Development of Zebrafish, </w:t>
      </w:r>
      <w:r>
        <w:rPr>
          <w:rFonts w:eastAsia="Times New Roman" w:cs="Times New Roman" w:ascii="Times New Roman" w:hAnsi="Times New Roman"/>
          <w:i/>
          <w:iCs/>
          <w:color w:val="000000"/>
          <w:sz w:val="20"/>
          <w:szCs w:val="20"/>
        </w:rPr>
        <w:t>Danio rerio</w:t>
      </w:r>
      <w:r>
        <w:rPr>
          <w:rFonts w:eastAsia="Times New Roman" w:cs="Times New Roman" w:ascii="Times New Roman" w:hAnsi="Times New Roman"/>
          <w:color w:val="000000"/>
          <w:sz w:val="20"/>
          <w:szCs w:val="20"/>
        </w:rPr>
        <w:t>: A Case Study in Yucatan, Mexico. Bull Environ Contam Toxicol 108, 526–531 (2022).</w:t>
      </w:r>
      <w:r>
        <w:rPr>
          <w:rFonts w:cs="Times New Roman" w:ascii="Times New Roman" w:hAnsi="Times New Roman"/>
          <w:color w:val="000000"/>
        </w:rPr>
        <w:t xml:space="preserve"> </w:t>
      </w:r>
    </w:p>
    <w:p>
      <w:pPr>
        <w:pStyle w:val="LOnormal"/>
        <w:spacing w:lineRule="auto" w:line="240"/>
        <w:jc w:val="both"/>
        <w:rPr>
          <w:rFonts w:ascii="Times New Roman" w:hAnsi="Times New Roman" w:cs="Times New Roman"/>
          <w:color w:val="000000"/>
        </w:rPr>
      </w:pPr>
      <w:r>
        <w:rPr>
          <w:rFonts w:cs="Times New Roman" w:ascii="Times New Roman" w:hAnsi="Times New Roman"/>
          <w:color w:val="000000"/>
        </w:rPr>
      </w:r>
    </w:p>
    <w:p>
      <w:pPr>
        <w:pStyle w:val="LOnormal"/>
        <w:spacing w:lineRule="auto" w:line="240"/>
        <w:jc w:val="both"/>
        <w:rPr/>
      </w:pPr>
      <w:r>
        <w:rPr>
          <w:rFonts w:cs="Times New Roman" w:ascii="Times New Roman" w:hAnsi="Times New Roman"/>
          <w:color w:val="000000" w:themeColor="text1"/>
          <w:sz w:val="20"/>
          <w:szCs w:val="20"/>
        </w:rPr>
        <w:t>Escalante-Mañé, A., Méndez-Novelo, R., Giácoman-Vallejos, G., González-Sánchez, A., Romo-Alvarado, J., Collí-Dulá, R., Quintal-Franco, C., &amp; Puch-Hau, C. (2022). Enhanced removal of persistent contaminants and toxicity reduction through the application of a triple-stage fenton process to sanitary landfill leachates from Yucatan, Mexico. Química Nova. </w:t>
      </w:r>
      <w:r>
        <w:rPr>
          <w:rStyle w:val="Url"/>
          <w:rFonts w:cs="Times New Roman" w:ascii="Times New Roman" w:hAnsi="Times New Roman"/>
          <w:color w:val="000000" w:themeColor="text1"/>
          <w:sz w:val="20"/>
          <w:szCs w:val="20"/>
        </w:rPr>
        <w:t>https://doi.org/10.21577/0100-4042.20170866</w:t>
      </w:r>
    </w:p>
    <w:p>
      <w:pPr>
        <w:pStyle w:val="LOnormal"/>
        <w:spacing w:lineRule="auto" w:line="240"/>
        <w:jc w:val="both"/>
        <w:rPr>
          <w:rFonts w:ascii="Times New Roman" w:hAnsi="Times New Roman" w:cs="Times New Roman"/>
          <w:color w:val="000000"/>
        </w:rPr>
      </w:pPr>
      <w:r>
        <w:rPr>
          <w:rFonts w:cs="Times New Roman" w:ascii="Times New Roman" w:hAnsi="Times New Roman"/>
          <w:color w:val="000000"/>
        </w:rPr>
      </w:r>
    </w:p>
    <w:p>
      <w:pPr>
        <w:pStyle w:val="LOnormal"/>
        <w:spacing w:lineRule="auto" w:line="240"/>
        <w:jc w:val="both"/>
        <w:rPr>
          <w:color w:val="000000"/>
        </w:rPr>
      </w:pPr>
      <w:r>
        <w:rPr>
          <w:rFonts w:eastAsia="Times New Roman" w:cs="Times New Roman" w:ascii="Times New Roman" w:hAnsi="Times New Roman"/>
          <w:color w:val="000000"/>
          <w:sz w:val="20"/>
          <w:szCs w:val="20"/>
        </w:rPr>
        <w:t>López Arellano, G. I. (2023). Toxicidad de los lixiviados de residuos sólidos municipales: una amenaza para la seguridad hídrica en Yucatán. Experiencias científicas, tecnológicas y de innovación (ECTI).</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Martínez, R., Pérez, A., &amp; Sánchez, T. (2018). Caracterización de lixiviados generados en rellenos sanitarios y su relación con la calidad del agua subterránea. Ecología y Sociedad, 23(4), 15-28.</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color w:val="000000"/>
        </w:rPr>
      </w:pPr>
      <w:r>
        <w:rPr>
          <w:rFonts w:eastAsia="Times New Roman" w:cs="Times New Roman" w:ascii="Times New Roman" w:hAnsi="Times New Roman"/>
          <w:color w:val="000000"/>
          <w:sz w:val="20"/>
          <w:szCs w:val="20"/>
        </w:rPr>
        <w:t>Secretaría de Medio Ambiente y Recursos Naturales (SEMARNAT). (2022). Norma Oficial Mexicana NOM-001-SEMARNAT-2021, que establece los límites permisibles de contaminantes en las descargas de aguas residuales en cuerpos receptores propiedad de la nación.</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jc w:val="both"/>
        <w:rPr/>
      </w:pPr>
      <w:r>
        <w:rPr>
          <w:rFonts w:cs="Times New Roman" w:ascii="Times New Roman" w:hAnsi="Times New Roman"/>
          <w:color w:val="000000" w:themeColor="text1"/>
          <w:sz w:val="20"/>
          <w:szCs w:val="20"/>
        </w:rPr>
        <w:t>Valladolid: Economía, empleo, equidad, calidad de vida,</w:t>
      </w:r>
      <w:r>
        <w:rPr>
          <w:rFonts w:cs="Times New Roman" w:ascii="Times New Roman" w:hAnsi="Times New Roman"/>
          <w:color w:val="000000" w:themeColor="text1"/>
          <w:sz w:val="20"/>
          <w:szCs w:val="20"/>
          <w:bdr w:val="single" w:sz="2" w:space="0" w:color="ECEDEE"/>
        </w:rPr>
        <w:t xml:space="preserve"> </w:t>
      </w:r>
      <w:r>
        <w:rPr>
          <w:rFonts w:cs="Times New Roman" w:ascii="Times New Roman" w:hAnsi="Times New Roman"/>
          <w:color w:val="000000" w:themeColor="text1"/>
          <w:sz w:val="20"/>
          <w:szCs w:val="20"/>
        </w:rPr>
        <w:t>educación, salud y seguridad pública Data México. (s. f.). Data México. </w:t>
      </w:r>
      <w:r>
        <w:rPr>
          <w:rStyle w:val="Url"/>
          <w:rFonts w:cs="Times New Roman" w:ascii="Times New Roman" w:hAnsi="Times New Roman"/>
          <w:color w:val="000000" w:themeColor="text1"/>
          <w:sz w:val="20"/>
          <w:szCs w:val="20"/>
        </w:rPr>
        <w:t>https://www.economia.gob.mx/datamexico/es/profile/geo/valladolid?redirect=true#:~:text=Acerca%20de%20Valladolid&amp;text=En%202020%2C%20la%20poblaci%C3%B3n%20en,6.47%25%20respecto%20al%20a%C3%B1o%20anterior</w:t>
      </w:r>
      <w:r>
        <w:rPr>
          <w:rStyle w:val="Url"/>
          <w:rFonts w:cs="Times New Roman" w:ascii="Times New Roman" w:hAnsi="Times New Roman"/>
          <w:color w:val="000000" w:themeColor="text1"/>
          <w:sz w:val="20"/>
          <w:szCs w:val="20"/>
          <w:bdr w:val="single" w:sz="2" w:space="0" w:color="ECEDEE"/>
        </w:rPr>
        <w:t>.</w:t>
      </w:r>
    </w:p>
    <w:p>
      <w:pPr>
        <w:pStyle w:val="LOnormal"/>
        <w:spacing w:lineRule="auto" w:line="24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color w:val="000000"/>
        </w:rPr>
      </w:pPr>
      <w:r>
        <w:rPr>
          <w:rFonts w:cs="Times New Roman" w:ascii="Times New Roman" w:hAnsi="Times New Roman"/>
          <w:color w:val="000000"/>
          <w:sz w:val="20"/>
          <w:szCs w:val="20"/>
        </w:rPr>
        <w:t>Zhao, Y., Lu, W., Wang, H., &amp; Zhang, X. (2017). Long-term monitoring and prediction of leachate characteristics in a large landfill: A case study in China. Waste Management, 63, 329-340.</w:t>
      </w:r>
    </w:p>
    <w:p>
      <w:pPr>
        <w:pStyle w:val="LOnormal"/>
        <w:spacing w:lineRule="auto" w:line="240"/>
        <w:ind w:right="124"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Onormal"/>
        <w:spacing w:lineRule="auto" w:line="240"/>
        <w:ind w:right="124" w:hanging="0"/>
        <w:jc w:val="both"/>
        <w:rPr/>
      </w:pPr>
      <w:r>
        <w:rPr/>
      </w:r>
    </w:p>
    <w:p>
      <w:pPr>
        <w:sectPr>
          <w:type w:val="continuous"/>
          <w:pgSz w:w="11906" w:h="16838"/>
          <w:pgMar w:left="1134" w:right="1134" w:header="1133" w:top="1598" w:footer="1133" w:bottom="1729" w:gutter="0"/>
          <w:cols w:num="2" w:space="282" w:equalWidth="true" w:sep="false"/>
          <w:formProt w:val="false"/>
          <w:textDirection w:val="lrTb"/>
          <w:docGrid w:type="default" w:linePitch="600" w:charSpace="32768"/>
        </w:sectPr>
      </w:pPr>
    </w:p>
    <w:sectPr>
      <w:headerReference w:type="even" r:id="rId10"/>
      <w:headerReference w:type="default" r:id="rId11"/>
      <w:footerReference w:type="even" r:id="rId12"/>
      <w:footerReference w:type="default" r:id="rId13"/>
      <w:type w:val="continuous"/>
      <w:pgSz w:w="11906" w:h="16838"/>
      <w:pgMar w:left="1134" w:right="1134" w:header="1133" w:top="1598" w:footer="1133" w:bottom="1729" w:gutter="0"/>
      <w:pgBorders w:display="allPages" w:offsetFrom="page">
        <w:top w:val="single" w:sz="4" w:space="24" w:color="auto"/>
        <w:bottom w:val="single" w:sz="4" w:space="24" w:color="auto"/>
      </w:pgBorders>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rFonts w:ascii="Cantarell" w:hAnsi="Cantarell" w:eastAsia="Arial" w:cs="Arial"/>
        <w:sz w:val="16"/>
        <w:szCs w:val="16"/>
      </w:rPr>
    </w:pPr>
    <w:r>
      <w:rPr>
        <w:rFonts w:eastAsia="Arial" w:cs="Arial" w:ascii="Cantarell" w:hAnsi="Cantarell"/>
        <w:sz w:val="16"/>
        <w:szCs w:val="16"/>
      </w:rPr>
    </w:r>
  </w:p>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04</w:t>
          </w:r>
          <w:r>
            <w:rPr>
              <w:rFonts w:ascii="Times New Roman" w:hAnsi="Times New Roman"/>
              <w:sz w:val="16"/>
              <w:szCs w:val="16"/>
            </w:rPr>
            <w:t>/</w:t>
          </w:r>
          <w:r>
            <w:rPr>
              <w:rFonts w:ascii="Times New Roman" w:hAnsi="Times New Roman"/>
              <w:sz w:val="16"/>
              <w:szCs w:val="16"/>
            </w:rPr>
            <w:t>Agosto</w:t>
          </w:r>
          <w:r>
            <w:rPr>
              <w:rFonts w:ascii="Times New Roman" w:hAnsi="Times New Roman"/>
              <w:sz w:val="16"/>
              <w:szCs w:val="16"/>
            </w:rPr>
            <w:t>/</w:t>
          </w:r>
          <w:r>
            <w:rPr>
              <w:rFonts w:ascii="Times New Roman" w:hAnsi="Times New Roman"/>
              <w:sz w:val="16"/>
              <w:szCs w:val="16"/>
            </w:rPr>
            <w:t>2024</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20</w:t>
          </w:r>
          <w:r>
            <w:rPr>
              <w:rFonts w:ascii="Times New Roman" w:hAnsi="Times New Roman"/>
              <w:sz w:val="16"/>
              <w:szCs w:val="16"/>
            </w:rPr>
            <w:t>/</w:t>
          </w:r>
          <w:r>
            <w:rPr>
              <w:rFonts w:ascii="Times New Roman" w:hAnsi="Times New Roman"/>
              <w:sz w:val="16"/>
              <w:szCs w:val="16"/>
            </w:rPr>
            <w:t>Diciembre</w:t>
          </w:r>
          <w:r>
            <w:rPr>
              <w:rFonts w:ascii="Times New Roman" w:hAnsi="Times New Roman"/>
              <w:sz w:val="16"/>
              <w:szCs w:val="16"/>
            </w:rPr>
            <w:t>/</w:t>
          </w:r>
          <w:r>
            <w:rPr>
              <w:rFonts w:ascii="Times New Roman" w:hAnsi="Times New Roman"/>
              <w:sz w:val="16"/>
              <w:szCs w:val="16"/>
            </w:rPr>
            <w:t>2024</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rFonts w:ascii="Cantarell" w:hAnsi="Cantarell" w:eastAsia="Arial" w:cs="Arial"/>
        <w:sz w:val="16"/>
        <w:szCs w:val="16"/>
      </w:rPr>
    </w:pPr>
    <w:r>
      <w:rPr>
        <w:rFonts w:eastAsia="Arial" w:cs="Arial" w:ascii="Cantarell" w:hAnsi="Cantarell"/>
        <w:sz w:val="16"/>
        <w:szCs w:val="16"/>
      </w:rPr>
    </w:r>
  </w:p>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39</w:t>
    </w:r>
    <w:r>
      <w:rPr>
        <w:rFonts w:ascii="Times New Roman" w:hAnsi="Times New Roman"/>
        <w:i/>
        <w:iCs/>
        <w:sz w:val="16"/>
        <w:szCs w:val="16"/>
      </w:rPr>
      <w:t>-</w:t>
    </w:r>
    <w:r>
      <w:rPr>
        <w:rFonts w:ascii="Times New Roman" w:hAnsi="Times New Roman"/>
        <w:i/>
        <w:iCs/>
        <w:sz w:val="16"/>
        <w:szCs w:val="16"/>
      </w:rPr>
      <w:t>45</w:t>
    </w:r>
    <w:r>
      <w:rPr>
        <w:rFonts w:ascii="Times New Roman" w:hAnsi="Times New Roman"/>
        <w:i/>
        <w:iCs/>
        <w:sz w:val="16"/>
        <w:szCs w:val="16"/>
      </w:rPr>
      <w:t>, Enero - Junio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39</w:t>
    </w:r>
    <w:r>
      <w:rPr>
        <w:rFonts w:ascii="Times New Roman" w:hAnsi="Times New Roman"/>
        <w:i/>
        <w:iCs/>
        <w:sz w:val="16"/>
        <w:szCs w:val="16"/>
      </w:rPr>
      <w:t>-</w:t>
    </w:r>
    <w:r>
      <w:rPr>
        <w:rFonts w:ascii="Times New Roman" w:hAnsi="Times New Roman"/>
        <w:i/>
        <w:iCs/>
        <w:sz w:val="16"/>
        <w:szCs w:val="16"/>
      </w:rPr>
      <w:t>45</w:t>
    </w:r>
    <w:r>
      <w:rPr>
        <w:rFonts w:ascii="Times New Roman" w:hAnsi="Times New Roman"/>
        <w:i/>
        <w:iCs/>
        <w:sz w:val="16"/>
        <w:szCs w:val="16"/>
      </w:rPr>
      <w:t>, Enero - Junio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 xml:space="preserve">Vol. </w:t>
          </w:r>
          <w:r>
            <w:rPr>
              <w:rFonts w:eastAsia="Times New Roman" w:cs="Times New Roman" w:ascii="Times New Roman" w:hAnsi="Times New Roman"/>
              <w:sz w:val="20"/>
              <w:szCs w:val="20"/>
            </w:rPr>
            <w:t>10</w:t>
          </w:r>
          <w:r>
            <w:rPr>
              <w:rFonts w:eastAsia="Times New Roman" w:cs="Times New Roman" w:ascii="Times New Roman" w:hAnsi="Times New Roman"/>
              <w:sz w:val="20"/>
              <w:szCs w:val="20"/>
            </w:rPr>
            <w:t xml:space="preserve">, No. </w:t>
          </w:r>
          <w:r>
            <w:rPr>
              <w:rFonts w:eastAsia="Times New Roman" w:cs="Times New Roman" w:ascii="Times New Roman" w:hAnsi="Times New Roman"/>
              <w:sz w:val="20"/>
              <w:szCs w:val="20"/>
            </w:rPr>
            <w:t>22</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39</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45</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2025</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39</w:t>
    </w:r>
    <w:r>
      <w:rPr>
        <w:rFonts w:ascii="Times New Roman" w:hAnsi="Times New Roman"/>
        <w:i/>
        <w:iCs/>
        <w:sz w:val="16"/>
        <w:szCs w:val="16"/>
      </w:rPr>
      <w:t>-</w:t>
    </w:r>
    <w:r>
      <w:rPr>
        <w:rFonts w:ascii="Times New Roman" w:hAnsi="Times New Roman"/>
        <w:i/>
        <w:iCs/>
        <w:sz w:val="16"/>
        <w:szCs w:val="16"/>
      </w:rPr>
      <w:t>45</w:t>
    </w:r>
    <w:r>
      <w:rPr>
        <w:rFonts w:ascii="Times New Roman" w:hAnsi="Times New Roman"/>
        <w:i/>
        <w:iCs/>
        <w:sz w:val="16"/>
        <w:szCs w:val="16"/>
      </w:rPr>
      <w:t>, Enero - Junio 2025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39</w:t>
    </w:r>
    <w:r>
      <w:rPr>
        <w:rFonts w:ascii="Times New Roman" w:hAnsi="Times New Roman"/>
        <w:i/>
        <w:iCs/>
        <w:sz w:val="16"/>
        <w:szCs w:val="16"/>
      </w:rPr>
      <w:t>-</w:t>
    </w:r>
    <w:r>
      <w:rPr>
        <w:rFonts w:ascii="Times New Roman" w:hAnsi="Times New Roman"/>
        <w:i/>
        <w:iCs/>
        <w:sz w:val="16"/>
        <w:szCs w:val="16"/>
      </w:rPr>
      <w:t>45</w:t>
    </w:r>
    <w:r>
      <w:rPr>
        <w:rFonts w:ascii="Times New Roman" w:hAnsi="Times New Roman"/>
        <w:i/>
        <w:iCs/>
        <w:sz w:val="16"/>
        <w:szCs w:val="16"/>
      </w:rPr>
      <w:t>, Enero - Junio 2025</w:t>
    </w:r>
  </w:p>
</w:hdr>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3567"/>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paragraph" w:styleId="Ttulo2">
    <w:name w:val="Heading 2"/>
    <w:basedOn w:val="Normal"/>
    <w:next w:val="Normal"/>
    <w:link w:val="Ttulo2Car"/>
    <w:uiPriority w:val="9"/>
    <w:unhideWhenUsed/>
    <w:qFormat/>
    <w:rsid w:val="00892d2e"/>
    <w:pPr>
      <w:keepNext w:val="true"/>
      <w:keepLines/>
      <w:spacing w:before="40" w:after="0"/>
      <w:outlineLvl w:val="1"/>
    </w:pPr>
    <w:rPr>
      <w:rFonts w:ascii="Calibri Light" w:hAnsi="Calibri Light" w:eastAsia="" w:cs="Mangal" w:asciiTheme="majorHAnsi" w:eastAsiaTheme="majorEastAsia" w:hAnsiTheme="majorHAnsi"/>
      <w:color w:val="2F5496" w:themeColor="accent1" w:themeShade="bf"/>
      <w:sz w:val="26"/>
      <w:szCs w:val="23"/>
    </w:rPr>
  </w:style>
  <w:style w:type="paragraph" w:styleId="Ttulo3">
    <w:name w:val="Heading 3"/>
    <w:basedOn w:val="Normal"/>
    <w:next w:val="Normal"/>
    <w:link w:val="Ttulo3Car"/>
    <w:uiPriority w:val="9"/>
    <w:semiHidden/>
    <w:unhideWhenUsed/>
    <w:qFormat/>
    <w:rsid w:val="00892d2e"/>
    <w:pPr>
      <w:keepNext w:val="true"/>
      <w:keepLines/>
      <w:spacing w:before="40" w:after="0"/>
      <w:outlineLvl w:val="2"/>
    </w:pPr>
    <w:rPr>
      <w:rFonts w:ascii="Calibri Light" w:hAnsi="Calibri Light" w:eastAsia="" w:cs="Mangal" w:asciiTheme="majorHAnsi" w:eastAsiaTheme="majorEastAsia" w:hAnsiTheme="majorHAnsi"/>
      <w:color w:val="1F3763" w:themeColor="accent1" w:themeShade="7f"/>
      <w:szCs w:val="21"/>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910059"/>
    <w:rPr>
      <w:color w:val="0563C1" w:themeColor="hyperlink"/>
      <w:u w:val="single"/>
    </w:rPr>
  </w:style>
  <w:style w:type="character" w:styleId="Character20style" w:customStyle="1">
    <w:name w:val="Character_20_style"/>
    <w:qFormat/>
    <w:rPr/>
  </w:style>
  <w:style w:type="character" w:styleId="Mencinsinresolver1" w:customStyle="1">
    <w:name w:val="Mención sin resolver1"/>
    <w:basedOn w:val="DefaultParagraphFont"/>
    <w:uiPriority w:val="99"/>
    <w:semiHidden/>
    <w:unhideWhenUsed/>
    <w:qFormat/>
    <w:rsid w:val="00910059"/>
    <w:rPr>
      <w:color w:val="605E5C"/>
      <w:shd w:fill="E1DFDD" w:val="clear"/>
    </w:rPr>
  </w:style>
  <w:style w:type="character" w:styleId="Annotationreference">
    <w:name w:val="annotation reference"/>
    <w:basedOn w:val="DefaultParagraphFont"/>
    <w:uiPriority w:val="99"/>
    <w:semiHidden/>
    <w:unhideWhenUsed/>
    <w:qFormat/>
    <w:rsid w:val="00d1304d"/>
    <w:rPr>
      <w:sz w:val="16"/>
      <w:szCs w:val="16"/>
    </w:rPr>
  </w:style>
  <w:style w:type="character" w:styleId="TextocomentarioCar" w:customStyle="1">
    <w:name w:val="Texto comentario Car"/>
    <w:basedOn w:val="DefaultParagraphFont"/>
    <w:link w:val="Textocomentario"/>
    <w:uiPriority w:val="99"/>
    <w:semiHidden/>
    <w:qFormat/>
    <w:rsid w:val="00d1304d"/>
    <w:rPr>
      <w:rFonts w:cs="Mangal"/>
      <w:sz w:val="20"/>
      <w:szCs w:val="18"/>
    </w:rPr>
  </w:style>
  <w:style w:type="character" w:styleId="AsuntodelcomentarioCar" w:customStyle="1">
    <w:name w:val="Asunto del comentario Car"/>
    <w:basedOn w:val="TextocomentarioCar"/>
    <w:link w:val="Asuntodelcomentario"/>
    <w:uiPriority w:val="99"/>
    <w:semiHidden/>
    <w:qFormat/>
    <w:rsid w:val="00d1304d"/>
    <w:rPr>
      <w:rFonts w:cs="Mangal"/>
      <w:b/>
      <w:bCs/>
      <w:sz w:val="20"/>
      <w:szCs w:val="18"/>
    </w:rPr>
  </w:style>
  <w:style w:type="character" w:styleId="TextodegloboCar" w:customStyle="1">
    <w:name w:val="Texto de globo Car"/>
    <w:basedOn w:val="DefaultParagraphFont"/>
    <w:link w:val="Textodeglobo"/>
    <w:uiPriority w:val="99"/>
    <w:semiHidden/>
    <w:qFormat/>
    <w:rsid w:val="00d1304d"/>
    <w:rPr>
      <w:rFonts w:ascii="Segoe UI" w:hAnsi="Segoe UI" w:cs="Mangal"/>
      <w:sz w:val="18"/>
      <w:szCs w:val="16"/>
    </w:rPr>
  </w:style>
  <w:style w:type="character" w:styleId="Mencinsinresolver2" w:customStyle="1">
    <w:name w:val="Mención sin resolver2"/>
    <w:basedOn w:val="DefaultParagraphFont"/>
    <w:uiPriority w:val="99"/>
    <w:semiHidden/>
    <w:unhideWhenUsed/>
    <w:qFormat/>
    <w:rsid w:val="00892d2e"/>
    <w:rPr>
      <w:color w:val="605E5C"/>
      <w:shd w:fill="E1DFDD" w:val="clear"/>
    </w:rPr>
  </w:style>
  <w:style w:type="character" w:styleId="Ttulo3Car" w:customStyle="1">
    <w:name w:val="Título 3 Car"/>
    <w:basedOn w:val="DefaultParagraphFont"/>
    <w:link w:val="Ttulo3"/>
    <w:uiPriority w:val="9"/>
    <w:semiHidden/>
    <w:qFormat/>
    <w:rsid w:val="00892d2e"/>
    <w:rPr>
      <w:rFonts w:ascii="Calibri Light" w:hAnsi="Calibri Light" w:eastAsia="" w:cs="Mangal" w:asciiTheme="majorHAnsi" w:eastAsiaTheme="majorEastAsia" w:hAnsiTheme="majorHAnsi"/>
      <w:color w:val="1F3763" w:themeColor="accent1" w:themeShade="7f"/>
      <w:szCs w:val="21"/>
    </w:rPr>
  </w:style>
  <w:style w:type="character" w:styleId="Go" w:customStyle="1">
    <w:name w:val="go"/>
    <w:basedOn w:val="DefaultParagraphFont"/>
    <w:qFormat/>
    <w:rsid w:val="00892d2e"/>
    <w:rPr/>
  </w:style>
  <w:style w:type="character" w:styleId="Ttulo2Car" w:customStyle="1">
    <w:name w:val="Título 2 Car"/>
    <w:basedOn w:val="DefaultParagraphFont"/>
    <w:link w:val="Ttulo2"/>
    <w:uiPriority w:val="9"/>
    <w:qFormat/>
    <w:rsid w:val="00892d2e"/>
    <w:rPr>
      <w:rFonts w:ascii="Calibri Light" w:hAnsi="Calibri Light" w:eastAsia="" w:cs="Mangal" w:asciiTheme="majorHAnsi" w:eastAsiaTheme="majorEastAsia" w:hAnsiTheme="majorHAnsi"/>
      <w:color w:val="2F5496" w:themeColor="accent1" w:themeShade="bf"/>
      <w:sz w:val="26"/>
      <w:szCs w:val="23"/>
    </w:rPr>
  </w:style>
  <w:style w:type="character" w:styleId="Url" w:customStyle="1">
    <w:name w:val="url"/>
    <w:basedOn w:val="DefaultParagraphFont"/>
    <w:qFormat/>
    <w:rsid w:val="00b5570a"/>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Annotationtext">
    <w:name w:val="annotation text"/>
    <w:basedOn w:val="Normal"/>
    <w:link w:val="TextocomentarioCar"/>
    <w:uiPriority w:val="99"/>
    <w:semiHidden/>
    <w:unhideWhenUsed/>
    <w:qFormat/>
    <w:rsid w:val="00d1304d"/>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d1304d"/>
    <w:pPr/>
    <w:rPr>
      <w:b/>
      <w:bCs/>
    </w:rPr>
  </w:style>
  <w:style w:type="paragraph" w:styleId="BalloonText">
    <w:name w:val="Balloon Text"/>
    <w:basedOn w:val="Normal"/>
    <w:link w:val="TextodegloboCar"/>
    <w:uiPriority w:val="99"/>
    <w:semiHidden/>
    <w:unhideWhenUsed/>
    <w:qFormat/>
    <w:rsid w:val="00d1304d"/>
    <w:pPr/>
    <w:rPr>
      <w:rFonts w:ascii="Segoe UI" w:hAnsi="Segoe UI" w:cs="Mangal"/>
      <w:sz w:val="18"/>
      <w:szCs w:val="16"/>
    </w:rPr>
  </w:style>
  <w:style w:type="paragraph" w:styleId="NormalWeb">
    <w:name w:val="Normal (Web)"/>
    <w:basedOn w:val="Normal"/>
    <w:uiPriority w:val="99"/>
    <w:semiHidden/>
    <w:unhideWhenUsed/>
    <w:qFormat/>
    <w:rsid w:val="0006059e"/>
    <w:pPr>
      <w:suppressAutoHyphens w:val="false"/>
      <w:overflowPunct w:val="false"/>
      <w:spacing w:beforeAutospacing="1" w:afterAutospacing="1"/>
    </w:pPr>
    <w:rPr>
      <w:rFonts w:ascii="Times New Roman" w:hAnsi="Times New Roman" w:eastAsia="Times New Roman" w:cs="Times New Roman"/>
      <w:kern w:val="0"/>
      <w:lang w:eastAsia="es-MX"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0232bd"/>
    <w:rPr>
      <w:lang w:eastAsia="es-MX"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3">
    <w:name w:val="Table Normal3"/>
    <w:rsid w:val="00181acf"/>
    <w:pPr>
      <w:spacing w:after="160" w:line="259" w:lineRule="auto"/>
    </w:pPr>
    <w:rPr>
      <w:lang w:eastAsia="es-MX" w:bidi="ar-SA"/>
      <w:sz w:val="22"/>
      <w:szCs w:val="22"/>
    </w:rPr>
    <w:tblPr>
      <w:tblCellMar>
        <w:top w:w="0" w:type="dxa"/>
        <w:left w:w="0" w:type="dxa"/>
        <w:bottom w:w="0" w:type="dxa"/>
        <w:right w:w="0" w:type="dxa"/>
      </w:tblCellMar>
    </w:tblPr>
  </w:style>
  <w:style w:type="table" w:customStyle="1" w:styleId="TableNormal2">
    <w:name w:val="Table Normal2"/>
    <w:rsid w:val="00181acf"/>
    <w:pPr>
      <w:spacing w:after="160" w:line="259" w:lineRule="auto"/>
    </w:pPr>
    <w:rPr>
      <w:lang w:eastAsia="es-MX"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219C-428A-4B04-9CA8-2283F264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LibreOffice/7.0.4.2$Linux_X86_64 LibreOffice_project/00$Build-2</Application>
  <AppVersion>15.0000</AppVersion>
  <Pages>7</Pages>
  <Words>4302</Words>
  <Characters>24612</Characters>
  <CharactersWithSpaces>28705</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2024-12-20T16:03:00Z</dcterms:created>
  <dc:creator>Jennifer Ronquillo Gonzalez</dc:creator>
  <dc:description/>
  <dc:language>es-MX</dc:language>
  <cp:lastModifiedBy/>
  <dcterms:modified xsi:type="dcterms:W3CDTF">2024-12-26T23:36:20Z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