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3.xml.rels" ContentType="application/vnd.openxmlformats-package.relationships+xml"/>
  <Override PartName="/word/footer5.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settings.xml" ContentType="application/vnd.openxmlformats-officedocument.wordprocessingml.settings+xml"/>
  <Override PartName="/word/footer1.xml" ContentType="application/vnd.openxmlformats-officedocument.wordprocessingml.footer+xml"/>
  <Override PartName="/word/numbering.xml" ContentType="application/vnd.openxmlformats-officedocument.wordprocessingml.numbering+xml"/>
  <Override PartName="/word/document.xml" ContentType="application/vnd.openxmlformats-officedocument.wordprocessingml.document.main+xml"/>
  <Override PartName="/word/header2.xml" ContentType="application/vnd.openxmlformats-officedocument.wordprocessingml.header+xml"/>
  <Override PartName="/word/media/image1.png" ContentType="image/png"/>
  <Override PartName="/word/media/image2.png" ContentType="image/png"/>
  <Override PartName="/word/media/image3.png" ContentType="image/png"/>
  <Override PartName="/word/media/image4.png" ContentType="image/png"/>
  <Override PartName="/word/media/image5.png" ContentType="image/png"/>
  <Override PartName="/word/media/image6.png" ContentType="image/png"/>
  <Override PartName="/word/fontTable.xml" ContentType="application/vnd.openxmlformats-officedocument.wordprocessingml.fontTable+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ascii="Times New Roman" w:hAnsi="Times New Roman" w:cs="Times New Roman"/>
          <w:sz w:val="44"/>
          <w:szCs w:val="44"/>
        </w:rPr>
      </w:pPr>
      <w:bookmarkStart w:id="0" w:name="_Hlk191463954"/>
      <w:bookmarkEnd w:id="0"/>
      <w:r>
        <w:rPr>
          <w:rFonts w:cs="Times New Roman" w:ascii="Times New Roman" w:hAnsi="Times New Roman"/>
          <w:sz w:val="44"/>
          <w:szCs w:val="44"/>
        </w:rPr>
        <w:t>Estrategias de mejora continua para estudiantes de octavo semestre enfocadas en psicología positiva</w:t>
      </w:r>
    </w:p>
    <w:p>
      <w:pPr>
        <w:pStyle w:val="Normal"/>
        <w:ind w:left="118" w:right="115" w:hanging="0"/>
        <w:jc w:val="both"/>
        <w:rPr>
          <w:rFonts w:ascii="Times New Roman" w:hAnsi="Times New Roman"/>
          <w:color w:val="000000"/>
          <w:sz w:val="20"/>
          <w:szCs w:val="20"/>
        </w:rPr>
      </w:pPr>
      <w:r>
        <w:rPr>
          <w:rFonts w:ascii="Times New Roman" w:hAnsi="Times New Roman"/>
          <w:color w:val="000000"/>
          <w:sz w:val="20"/>
          <w:szCs w:val="20"/>
        </w:rPr>
      </w:r>
    </w:p>
    <w:p>
      <w:pPr>
        <w:pStyle w:val="Normal"/>
        <w:ind w:right="115" w:hanging="0"/>
        <w:jc w:val="center"/>
        <w:rPr>
          <w:rFonts w:ascii="Times New Roman" w:hAnsi="Times New Roman" w:eastAsia="Liberation Mono" w:cs="Liberation Mono"/>
          <w:color w:val="000000"/>
          <w:sz w:val="36"/>
          <w:szCs w:val="36"/>
          <w:lang w:val="en-US"/>
        </w:rPr>
      </w:pPr>
      <w:r>
        <w:rPr>
          <w:rFonts w:eastAsia="Liberation Mono" w:cs="Liberation Mono" w:ascii="Times New Roman" w:hAnsi="Times New Roman"/>
          <w:color w:val="000000"/>
          <w:sz w:val="36"/>
          <w:szCs w:val="36"/>
          <w:lang w:val="en"/>
        </w:rPr>
        <w:t>Continuous improvement strategies for eighth semester students focused on positive psychology</w:t>
      </w:r>
    </w:p>
    <w:p>
      <w:pPr>
        <w:pStyle w:val="Normal"/>
        <w:ind w:right="115" w:hanging="0"/>
        <w:jc w:val="both"/>
        <w:rPr>
          <w:rFonts w:ascii="Times New Roman" w:hAnsi="Times New Roman"/>
          <w:color w:val="000000"/>
          <w:sz w:val="20"/>
          <w:szCs w:val="20"/>
          <w:lang w:val="en-US"/>
        </w:rPr>
      </w:pPr>
      <w:r>
        <w:rPr>
          <w:rFonts w:ascii="Times New Roman" w:hAnsi="Times New Roman"/>
          <w:color w:val="000000"/>
          <w:sz w:val="20"/>
          <w:szCs w:val="20"/>
          <w:lang w:val="en-US"/>
        </w:rPr>
      </w:r>
    </w:p>
    <w:p>
      <w:pPr>
        <w:pStyle w:val="Normal"/>
        <w:ind w:right="115" w:hanging="0"/>
        <w:jc w:val="center"/>
        <w:rPr>
          <w:rFonts w:ascii="Times New Roman" w:hAnsi="Times New Roman"/>
        </w:rPr>
      </w:pPr>
      <w:r>
        <w:rPr>
          <w:rFonts w:ascii="Times New Roman" w:hAnsi="Times New Roman"/>
          <w:color w:val="000000"/>
        </w:rPr>
        <w:t>Pamela Lopez Granados</w:t>
      </w:r>
      <w:r>
        <w:rPr>
          <w:rFonts w:ascii="Times New Roman" w:hAnsi="Times New Roman"/>
          <w:color w:val="000000"/>
          <w:vertAlign w:val="superscript"/>
        </w:rPr>
        <w:t>1*</w:t>
      </w:r>
      <w:r>
        <w:rPr>
          <w:rFonts w:ascii="Times New Roman" w:hAnsi="Times New Roman"/>
          <w:color w:val="000000"/>
        </w:rPr>
        <w:t>, Haley Paloma Ramírez Hernández,</w:t>
      </w:r>
      <w:r>
        <w:rPr>
          <w:rFonts w:ascii="Times New Roman" w:hAnsi="Times New Roman"/>
          <w:color w:val="000000"/>
          <w:vertAlign w:val="superscript"/>
        </w:rPr>
        <w:t>1</w:t>
      </w:r>
      <w:r>
        <w:rPr>
          <w:rFonts w:ascii="Times New Roman" w:hAnsi="Times New Roman"/>
          <w:color w:val="000000"/>
        </w:rPr>
        <w:t xml:space="preserve"> </w:t>
      </w:r>
    </w:p>
    <w:p>
      <w:pPr>
        <w:pStyle w:val="Normal"/>
        <w:ind w:right="115" w:hanging="0"/>
        <w:jc w:val="center"/>
        <w:rPr>
          <w:rFonts w:ascii="Times New Roman" w:hAnsi="Times New Roman"/>
        </w:rPr>
      </w:pPr>
      <w:r>
        <w:rPr>
          <w:rFonts w:ascii="Times New Roman" w:hAnsi="Times New Roman"/>
          <w:color w:val="000000"/>
        </w:rPr>
        <w:t>Elisa Maria Torres Ramírez</w:t>
      </w:r>
      <w:r>
        <w:rPr>
          <w:rFonts w:ascii="Times New Roman" w:hAnsi="Times New Roman"/>
          <w:color w:val="000000"/>
          <w:vertAlign w:val="superscript"/>
        </w:rPr>
        <w:t>1</w:t>
      </w:r>
      <w:r>
        <w:rPr>
          <w:rFonts w:ascii="Times New Roman" w:hAnsi="Times New Roman"/>
          <w:color w:val="000000"/>
        </w:rPr>
        <w:t xml:space="preserve"> </w:t>
      </w:r>
      <w:r>
        <w:rPr>
          <w:rFonts w:ascii="Times New Roman" w:hAnsi="Times New Roman"/>
          <w:color w:val="000000"/>
        </w:rPr>
        <w:t xml:space="preserve">y </w:t>
      </w:r>
      <w:r>
        <w:rPr>
          <w:rFonts w:ascii="Times New Roman" w:hAnsi="Times New Roman"/>
          <w:color w:val="000000"/>
        </w:rPr>
        <w:t>Nayely Estephania Cortinas Jara</w:t>
      </w:r>
      <w:r>
        <w:rPr>
          <w:rFonts w:ascii="Times New Roman" w:hAnsi="Times New Roman"/>
          <w:color w:val="000000"/>
          <w:vertAlign w:val="superscript"/>
        </w:rPr>
        <w:t>1</w:t>
      </w:r>
    </w:p>
    <w:p>
      <w:pPr>
        <w:pStyle w:val="Normal"/>
        <w:ind w:left="118" w:right="116" w:hanging="0"/>
        <w:jc w:val="center"/>
        <w:rPr>
          <w:rFonts w:ascii="Times New Roman" w:hAnsi="Times New Roman"/>
          <w:b/>
          <w:b/>
          <w:color w:val="000000"/>
          <w:sz w:val="20"/>
          <w:szCs w:val="20"/>
        </w:rPr>
      </w:pPr>
      <w:r>
        <w:rPr>
          <w:rFonts w:ascii="Times New Roman" w:hAnsi="Times New Roman"/>
          <w:b/>
          <w:color w:val="000000"/>
          <w:sz w:val="20"/>
          <w:szCs w:val="20"/>
        </w:rPr>
      </w:r>
    </w:p>
    <w:p>
      <w:pPr>
        <w:pStyle w:val="Normal"/>
        <w:jc w:val="center"/>
        <w:rPr/>
      </w:pPr>
      <w:r>
        <w:rPr>
          <w:rFonts w:cs="Times New Roman" w:ascii="Times New Roman" w:hAnsi="Times New Roman"/>
          <w:i/>
          <w:iCs/>
          <w:vertAlign w:val="superscript"/>
        </w:rPr>
        <w:t>1</w:t>
      </w:r>
      <w:r>
        <w:rPr>
          <w:rFonts w:cs="Times New Roman" w:ascii="Times New Roman" w:hAnsi="Times New Roman"/>
          <w:i/>
          <w:iCs/>
          <w:position w:val="0"/>
          <w:sz w:val="24"/>
          <w:vertAlign w:val="baseline"/>
        </w:rPr>
        <w:t xml:space="preserve">Tecnológico Nacional de México, </w:t>
      </w:r>
      <w:r>
        <w:rPr>
          <w:rFonts w:cs="Times New Roman" w:ascii="Times New Roman" w:hAnsi="Times New Roman"/>
          <w:i/>
          <w:iCs/>
        </w:rPr>
        <w:t xml:space="preserve">Instituto Tecnológico Superior </w:t>
      </w:r>
      <w:r>
        <w:rPr>
          <w:rFonts w:cs="Times New Roman" w:ascii="Times New Roman" w:hAnsi="Times New Roman"/>
          <w:i/>
          <w:iCs/>
        </w:rPr>
        <w:t>d</w:t>
      </w:r>
      <w:r>
        <w:rPr>
          <w:rFonts w:cs="Times New Roman" w:ascii="Times New Roman" w:hAnsi="Times New Roman"/>
          <w:i/>
          <w:iCs/>
        </w:rPr>
        <w:t xml:space="preserve">e San Pedro De Las Colonias, Calzada del Tecnológico #53, CP 27800, </w:t>
      </w:r>
      <w:r>
        <w:rPr>
          <w:rFonts w:cs="Times New Roman" w:ascii="Times New Roman" w:hAnsi="Times New Roman"/>
          <w:i/>
          <w:iCs/>
        </w:rPr>
        <w:t>c</w:t>
      </w:r>
      <w:r>
        <w:rPr>
          <w:rFonts w:cs="Times New Roman" w:ascii="Times New Roman" w:hAnsi="Times New Roman"/>
          <w:i/>
          <w:iCs/>
        </w:rPr>
        <w:t>ol</w:t>
      </w:r>
      <w:r>
        <w:rPr>
          <w:rFonts w:cs="Times New Roman" w:ascii="Times New Roman" w:hAnsi="Times New Roman"/>
          <w:i/>
          <w:iCs/>
        </w:rPr>
        <w:t>onia</w:t>
      </w:r>
      <w:r>
        <w:rPr>
          <w:rFonts w:cs="Times New Roman" w:ascii="Times New Roman" w:hAnsi="Times New Roman"/>
          <w:i/>
          <w:iCs/>
        </w:rPr>
        <w:t xml:space="preserve"> El Tecnológico, </w:t>
      </w:r>
    </w:p>
    <w:p>
      <w:pPr>
        <w:pStyle w:val="Normal"/>
        <w:jc w:val="center"/>
        <w:rPr/>
      </w:pPr>
      <w:r>
        <w:rPr>
          <w:rFonts w:cs="Times New Roman" w:ascii="Times New Roman" w:hAnsi="Times New Roman"/>
          <w:i/>
          <w:iCs/>
        </w:rPr>
        <w:t xml:space="preserve">San Pedro, Coahuila de Zaragoza, </w:t>
      </w:r>
      <w:r>
        <w:rPr>
          <w:rFonts w:cs="Times New Roman" w:ascii="Times New Roman" w:hAnsi="Times New Roman"/>
          <w:i/>
          <w:iCs/>
        </w:rPr>
        <w:t>México.</w:t>
      </w:r>
    </w:p>
    <w:p>
      <w:pPr>
        <w:pStyle w:val="Normal"/>
        <w:rPr>
          <w:rFonts w:ascii="Times New Roman" w:hAnsi="Times New Roman"/>
          <w:i/>
          <w:i/>
          <w:iCs/>
          <w:sz w:val="20"/>
          <w:szCs w:val="20"/>
        </w:rPr>
      </w:pPr>
      <w:r>
        <w:rPr>
          <w:rFonts w:ascii="Times New Roman" w:hAnsi="Times New Roman"/>
          <w:i/>
          <w:iCs/>
          <w:sz w:val="20"/>
          <w:szCs w:val="20"/>
        </w:rPr>
      </w:r>
    </w:p>
    <w:p>
      <w:pPr>
        <w:pStyle w:val="Normal"/>
        <w:jc w:val="center"/>
        <w:rPr>
          <w:rFonts w:ascii="Times New Roman" w:hAnsi="Times New Roman"/>
          <w:i/>
          <w:i/>
          <w:iCs/>
          <w:sz w:val="20"/>
          <w:szCs w:val="20"/>
          <w:lang w:val="en-US"/>
        </w:rPr>
      </w:pPr>
      <w:r>
        <w:rPr>
          <w:rFonts w:ascii="Times New Roman" w:hAnsi="Times New Roman"/>
          <w:i/>
          <w:iCs/>
          <w:sz w:val="20"/>
          <w:szCs w:val="20"/>
          <w:lang w:val="en-US"/>
        </w:rPr>
        <w:t xml:space="preserve">*Corresponding author: </w:t>
      </w:r>
    </w:p>
    <w:p>
      <w:pPr>
        <w:pStyle w:val="Normal"/>
        <w:jc w:val="center"/>
        <w:rPr>
          <w:rFonts w:ascii="Times New Roman" w:hAnsi="Times New Roman"/>
          <w:i/>
          <w:i/>
          <w:iCs/>
          <w:sz w:val="20"/>
          <w:szCs w:val="20"/>
          <w:lang w:val="en-US"/>
        </w:rPr>
      </w:pPr>
      <w:r>
        <w:rPr>
          <w:rFonts w:ascii="Times New Roman" w:hAnsi="Times New Roman"/>
          <w:i/>
          <w:iCs/>
          <w:sz w:val="20"/>
          <w:szCs w:val="20"/>
          <w:lang w:val="en-US"/>
        </w:rPr>
        <w:t>pamela.lopez@tecsanpedro.edu.mx</w:t>
      </w:r>
    </w:p>
    <w:p>
      <w:pPr>
        <w:pStyle w:val="Normal"/>
        <w:rPr>
          <w:rFonts w:ascii="Times New Roman" w:hAnsi="Times New Roman"/>
          <w:color w:val="000000"/>
          <w:sz w:val="20"/>
          <w:szCs w:val="20"/>
          <w:lang w:val="en-US"/>
        </w:rPr>
      </w:pPr>
      <w:r>
        <w:rPr>
          <w:rFonts w:ascii="Times New Roman" w:hAnsi="Times New Roman"/>
          <w:color w:val="000000"/>
          <w:sz w:val="20"/>
          <w:szCs w:val="20"/>
          <w:lang w:val="en-US"/>
        </w:rPr>
      </w:r>
    </w:p>
    <w:p>
      <w:pPr>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134" w:right="1134" w:header="1134" w:top="1601" w:footer="1134" w:bottom="1729" w:gutter="0"/>
          <w:pgNumType w:start="1" w:fmt="decimal"/>
          <w:formProt w:val="false"/>
          <w:titlePg/>
          <w:textDirection w:val="lrTb"/>
          <w:docGrid w:type="default" w:linePitch="600" w:charSpace="32768"/>
        </w:sectPr>
      </w:pPr>
    </w:p>
    <w:p>
      <w:pPr>
        <w:pStyle w:val="Ttulo1"/>
        <w:widowControl w:val="false"/>
        <w:spacing w:before="0" w:after="0"/>
        <w:ind w:left="0" w:right="0" w:hanging="0"/>
        <w:jc w:val="both"/>
        <w:rPr>
          <w:rFonts w:ascii="Times New Roman" w:hAnsi="Times New Roman" w:eastAsia="Times New Roman" w:cs="Times New Roman"/>
          <w:color w:val="000000"/>
        </w:rPr>
      </w:pPr>
      <w:r>
        <w:rPr>
          <w:rFonts w:ascii="Times New Roman" w:hAnsi="Times New Roman"/>
        </w:rPr>
        <w:t xml:space="preserve">Resumen. </w:t>
      </w:r>
      <w:r>
        <w:rPr>
          <w:rFonts w:cs="Times New Roman" w:ascii="Times New Roman" w:hAnsi="Times New Roman"/>
          <w:sz w:val="20"/>
          <w:szCs w:val="20"/>
        </w:rPr>
        <w:t>Las prácticas profesionales tienen la finalidad de contribuir en la formación integral del alumno, las cuales le permiten ante realidades concretas, consolidar las competencias profesionales; desarrollar habilidades para la solución de problemas; y reafirmar su compromiso social y ético, de tal forma que la falta de comunicación y desenvolvimiento en los alumnos de ingeniería de octavo semestre es muy notorio cuando van a su entrevista de prácticas o residencias profesionales, porque desconocen las metas y anhelos que tienen a futuro en su vida personal,  es por eso que dentro de este trabajo se generaran e implementaran estrategias en base a la psicología positiva educativa desde una perspectiva positiva que centra su atención en sus fortalezas para generar un buen ambiente de trabajo y un desarrollo personal más constante. Así mismo se implementó la metodología MEFE y MEFI para determinar las carencias que estos tenían y así desarrollar estrategias que ayuden al mejoramiento del individuo.</w:t>
      </w:r>
    </w:p>
    <w:p>
      <w:pPr>
        <w:pStyle w:val="Normal"/>
        <w:jc w:val="both"/>
        <w:rPr>
          <w:rFonts w:ascii="Times New Roman" w:hAnsi="Times New Roman"/>
          <w:b/>
          <w:b/>
          <w:sz w:val="20"/>
          <w:szCs w:val="20"/>
        </w:rPr>
      </w:pPr>
      <w:r>
        <w:rPr>
          <w:rFonts w:ascii="Times New Roman" w:hAnsi="Times New Roman"/>
          <w:b/>
          <w:sz w:val="20"/>
          <w:szCs w:val="20"/>
        </w:rPr>
      </w:r>
    </w:p>
    <w:p>
      <w:pPr>
        <w:pStyle w:val="Normal"/>
        <w:jc w:val="both"/>
        <w:rPr>
          <w:rFonts w:ascii="Times New Roman" w:hAnsi="Times New Roman"/>
          <w:b/>
          <w:b/>
          <w:bCs/>
          <w:sz w:val="20"/>
          <w:szCs w:val="20"/>
        </w:rPr>
      </w:pPr>
      <w:r>
        <w:rPr>
          <w:rFonts w:ascii="Times New Roman" w:hAnsi="Times New Roman"/>
          <w:b/>
          <w:bCs/>
          <w:sz w:val="20"/>
          <w:szCs w:val="20"/>
        </w:rPr>
        <w:t xml:space="preserve">Palabras </w:t>
      </w:r>
      <w:r>
        <w:rPr>
          <w:rFonts w:ascii="Times New Roman" w:hAnsi="Times New Roman"/>
          <w:b/>
          <w:bCs/>
          <w:sz w:val="20"/>
          <w:szCs w:val="20"/>
        </w:rPr>
        <w:t>c</w:t>
      </w:r>
      <w:r>
        <w:rPr>
          <w:rFonts w:ascii="Times New Roman" w:hAnsi="Times New Roman"/>
          <w:b/>
          <w:bCs/>
          <w:sz w:val="20"/>
          <w:szCs w:val="20"/>
        </w:rPr>
        <w:t xml:space="preserve">lave: </w:t>
      </w:r>
      <w:r>
        <w:rPr>
          <w:rFonts w:eastAsia="Times New Roman" w:cs="Times New Roman" w:ascii="Times New Roman" w:hAnsi="Times New Roman"/>
          <w:b/>
          <w:bCs/>
          <w:sz w:val="20"/>
          <w:szCs w:val="20"/>
        </w:rPr>
        <w:t>Educación positiva, MEFE y MEFI, Psicología positiva, estudiantes.</w:t>
      </w:r>
    </w:p>
    <w:p>
      <w:pPr>
        <w:pStyle w:val="Normal"/>
        <w:jc w:val="both"/>
        <w:rPr>
          <w:rFonts w:ascii="Times New Roman" w:hAnsi="Times New Roman"/>
          <w:b/>
          <w:b/>
          <w:bCs/>
          <w:color w:val="000000"/>
          <w:sz w:val="20"/>
          <w:szCs w:val="20"/>
        </w:rPr>
      </w:pPr>
      <w:r>
        <w:rPr>
          <w:rFonts w:ascii="Times New Roman" w:hAnsi="Times New Roman"/>
          <w:b/>
          <w:bCs/>
          <w:color w:val="000000"/>
          <w:sz w:val="20"/>
          <w:szCs w:val="20"/>
        </w:rPr>
      </w:r>
    </w:p>
    <w:p>
      <w:pPr>
        <w:pStyle w:val="Ttulo1"/>
        <w:widowControl w:val="false"/>
        <w:spacing w:before="0" w:after="0"/>
        <w:ind w:left="0" w:right="0" w:hanging="0"/>
        <w:jc w:val="both"/>
        <w:rPr>
          <w:rFonts w:ascii="Times New Roman" w:hAnsi="Times New Roman" w:eastAsia="Times New Roman" w:cs="Times New Roman"/>
          <w:lang w:val="en-US"/>
        </w:rPr>
      </w:pPr>
      <w:r>
        <w:rPr>
          <w:rFonts w:ascii="Times New Roman" w:hAnsi="Times New Roman"/>
          <w:lang w:val="en-US"/>
        </w:rPr>
        <w:t xml:space="preserve">Abstract. </w:t>
      </w:r>
      <w:r>
        <w:rPr>
          <w:rFonts w:cs="Times New Roman" w:ascii="Times New Roman" w:hAnsi="Times New Roman"/>
          <w:sz w:val="20"/>
          <w:szCs w:val="20"/>
          <w:lang w:val="en-US"/>
        </w:rPr>
        <w:t>Professional internships are intended to contribute to the comprehensive training of students, which allow them to consolidate professional skills in concrete realities; develop problem-solving skills; and reaffirm their social and ethical commitment, so that the lack of communication and development in eighth-semester engineering students is very noticeable when they go to their internship interview or professional residencies, because they are unaware of the goals and desires they have for the future in their personal lives. That is why within this work, strategies will be generated and implemented based on positive educational psychology from a positive perspective that focuses on their strengths to generate a good work environment and a more constant personal development. Likewise, the MEFE and MEFI methodology was implemented to determine the deficiencies that they had and thus develop strategies that help the improvement of the individual.</w:t>
      </w:r>
    </w:p>
    <w:p>
      <w:pPr>
        <w:pStyle w:val="Normal"/>
        <w:jc w:val="both"/>
        <w:rPr>
          <w:rFonts w:ascii="Times New Roman" w:hAnsi="Times New Roman" w:cs="Times New Roman"/>
          <w:b/>
          <w:b/>
          <w:bCs/>
          <w:sz w:val="20"/>
          <w:szCs w:val="20"/>
          <w:lang w:val="en-US"/>
        </w:rPr>
      </w:pPr>
      <w:r>
        <w:rPr>
          <w:rFonts w:cs="Times New Roman" w:ascii="Times New Roman" w:hAnsi="Times New Roman"/>
          <w:b/>
          <w:bCs/>
          <w:sz w:val="20"/>
          <w:szCs w:val="20"/>
          <w:lang w:val="en-US"/>
        </w:rPr>
      </w:r>
    </w:p>
    <w:p>
      <w:pPr>
        <w:pStyle w:val="Normal"/>
        <w:jc w:val="both"/>
        <w:rPr>
          <w:rFonts w:ascii="Times New Roman" w:hAnsi="Times New Roman" w:cs="Times New Roman"/>
          <w:b/>
          <w:b/>
          <w:bCs/>
          <w:sz w:val="20"/>
          <w:szCs w:val="20"/>
          <w:lang w:val="en-US"/>
        </w:rPr>
      </w:pPr>
      <w:r>
        <w:rPr>
          <w:rFonts w:cs="Times New Roman" w:ascii="Times New Roman" w:hAnsi="Times New Roman"/>
          <w:b/>
          <w:bCs/>
          <w:sz w:val="20"/>
          <w:szCs w:val="20"/>
          <w:lang w:val="en-US"/>
        </w:rPr>
        <w:t>Keywords: Positive education, MEFE and MEFI, Positive psychology, students.</w:t>
      </w:r>
    </w:p>
    <w:p>
      <w:pPr>
        <w:pStyle w:val="Ttulo1"/>
        <w:widowControl w:val="false"/>
        <w:spacing w:before="0" w:after="0"/>
        <w:ind w:left="0" w:right="0" w:hanging="0"/>
        <w:jc w:val="both"/>
        <w:rPr>
          <w:rFonts w:ascii="Times New Roman" w:hAnsi="Times New Roman"/>
          <w:b w:val="false"/>
          <w:b w:val="false"/>
          <w:bCs w:val="false"/>
          <w:lang w:val="en-US"/>
        </w:rPr>
      </w:pPr>
      <w:r>
        <w:rPr>
          <w:rFonts w:ascii="Times New Roman" w:hAnsi="Times New Roman"/>
          <w:b w:val="false"/>
          <w:bCs w:val="false"/>
          <w:lang w:val="en-US"/>
        </w:rPr>
      </w:r>
    </w:p>
    <w:p>
      <w:pPr>
        <w:pStyle w:val="Normal"/>
        <w:ind w:left="118" w:hanging="0"/>
        <w:rPr>
          <w:rFonts w:ascii="Times New Roman" w:hAnsi="Times New Roman"/>
          <w:sz w:val="20"/>
          <w:szCs w:val="20"/>
          <w:lang w:val="en-US"/>
        </w:rPr>
      </w:pPr>
      <w:r>
        <w:rPr>
          <w:rFonts w:ascii="Times New Roman" w:hAnsi="Times New Roman"/>
          <w:sz w:val="20"/>
          <w:szCs w:val="20"/>
          <w:lang w:val="en-US"/>
        </w:rPr>
      </w:r>
    </w:p>
    <w:p>
      <w:pPr>
        <w:pStyle w:val="Ttulo1"/>
        <w:widowControl w:val="false"/>
        <w:spacing w:before="0" w:after="0"/>
        <w:ind w:left="0" w:right="0" w:hanging="0"/>
        <w:jc w:val="left"/>
        <w:rPr>
          <w:rFonts w:ascii="Times New Roman" w:hAnsi="Times New Roman"/>
        </w:rPr>
      </w:pPr>
      <w:bookmarkStart w:id="1" w:name="_heading=h.97e7t0ql9gj5"/>
      <w:bookmarkEnd w:id="1"/>
      <w:r>
        <w:rPr>
          <w:rFonts w:ascii="Times New Roman" w:hAnsi="Times New Roman"/>
        </w:rPr>
        <w:t>I. INTRODUCCIÓN</w:t>
      </w:r>
    </w:p>
    <w:p>
      <w:pPr>
        <w:pStyle w:val="LOnormal"/>
        <w:spacing w:lineRule="auto" w:line="240"/>
        <w:ind w:right="124" w:hanging="0"/>
        <w:jc w:val="both"/>
        <w:rPr>
          <w:rFonts w:ascii="Times New Roman" w:hAnsi="Times New Roman" w:cs="Times New Roman"/>
          <w:sz w:val="20"/>
          <w:szCs w:val="20"/>
        </w:rPr>
      </w:pPr>
      <w:r>
        <w:rPr>
          <w:rFonts w:cs="Times New Roman" w:ascii="Times New Roman" w:hAnsi="Times New Roman"/>
          <w:i w:val="false"/>
          <w:iCs w:val="false"/>
          <w:sz w:val="20"/>
          <w:szCs w:val="20"/>
        </w:rPr>
        <w:t xml:space="preserve">Según (APA, 2022) </w:t>
      </w:r>
      <w:r>
        <w:rPr>
          <w:rFonts w:cs="Times New Roman" w:ascii="Times New Roman" w:hAnsi="Times New Roman"/>
          <w:sz w:val="20"/>
          <w:szCs w:val="20"/>
        </w:rPr>
        <w:t>Estudios recientes demuestran que un enfoque de educación positiva, que promueve habilidades socioemocionales como la empatía, la autorregulación y la resolución de conflictos, contribuye al bienestar emocional y psicológico de los estudiantes. Según investigaciones publicadas por la Asociación Americana de Psicología (APA), este tipo de enfoque reduce el estrés académico y mejora la motivación en el aula; por tal motivo se desarrollo en algunos grupos de octavo semestre un análisis,  donde se encontró la mayor problemática relacionada la falta de psicología educacional, es decir la escuela prioriza los primeros semestres para mantener a los alumnos mediante talleres y materias de humanidades que les permite desenvolverse dentro de la vida estudiantil y canalizar sus emociones y que el último semestre cuando ya se van a enfrentar con su vida laboral los alumnos se empiezan asentir desmotivados y con miedo del que puede pasar en su futuro, lo que nos impulsa a generar e implementar estrategias de liderazgo</w:t>
      </w:r>
    </w:p>
    <w:p>
      <w:pPr>
        <w:pStyle w:val="LOnormal"/>
        <w:jc w:val="both"/>
        <w:rPr>
          <w:lang w:val="en-US"/>
        </w:rPr>
      </w:pPr>
      <w:r>
        <w:rPr/>
      </w:r>
      <w:bookmarkStart w:id="2" w:name="3pfjxnouhw7e"/>
      <w:bookmarkStart w:id="3" w:name="3pfjxnouhw7e"/>
      <w:bookmarkEnd w:id="3"/>
    </w:p>
    <w:p>
      <w:pPr>
        <w:pStyle w:val="LOnormal"/>
        <w:jc w:val="both"/>
        <w:rPr>
          <w:lang w:val="en-US"/>
        </w:rPr>
      </w:pPr>
      <w:r>
        <w:rPr>
          <w:rFonts w:eastAsia="Times New Roman" w:cs="Times New Roman" w:ascii="Times New Roman" w:hAnsi="Times New Roman"/>
          <w:b/>
          <w:bCs/>
          <w:sz w:val="20"/>
          <w:szCs w:val="20"/>
        </w:rPr>
        <w:t>II. METODOLOGÍA</w:t>
      </w:r>
    </w:p>
    <w:p>
      <w:pPr>
        <w:pStyle w:val="Normal"/>
        <w:jc w:val="both"/>
        <w:rPr>
          <w:rFonts w:ascii="Times New Roman" w:hAnsi="Times New Roman" w:cs="Times New Roman"/>
          <w:sz w:val="20"/>
          <w:szCs w:val="20"/>
        </w:rPr>
      </w:pPr>
      <w:r>
        <w:rPr>
          <w:rFonts w:cs="Times New Roman" w:ascii="Times New Roman" w:hAnsi="Times New Roman"/>
          <w:sz w:val="20"/>
          <w:szCs w:val="20"/>
        </w:rPr>
        <w:t xml:space="preserve">El Instituto Tecnológico </w:t>
      </w:r>
      <w:r>
        <w:rPr>
          <w:rFonts w:cs="Times New Roman" w:ascii="Times New Roman" w:hAnsi="Times New Roman"/>
          <w:sz w:val="20"/>
          <w:szCs w:val="20"/>
        </w:rPr>
        <w:t>Superior</w:t>
      </w:r>
      <w:r>
        <w:rPr>
          <w:rFonts w:cs="Times New Roman" w:ascii="Times New Roman" w:hAnsi="Times New Roman"/>
          <w:sz w:val="20"/>
          <w:szCs w:val="20"/>
        </w:rPr>
        <w:t xml:space="preserve"> </w:t>
      </w:r>
      <w:r>
        <w:rPr>
          <w:rFonts w:cs="Times New Roman" w:ascii="Times New Roman" w:hAnsi="Times New Roman"/>
          <w:sz w:val="20"/>
          <w:szCs w:val="20"/>
        </w:rPr>
        <w:t>d</w:t>
      </w:r>
      <w:r>
        <w:rPr>
          <w:rFonts w:cs="Times New Roman" w:ascii="Times New Roman" w:hAnsi="Times New Roman"/>
          <w:sz w:val="20"/>
          <w:szCs w:val="20"/>
        </w:rPr>
        <w:t xml:space="preserve">e San Pedro ofrece servicios de educación superior tecnológica de calidad, pertinente y equitativa que coadyuve a la conformación de una sociedad justa y humana, con una perspectiva de sustentabilidad y seguridad. </w:t>
      </w:r>
    </w:p>
    <w:p>
      <w:pPr>
        <w:pStyle w:val="Normal"/>
        <w:jc w:val="both"/>
        <w:rPr>
          <w:rFonts w:ascii="Times New Roman" w:hAnsi="Times New Roman" w:cs="Times New Roman"/>
          <w:sz w:val="20"/>
          <w:szCs w:val="20"/>
        </w:rPr>
      </w:pPr>
      <w:r>
        <w:rPr/>
      </w:r>
    </w:p>
    <w:p>
      <w:pPr>
        <w:pStyle w:val="Normal"/>
        <w:jc w:val="both"/>
        <w:rPr>
          <w:rFonts w:ascii="Times New Roman" w:hAnsi="Times New Roman" w:cs="Times New Roman"/>
          <w:sz w:val="20"/>
          <w:szCs w:val="20"/>
        </w:rPr>
      </w:pPr>
      <w:r>
        <w:rPr>
          <w:rFonts w:cs="Times New Roman" w:ascii="Times New Roman" w:hAnsi="Times New Roman"/>
          <w:sz w:val="20"/>
          <w:szCs w:val="20"/>
        </w:rPr>
        <w:t xml:space="preserve">La institución cuenta con 4 planes académicos diferentes de ingeniería, cada plan académico tiene un coordinador que es el que se encarga de desarrollar y cumplir con los objetivos de cada una de las ingenierías, para poder lograr esto ellos se basan en los planes de estudios emitidos por el </w:t>
      </w:r>
      <w:r>
        <w:rPr>
          <w:rFonts w:cs="Times New Roman" w:ascii="Times New Roman" w:hAnsi="Times New Roman"/>
          <w:sz w:val="20"/>
          <w:szCs w:val="20"/>
        </w:rPr>
        <w:t>Tecnológico Nacional de México (</w:t>
      </w:r>
      <w:r>
        <w:rPr>
          <w:rFonts w:cs="Times New Roman" w:ascii="Times New Roman" w:hAnsi="Times New Roman"/>
          <w:sz w:val="20"/>
          <w:szCs w:val="20"/>
        </w:rPr>
        <w:t>TECNM</w:t>
      </w:r>
      <w:r>
        <w:rPr>
          <w:rFonts w:cs="Times New Roman" w:ascii="Times New Roman" w:hAnsi="Times New Roman"/>
          <w:sz w:val="20"/>
          <w:szCs w:val="20"/>
        </w:rPr>
        <w:t>)</w:t>
      </w:r>
      <w:r>
        <w:rPr>
          <w:rFonts w:cs="Times New Roman" w:ascii="Times New Roman" w:hAnsi="Times New Roman"/>
          <w:sz w:val="20"/>
          <w:szCs w:val="20"/>
        </w:rPr>
        <w:t xml:space="preserve"> y mismos que son distribuidos entre su personal a cargo. </w:t>
      </w:r>
    </w:p>
    <w:p>
      <w:pPr>
        <w:pStyle w:val="Normal"/>
        <w:jc w:val="both"/>
        <w:rPr>
          <w:rFonts w:ascii="Times New Roman" w:hAnsi="Times New Roman" w:cs="Times New Roman"/>
          <w:sz w:val="20"/>
          <w:szCs w:val="20"/>
        </w:rPr>
      </w:pPr>
      <w:r>
        <w:rPr/>
      </w:r>
    </w:p>
    <w:p>
      <w:pPr>
        <w:pStyle w:val="Normal"/>
        <w:jc w:val="both"/>
        <w:rPr>
          <w:rFonts w:ascii="Times New Roman" w:hAnsi="Times New Roman" w:cs="Times New Roman"/>
          <w:sz w:val="20"/>
          <w:szCs w:val="20"/>
        </w:rPr>
      </w:pPr>
      <w:r>
        <w:rPr>
          <w:rFonts w:cs="Times New Roman" w:ascii="Times New Roman" w:hAnsi="Times New Roman"/>
          <w:sz w:val="20"/>
          <w:szCs w:val="20"/>
        </w:rPr>
        <w:t>El plan educativo es de 4 años y medio, referentes a 9 semestres, de los cuales 8 de ellos son académicos y 1 le pertenece a residencias profesionales, durante su estadía en la institución el alumnado solo lleva materias de humanidades o sociales en los primeros semestres, dejando los últimos semestres para materias de especialización y formación profesional, dejando a un lado las materias y talleres de desarrollo humano, lo que implica que el estudiante al momento de llegar a su último semestre académico no se encuentre motivado por la falta de empatía que existe en el mismo, al no saber identificar que es lo que realmente quiere y esto genera que en su vida académica se irregularice, para poder comprender esto de forma cuantitativa se desarrollara un análisis FODA para empezar a delimitar los posibles problemas por los que surge tal actividad y a su vez aplicar la metodología MEFE Y MEFI para generar estrategias enfocadas en psicología positiva.</w:t>
      </w:r>
    </w:p>
    <w:p>
      <w:pPr>
        <w:pStyle w:val="Normal"/>
        <w:jc w:val="both"/>
        <w:rPr>
          <w:rFonts w:ascii="Times New Roman" w:hAnsi="Times New Roman" w:cs="Times New Roman"/>
          <w:sz w:val="20"/>
          <w:szCs w:val="20"/>
        </w:rPr>
      </w:pPr>
      <w:r>
        <w:rPr/>
      </w:r>
    </w:p>
    <w:p>
      <w:pPr>
        <w:pStyle w:val="Normal"/>
        <w:jc w:val="both"/>
        <w:rPr>
          <w:rFonts w:ascii="Times New Roman" w:hAnsi="Times New Roman" w:cs="Times New Roman"/>
          <w:sz w:val="20"/>
          <w:szCs w:val="20"/>
        </w:rPr>
      </w:pPr>
      <w:r>
        <w:rPr>
          <w:rFonts w:cs="Times New Roman" w:ascii="Times New Roman" w:hAnsi="Times New Roman"/>
          <w:sz w:val="20"/>
          <w:szCs w:val="20"/>
        </w:rPr>
        <w:t>Al realizar un análisis en la retícula de los estudiantes, se pudo observar que los alumnos que van en octavo semestre cuentan con la menor cantidad de materias dedicadas al desarrollo humanitario o a la psicología positiva para que les ayude a mejorar sus relaciones interpersonales al momento de llegar a su etapa de prácticas o residencias profesionales.</w:t>
      </w:r>
    </w:p>
    <w:p>
      <w:pPr>
        <w:pStyle w:val="Normal"/>
        <w:jc w:val="both"/>
        <w:rPr>
          <w:rFonts w:ascii="Times New Roman" w:hAnsi="Times New Roman" w:cs="Times New Roman"/>
          <w:sz w:val="20"/>
          <w:szCs w:val="20"/>
        </w:rPr>
      </w:pPr>
      <w:r>
        <w:rPr/>
      </w:r>
    </w:p>
    <w:p>
      <w:pPr>
        <w:pStyle w:val="Normal"/>
        <w:jc w:val="both"/>
        <w:rPr>
          <w:rFonts w:ascii="Times New Roman" w:hAnsi="Times New Roman" w:cs="Times New Roman"/>
          <w:sz w:val="20"/>
          <w:szCs w:val="20"/>
        </w:rPr>
      </w:pPr>
      <w:r>
        <w:rPr/>
      </w:r>
    </w:p>
    <w:p>
      <w:pPr>
        <w:pStyle w:val="Normal"/>
        <w:jc w:val="both"/>
        <w:rPr>
          <w:rFonts w:ascii="Times New Roman" w:hAnsi="Times New Roman" w:cs="Times New Roman"/>
          <w:sz w:val="20"/>
          <w:szCs w:val="20"/>
        </w:rPr>
      </w:pPr>
      <w:r>
        <w:rPr/>
      </w:r>
    </w:p>
    <w:p>
      <w:pPr>
        <w:pStyle w:val="Normal"/>
        <w:jc w:val="both"/>
        <w:rPr>
          <w:rFonts w:ascii="Times New Roman" w:hAnsi="Times New Roman" w:cs="Times New Roman"/>
          <w:sz w:val="20"/>
          <w:szCs w:val="20"/>
        </w:rPr>
      </w:pPr>
      <w:r>
        <w:rPr/>
      </w:r>
    </w:p>
    <w:p>
      <w:pPr>
        <w:pStyle w:val="Normal"/>
        <w:jc w:val="center"/>
        <w:rPr/>
      </w:pPr>
      <w:r>
        <w:rPr>
          <w:rFonts w:cs="Times New Roman" w:ascii="Times New Roman" w:hAnsi="Times New Roman"/>
          <w:b/>
          <w:bCs/>
          <w:sz w:val="20"/>
          <w:szCs w:val="20"/>
        </w:rPr>
        <w:t xml:space="preserve">Tabla 1. </w:t>
      </w:r>
      <w:r>
        <w:rPr>
          <w:rFonts w:cs="Times New Roman" w:ascii="Times New Roman" w:hAnsi="Times New Roman"/>
          <w:b/>
          <w:bCs/>
          <w:sz w:val="20"/>
          <w:szCs w:val="20"/>
        </w:rPr>
        <w:t xml:space="preserve">Análisis FODA octavo semestre. </w:t>
      </w:r>
      <w:r>
        <w:rPr>
          <w:rFonts w:cs="Times New Roman" w:ascii="Times New Roman" w:hAnsi="Times New Roman"/>
          <w:b/>
          <w:bCs/>
          <w:sz w:val="20"/>
          <w:szCs w:val="20"/>
        </w:rPr>
        <w:t>Fuente: Elaboración propia.</w:t>
      </w:r>
    </w:p>
    <w:p>
      <w:pPr>
        <w:pStyle w:val="LOnormal"/>
        <w:jc w:val="center"/>
        <w:rPr>
          <w:lang w:val="en-US"/>
        </w:rPr>
      </w:pPr>
      <w:r>
        <w:rPr/>
        <w:drawing>
          <wp:inline distT="0" distB="0" distL="0" distR="0">
            <wp:extent cx="2792730" cy="888365"/>
            <wp:effectExtent l="0" t="0" r="0" b="0"/>
            <wp:docPr id="2" name="Imagen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
                    <pic:cNvPicPr>
                      <a:picLocks noChangeAspect="1" noChangeArrowheads="1"/>
                    </pic:cNvPicPr>
                  </pic:nvPicPr>
                  <pic:blipFill>
                    <a:blip r:embed="rId8"/>
                    <a:stretch>
                      <a:fillRect/>
                    </a:stretch>
                  </pic:blipFill>
                  <pic:spPr bwMode="auto">
                    <a:xfrm>
                      <a:off x="0" y="0"/>
                      <a:ext cx="2792730" cy="888365"/>
                    </a:xfrm>
                    <a:prstGeom prst="rect">
                      <a:avLst/>
                    </a:prstGeom>
                  </pic:spPr>
                </pic:pic>
              </a:graphicData>
            </a:graphic>
          </wp:inline>
        </w:drawing>
      </w:r>
    </w:p>
    <w:p>
      <w:pPr>
        <w:pStyle w:val="Normal"/>
        <w:jc w:val="both"/>
        <w:rPr>
          <w:rFonts w:ascii="Times New Roman" w:hAnsi="Times New Roman" w:cs="Times New Roman"/>
          <w:sz w:val="20"/>
          <w:szCs w:val="20"/>
        </w:rPr>
      </w:pPr>
      <w:r>
        <w:rPr/>
      </w:r>
    </w:p>
    <w:p>
      <w:pPr>
        <w:pStyle w:val="Normal"/>
        <w:jc w:val="both"/>
        <w:rPr>
          <w:rFonts w:ascii="Times New Roman" w:hAnsi="Times New Roman" w:cs="Times New Roman"/>
          <w:sz w:val="20"/>
          <w:szCs w:val="20"/>
        </w:rPr>
      </w:pPr>
      <w:r>
        <w:rPr>
          <w:rFonts w:cs="Times New Roman" w:ascii="Times New Roman" w:hAnsi="Times New Roman"/>
          <w:sz w:val="20"/>
          <w:szCs w:val="20"/>
        </w:rPr>
        <w:t>El análisis FODA (</w:t>
      </w:r>
      <w:r>
        <w:rPr>
          <w:rFonts w:cs="Times New Roman" w:ascii="Times New Roman" w:hAnsi="Times New Roman"/>
          <w:sz w:val="20"/>
          <w:szCs w:val="20"/>
        </w:rPr>
        <w:t>T</w:t>
      </w:r>
      <w:r>
        <w:rPr>
          <w:rFonts w:cs="Times New Roman" w:ascii="Times New Roman" w:hAnsi="Times New Roman"/>
          <w:sz w:val="20"/>
          <w:szCs w:val="20"/>
        </w:rPr>
        <w:t>abla 1) se desarrolló solo para octavo semestre,  donde se encontró la mayor problemática, es decir la escuela prioriza los primeros semestres para mantener a los alumnos mediante talleres y materias de humanidades que les permite desenvolverse dentro de la vida estudiantil y canalizar sus emociones y que el último semestre cuando ya se van a enfrentar con su vida laboral los alumnos se empiezan asentir desmotivados y con miedo del que puede pasar en su futuro, lo que nos impulsa a generar e implementar estrategias de liderazgo de relaciones positivas mediante la psicología positiva para apoyar a al alumno a mejorar y esclarecer cuáles son sus metas y deseos dentro de su vida fuera de la escuela, el análisis FODA también nos permite observar que la institución puede utilizar las tecnologías para poder hacer y desarrollar talleres que les ayuden a los estudiantes a mejorar sus conductas en todos los ámbitos.</w:t>
      </w:r>
    </w:p>
    <w:p>
      <w:pPr>
        <w:pStyle w:val="Normal"/>
        <w:jc w:val="both"/>
        <w:rPr>
          <w:rFonts w:ascii="Times New Roman" w:hAnsi="Times New Roman" w:cs="Times New Roman"/>
          <w:sz w:val="20"/>
          <w:szCs w:val="20"/>
        </w:rPr>
      </w:pPr>
      <w:r>
        <w:rPr/>
      </w:r>
    </w:p>
    <w:p>
      <w:pPr>
        <w:pStyle w:val="Normal"/>
        <w:jc w:val="both"/>
        <w:rPr>
          <w:rFonts w:ascii="Times New Roman" w:hAnsi="Times New Roman" w:cs="Times New Roman"/>
          <w:sz w:val="20"/>
          <w:szCs w:val="20"/>
        </w:rPr>
      </w:pPr>
      <w:r>
        <w:rPr>
          <w:rFonts w:cs="Times New Roman" w:ascii="Times New Roman" w:hAnsi="Times New Roman"/>
          <w:sz w:val="20"/>
          <w:szCs w:val="20"/>
        </w:rPr>
        <w:t xml:space="preserve">Una vez que se desarrolló el análisis FODA y se interpretó, se dio paso a aplicar la matriz MEFE y MEFI que nos ayudara a aclarar a través de medibles cuales son las mejores estrategias que debemos implementar y desarrollar para que mejore el desenvolvimiento del estudiante, y a su vez este mejore en calificaciones por la motivación que sienta. </w:t>
      </w:r>
    </w:p>
    <w:p>
      <w:pPr>
        <w:pStyle w:val="Normal"/>
        <w:jc w:val="both"/>
        <w:rPr>
          <w:rFonts w:ascii="Times New Roman" w:hAnsi="Times New Roman" w:cs="Times New Roman"/>
          <w:sz w:val="20"/>
          <w:szCs w:val="20"/>
        </w:rPr>
      </w:pPr>
      <w:r>
        <w:rPr/>
      </w:r>
    </w:p>
    <w:p>
      <w:pPr>
        <w:pStyle w:val="Normal"/>
        <w:jc w:val="both"/>
        <w:rPr>
          <w:b w:val="false"/>
          <w:b w:val="false"/>
          <w:bCs w:val="false"/>
          <w:i/>
          <w:i/>
          <w:iCs/>
        </w:rPr>
      </w:pPr>
      <w:r>
        <w:rPr>
          <w:rFonts w:cs="Times New Roman" w:ascii="Times New Roman" w:hAnsi="Times New Roman"/>
          <w:b w:val="false"/>
          <w:bCs w:val="false"/>
          <w:i/>
          <w:iCs/>
          <w:sz w:val="20"/>
          <w:szCs w:val="20"/>
        </w:rPr>
        <w:t xml:space="preserve">A. </w:t>
      </w:r>
      <w:r>
        <w:rPr>
          <w:rFonts w:cs="Times New Roman" w:ascii="Times New Roman" w:hAnsi="Times New Roman"/>
          <w:b w:val="false"/>
          <w:bCs w:val="false"/>
          <w:i/>
          <w:iCs/>
          <w:sz w:val="20"/>
          <w:szCs w:val="20"/>
        </w:rPr>
        <w:t>Aplicación de matriz MEFE y MEFI</w:t>
      </w:r>
    </w:p>
    <w:p>
      <w:pPr>
        <w:pStyle w:val="Normal"/>
        <w:jc w:val="both"/>
        <w:rPr>
          <w:rFonts w:ascii="Times New Roman" w:hAnsi="Times New Roman" w:cs="Times New Roman"/>
          <w:sz w:val="20"/>
          <w:szCs w:val="20"/>
        </w:rPr>
      </w:pPr>
      <w:r>
        <w:rPr>
          <w:rFonts w:cs="Times New Roman" w:ascii="Times New Roman" w:hAnsi="Times New Roman"/>
          <w:sz w:val="20"/>
          <w:szCs w:val="20"/>
        </w:rPr>
        <w:t>La Matriz MEFI (Matriz de Evaluación de Factores Internos) y la Matriz MEFI (Matriz de Evaluación de Factores Internos y Externos) son herramientas de análisis estratégico utilizadas en la planificación y gestión de organizaciones (Carrera, 2024).</w:t>
      </w:r>
    </w:p>
    <w:p>
      <w:pPr>
        <w:pStyle w:val="Normal"/>
        <w:jc w:val="both"/>
        <w:rPr>
          <w:rFonts w:ascii="Times New Roman" w:hAnsi="Times New Roman" w:cs="Times New Roman"/>
          <w:sz w:val="20"/>
          <w:szCs w:val="20"/>
        </w:rPr>
      </w:pPr>
      <w:r>
        <w:rPr/>
      </w:r>
    </w:p>
    <w:p>
      <w:pPr>
        <w:pStyle w:val="Normal"/>
        <w:jc w:val="both"/>
        <w:rPr>
          <w:rFonts w:ascii="Times New Roman" w:hAnsi="Times New Roman" w:cs="Times New Roman"/>
          <w:sz w:val="20"/>
          <w:szCs w:val="20"/>
        </w:rPr>
      </w:pPr>
      <w:r>
        <w:rPr>
          <w:rFonts w:cs="Times New Roman" w:ascii="Times New Roman" w:hAnsi="Times New Roman"/>
          <w:sz w:val="20"/>
          <w:szCs w:val="20"/>
        </w:rPr>
        <w:t>La Matriz MEFI se utiliza para evaluar los factores internos de una organización, es decir, sus fortalezas y debilidades. Esta matriz ayuda a identificar las áreas en las que la organización tiene ventajas y desventajas en relación con su entorno interno. La Matriz MEFI se utiliza para evaluar tanto los factores internos como externos de una organización. Esta matriz ayuda a identificar las oportunidades y amenazas que se presentan en el entorno externo, así como las fortalezas y debilidades internas de la organización (Carrera, 2024).</w:t>
      </w:r>
    </w:p>
    <w:p>
      <w:pPr>
        <w:pStyle w:val="Normal"/>
        <w:jc w:val="both"/>
        <w:rPr>
          <w:rFonts w:ascii="Times New Roman" w:hAnsi="Times New Roman" w:cs="Times New Roman"/>
          <w:sz w:val="20"/>
          <w:szCs w:val="20"/>
        </w:rPr>
      </w:pPr>
      <w:r>
        <w:rPr/>
      </w:r>
    </w:p>
    <w:p>
      <w:pPr>
        <w:pStyle w:val="Normal"/>
        <w:jc w:val="both"/>
        <w:rPr>
          <w:b w:val="false"/>
          <w:b w:val="false"/>
          <w:bCs w:val="false"/>
        </w:rPr>
      </w:pPr>
      <w:r>
        <w:rPr>
          <w:rFonts w:cs="Times New Roman" w:ascii="Times New Roman" w:hAnsi="Times New Roman"/>
          <w:b w:val="false"/>
          <w:bCs w:val="false"/>
          <w:sz w:val="20"/>
          <w:szCs w:val="20"/>
        </w:rPr>
        <w:t>Objetivos de las matrices MEFI y MEFI:</w:t>
      </w:r>
    </w:p>
    <w:p>
      <w:pPr>
        <w:pStyle w:val="Normal"/>
        <w:jc w:val="both"/>
        <w:rPr>
          <w:rFonts w:ascii="Times New Roman" w:hAnsi="Times New Roman" w:cs="Times New Roman"/>
          <w:sz w:val="20"/>
          <w:szCs w:val="20"/>
        </w:rPr>
      </w:pPr>
      <w:r>
        <w:rPr>
          <w:rFonts w:cs="Times New Roman" w:ascii="Times New Roman" w:hAnsi="Times New Roman"/>
          <w:sz w:val="20"/>
          <w:szCs w:val="20"/>
        </w:rPr>
        <w:t>1. Identificar las fortalezas y debilidades internas de la organización.</w:t>
      </w:r>
    </w:p>
    <w:p>
      <w:pPr>
        <w:pStyle w:val="Normal"/>
        <w:jc w:val="both"/>
        <w:rPr>
          <w:rFonts w:ascii="Times New Roman" w:hAnsi="Times New Roman" w:cs="Times New Roman"/>
          <w:sz w:val="20"/>
          <w:szCs w:val="20"/>
        </w:rPr>
      </w:pPr>
      <w:r>
        <w:rPr>
          <w:rFonts w:cs="Times New Roman" w:ascii="Times New Roman" w:hAnsi="Times New Roman"/>
          <w:sz w:val="20"/>
          <w:szCs w:val="20"/>
        </w:rPr>
        <w:t>2. Identificar las oportunidades y amenazas externas que afectan a la organización.</w:t>
      </w:r>
    </w:p>
    <w:p>
      <w:pPr>
        <w:pStyle w:val="Normal"/>
        <w:jc w:val="both"/>
        <w:rPr>
          <w:rFonts w:ascii="Times New Roman" w:hAnsi="Times New Roman" w:cs="Times New Roman"/>
          <w:sz w:val="20"/>
          <w:szCs w:val="20"/>
        </w:rPr>
      </w:pPr>
      <w:r>
        <w:rPr>
          <w:rFonts w:cs="Times New Roman" w:ascii="Times New Roman" w:hAnsi="Times New Roman"/>
          <w:sz w:val="20"/>
          <w:szCs w:val="20"/>
        </w:rPr>
        <w:t>3. Desarrollar estrategias para aprovechar las oportunidades y fortalezas, y mitigar las amenazas y debilidades.</w:t>
      </w:r>
    </w:p>
    <w:p>
      <w:pPr>
        <w:pStyle w:val="Normal"/>
        <w:jc w:val="both"/>
        <w:rPr>
          <w:rFonts w:ascii="Times New Roman" w:hAnsi="Times New Roman" w:cs="Times New Roman"/>
          <w:sz w:val="20"/>
          <w:szCs w:val="20"/>
        </w:rPr>
      </w:pPr>
      <w:r>
        <w:rPr>
          <w:rFonts w:cs="Times New Roman" w:ascii="Times New Roman" w:hAnsi="Times New Roman"/>
          <w:sz w:val="20"/>
          <w:szCs w:val="20"/>
        </w:rPr>
        <w:t>4. Mejorar la toma de decisiones estratégicas en la organización.</w:t>
      </w:r>
    </w:p>
    <w:p>
      <w:pPr>
        <w:pStyle w:val="Normal"/>
        <w:jc w:val="both"/>
        <w:rPr>
          <w:rFonts w:ascii="Times New Roman" w:hAnsi="Times New Roman" w:cs="Times New Roman"/>
          <w:b/>
          <w:b/>
          <w:bCs/>
          <w:sz w:val="20"/>
          <w:szCs w:val="20"/>
        </w:rPr>
      </w:pPr>
      <w:r>
        <w:rPr/>
      </w:r>
    </w:p>
    <w:p>
      <w:pPr>
        <w:pStyle w:val="Normal"/>
        <w:jc w:val="both"/>
        <w:rPr>
          <w:b w:val="false"/>
          <w:b w:val="false"/>
          <w:bCs w:val="false"/>
        </w:rPr>
      </w:pPr>
      <w:r>
        <w:rPr>
          <w:rFonts w:cs="Times New Roman" w:ascii="Times New Roman" w:hAnsi="Times New Roman"/>
          <w:b w:val="false"/>
          <w:bCs w:val="false"/>
          <w:sz w:val="20"/>
          <w:szCs w:val="20"/>
        </w:rPr>
        <w:t>Ventajas de utilizar las matrices MEFI y MEFI:</w:t>
      </w:r>
    </w:p>
    <w:p>
      <w:pPr>
        <w:pStyle w:val="Normal"/>
        <w:jc w:val="both"/>
        <w:rPr>
          <w:rFonts w:ascii="Times New Roman" w:hAnsi="Times New Roman" w:cs="Times New Roman"/>
          <w:sz w:val="20"/>
          <w:szCs w:val="20"/>
        </w:rPr>
      </w:pPr>
      <w:r>
        <w:rPr>
          <w:rFonts w:cs="Times New Roman" w:ascii="Times New Roman" w:hAnsi="Times New Roman"/>
          <w:sz w:val="20"/>
          <w:szCs w:val="20"/>
        </w:rPr>
        <w:t>1. Ayudan a identificar las áreas de mejora y las oportunidades de crecimiento.</w:t>
      </w:r>
    </w:p>
    <w:p>
      <w:pPr>
        <w:pStyle w:val="Normal"/>
        <w:jc w:val="both"/>
        <w:rPr>
          <w:rFonts w:ascii="Times New Roman" w:hAnsi="Times New Roman" w:cs="Times New Roman"/>
          <w:sz w:val="20"/>
          <w:szCs w:val="20"/>
        </w:rPr>
      </w:pPr>
      <w:r>
        <w:rPr>
          <w:rFonts w:cs="Times New Roman" w:ascii="Times New Roman" w:hAnsi="Times New Roman"/>
          <w:sz w:val="20"/>
          <w:szCs w:val="20"/>
        </w:rPr>
        <w:t>2. Proporcionan una visión integral de la organización y su entorno.</w:t>
      </w:r>
    </w:p>
    <w:p>
      <w:pPr>
        <w:pStyle w:val="Normal"/>
        <w:jc w:val="both"/>
        <w:rPr>
          <w:rFonts w:ascii="Times New Roman" w:hAnsi="Times New Roman" w:cs="Times New Roman"/>
          <w:sz w:val="20"/>
          <w:szCs w:val="20"/>
        </w:rPr>
      </w:pPr>
      <w:r>
        <w:rPr>
          <w:rFonts w:cs="Times New Roman" w:ascii="Times New Roman" w:hAnsi="Times New Roman"/>
          <w:sz w:val="20"/>
          <w:szCs w:val="20"/>
        </w:rPr>
        <w:t>3. Facilitan la creación de estrategias efectivas para alcanzar los objetivos de la organización.</w:t>
      </w:r>
    </w:p>
    <w:p>
      <w:pPr>
        <w:pStyle w:val="Normal"/>
        <w:jc w:val="both"/>
        <w:rPr>
          <w:rFonts w:ascii="Times New Roman" w:hAnsi="Times New Roman" w:cs="Times New Roman"/>
          <w:sz w:val="20"/>
          <w:szCs w:val="20"/>
        </w:rPr>
      </w:pPr>
      <w:r>
        <w:rPr>
          <w:rFonts w:cs="Times New Roman" w:ascii="Times New Roman" w:hAnsi="Times New Roman"/>
          <w:sz w:val="20"/>
          <w:szCs w:val="20"/>
        </w:rPr>
        <w:t>4. Ayudan a reducir los riesgos y a aumentar la competitividad de la organización.</w:t>
      </w:r>
    </w:p>
    <w:p>
      <w:pPr>
        <w:pStyle w:val="Normal"/>
        <w:jc w:val="both"/>
        <w:rPr>
          <w:rFonts w:ascii="Times New Roman" w:hAnsi="Times New Roman" w:cs="Times New Roman"/>
          <w:sz w:val="20"/>
          <w:szCs w:val="20"/>
        </w:rPr>
      </w:pPr>
      <w:r>
        <w:rPr>
          <w:rFonts w:cs="Times New Roman" w:ascii="Times New Roman" w:hAnsi="Times New Roman"/>
          <w:sz w:val="20"/>
          <w:szCs w:val="20"/>
        </w:rPr>
        <w:t>Basándonos en la definición de la metodología vamos a tomar como referencia en la tabla 1. Análisis FODA para determinar cuáles son las actividades o estrategias que se implementaran.</w:t>
      </w:r>
    </w:p>
    <w:p>
      <w:pPr>
        <w:pStyle w:val="Normal"/>
        <w:jc w:val="both"/>
        <w:rPr>
          <w:rFonts w:ascii="Times New Roman" w:hAnsi="Times New Roman" w:cs="Times New Roman"/>
          <w:sz w:val="20"/>
          <w:szCs w:val="20"/>
        </w:rPr>
      </w:pPr>
      <w:r>
        <w:rPr>
          <w:rFonts w:cs="Times New Roman" w:ascii="Times New Roman" w:hAnsi="Times New Roman"/>
          <w:sz w:val="20"/>
          <w:szCs w:val="20"/>
        </w:rPr>
        <w:t xml:space="preserve">Aplicación de Matriz </w:t>
      </w:r>
    </w:p>
    <w:p>
      <w:pPr>
        <w:pStyle w:val="Normal"/>
        <w:jc w:val="both"/>
        <w:rPr>
          <w:rFonts w:ascii="Times New Roman" w:hAnsi="Times New Roman" w:cs="Times New Roman"/>
          <w:sz w:val="20"/>
          <w:szCs w:val="20"/>
        </w:rPr>
      </w:pPr>
      <w:r>
        <w:rPr>
          <w:rFonts w:cs="Times New Roman" w:ascii="Times New Roman" w:hAnsi="Times New Roman"/>
          <w:sz w:val="20"/>
          <w:szCs w:val="20"/>
        </w:rPr>
        <w:t xml:space="preserve">Las ponderaciones a utilizar dentro de la matriz será del 1 al 5 , tomando el 5 como prioritario y el 1 como menos prioritario </w:t>
      </w:r>
    </w:p>
    <w:p>
      <w:pPr>
        <w:pStyle w:val="Normal"/>
        <w:rPr>
          <w:rFonts w:ascii="Times New Roman" w:hAnsi="Times New Roman" w:cs="Times New Roman"/>
          <w:b/>
          <w:b/>
          <w:bCs/>
          <w:sz w:val="20"/>
          <w:szCs w:val="20"/>
        </w:rPr>
      </w:pPr>
      <w:r>
        <w:rPr/>
      </w:r>
    </w:p>
    <w:p>
      <w:pPr>
        <w:pStyle w:val="Normal"/>
        <w:rPr>
          <w:b w:val="false"/>
          <w:b w:val="false"/>
          <w:bCs w:val="false"/>
          <w:i/>
          <w:i/>
          <w:iCs/>
        </w:rPr>
      </w:pPr>
      <w:r>
        <w:rPr>
          <w:rFonts w:cs="Times New Roman" w:ascii="Times New Roman" w:hAnsi="Times New Roman"/>
          <w:b w:val="false"/>
          <w:bCs w:val="false"/>
          <w:i/>
          <w:iCs/>
          <w:sz w:val="20"/>
          <w:szCs w:val="20"/>
        </w:rPr>
        <w:t xml:space="preserve">B. </w:t>
      </w:r>
      <w:r>
        <w:rPr>
          <w:rFonts w:cs="Times New Roman" w:ascii="Times New Roman" w:hAnsi="Times New Roman"/>
          <w:b w:val="false"/>
          <w:bCs w:val="false"/>
          <w:i/>
          <w:iCs/>
          <w:sz w:val="20"/>
          <w:szCs w:val="20"/>
        </w:rPr>
        <w:t>Matriz MEFE</w:t>
      </w:r>
    </w:p>
    <w:p>
      <w:pPr>
        <w:pStyle w:val="Normal"/>
        <w:jc w:val="center"/>
        <w:rPr>
          <w:rFonts w:ascii="Times New Roman" w:hAnsi="Times New Roman" w:cs="Times New Roman"/>
          <w:sz w:val="20"/>
          <w:szCs w:val="20"/>
        </w:rPr>
      </w:pPr>
      <w:r>
        <w:rPr>
          <w:b/>
          <w:bCs/>
        </w:rPr>
      </w:r>
    </w:p>
    <w:p>
      <w:pPr>
        <w:pStyle w:val="Normal"/>
        <w:jc w:val="center"/>
        <w:rPr>
          <w:b/>
          <w:b/>
          <w:bCs/>
        </w:rPr>
      </w:pPr>
      <w:r>
        <w:rPr>
          <w:rFonts w:cs="Times New Roman" w:ascii="Times New Roman" w:hAnsi="Times New Roman"/>
          <w:b/>
          <w:bCs/>
          <w:sz w:val="20"/>
          <w:szCs w:val="20"/>
        </w:rPr>
        <w:t xml:space="preserve">Tabla </w:t>
      </w:r>
      <w:r>
        <w:rPr>
          <w:rFonts w:cs="Times New Roman" w:ascii="Times New Roman" w:hAnsi="Times New Roman"/>
          <w:b/>
          <w:bCs/>
          <w:sz w:val="20"/>
          <w:szCs w:val="20"/>
        </w:rPr>
        <w:t>2</w:t>
      </w:r>
      <w:r>
        <w:rPr>
          <w:rFonts w:cs="Times New Roman" w:ascii="Times New Roman" w:hAnsi="Times New Roman"/>
          <w:b/>
          <w:bCs/>
          <w:sz w:val="20"/>
          <w:szCs w:val="20"/>
        </w:rPr>
        <w:t xml:space="preserve">. </w:t>
      </w:r>
      <w:r>
        <w:rPr>
          <w:rFonts w:cs="Times New Roman" w:ascii="Times New Roman" w:hAnsi="Times New Roman"/>
          <w:b/>
          <w:bCs/>
          <w:sz w:val="20"/>
          <w:szCs w:val="20"/>
        </w:rPr>
        <w:t xml:space="preserve">Matriz de evaluación de factores externos, instrumento encargado de analizar oportunidades y amenazas. </w:t>
      </w:r>
      <w:r>
        <w:rPr>
          <w:rFonts w:cs="Times New Roman" w:ascii="Times New Roman" w:hAnsi="Times New Roman"/>
          <w:b/>
          <w:bCs/>
          <w:sz w:val="20"/>
          <w:szCs w:val="20"/>
        </w:rPr>
        <w:t>Fuente: Elaboración propia.</w:t>
      </w:r>
    </w:p>
    <w:p>
      <w:pPr>
        <w:pStyle w:val="LOnormal"/>
        <w:jc w:val="center"/>
        <w:rPr>
          <w:lang w:val="en-US"/>
        </w:rPr>
      </w:pPr>
      <w:r>
        <w:rPr/>
        <w:drawing>
          <wp:inline distT="0" distB="0" distL="0" distR="0">
            <wp:extent cx="2775585" cy="1426210"/>
            <wp:effectExtent l="0" t="0" r="0" b="0"/>
            <wp:docPr id="3" name="Imagen2"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2" descr="Tabla&#10;&#10;El contenido generado por IA puede ser incorrecto."/>
                    <pic:cNvPicPr>
                      <a:picLocks noChangeAspect="1" noChangeArrowheads="1"/>
                    </pic:cNvPicPr>
                  </pic:nvPicPr>
                  <pic:blipFill>
                    <a:blip r:embed="rId9"/>
                    <a:stretch>
                      <a:fillRect/>
                    </a:stretch>
                  </pic:blipFill>
                  <pic:spPr bwMode="auto">
                    <a:xfrm>
                      <a:off x="0" y="0"/>
                      <a:ext cx="2775585" cy="1426210"/>
                    </a:xfrm>
                    <a:prstGeom prst="rect">
                      <a:avLst/>
                    </a:prstGeom>
                  </pic:spPr>
                </pic:pic>
              </a:graphicData>
            </a:graphic>
          </wp:inline>
        </w:drawing>
      </w:r>
    </w:p>
    <w:p>
      <w:pPr>
        <w:pStyle w:val="Normal"/>
        <w:jc w:val="both"/>
        <w:rPr>
          <w:rFonts w:ascii="Times New Roman" w:hAnsi="Times New Roman" w:cs="Times New Roman"/>
          <w:sz w:val="20"/>
          <w:szCs w:val="20"/>
        </w:rPr>
      </w:pPr>
      <w:r>
        <w:rPr/>
      </w:r>
    </w:p>
    <w:p>
      <w:pPr>
        <w:pStyle w:val="Normal"/>
        <w:jc w:val="both"/>
        <w:rPr>
          <w:rFonts w:ascii="Times New Roman" w:hAnsi="Times New Roman" w:cs="Times New Roman"/>
          <w:sz w:val="20"/>
          <w:szCs w:val="20"/>
        </w:rPr>
      </w:pPr>
      <w:r>
        <w:rPr>
          <w:rFonts w:cs="Times New Roman" w:ascii="Times New Roman" w:hAnsi="Times New Roman"/>
          <w:sz w:val="20"/>
          <w:szCs w:val="20"/>
        </w:rPr>
        <w:t xml:space="preserve">Como se puede observar en la matriz EFE, </w:t>
      </w:r>
      <w:r>
        <w:rPr>
          <w:rFonts w:cs="Times New Roman" w:ascii="Times New Roman" w:hAnsi="Times New Roman"/>
          <w:sz w:val="20"/>
          <w:szCs w:val="20"/>
        </w:rPr>
        <w:t>Tabla 2</w:t>
      </w:r>
      <w:r>
        <w:rPr>
          <w:rFonts w:cs="Times New Roman" w:ascii="Times New Roman" w:hAnsi="Times New Roman"/>
          <w:sz w:val="20"/>
          <w:szCs w:val="20"/>
        </w:rPr>
        <w:t xml:space="preserve">, nos indica cuales son los factores en los que nos debemos enfocar para poder generar estrategias y dar solución a la problemática que se tiene, si se observa detenidamente nos damos cuenta que tanto las oportunidades como las amenazas son de gran impacto para analizar lo que se quiere porque una de las limitantes que se encuentra es que la mayoría de los estudiantes no cuentan con servicio de internet y esto afecta para poder ejercer algunas otras oportunidades, pero no nos enfocaremos en esta si no en la que nos dio mayor puntuación que es la de capacitación a lo que nos lleva a que por medio de vinculación de la escuela y de la empresa se pueden generar este tipo de capacitaciones dentro de la escuela y genera la interacción estudiante - trabajador donde ambos comparten sus vivencias y experiencias dentro y fuera de sus jornadas laborales. </w:t>
      </w:r>
    </w:p>
    <w:p>
      <w:pPr>
        <w:pStyle w:val="Normal"/>
        <w:jc w:val="both"/>
        <w:rPr>
          <w:rFonts w:ascii="Times New Roman" w:hAnsi="Times New Roman" w:cs="Times New Roman"/>
          <w:sz w:val="20"/>
          <w:szCs w:val="20"/>
        </w:rPr>
      </w:pPr>
      <w:r>
        <w:rPr/>
      </w:r>
    </w:p>
    <w:p>
      <w:pPr>
        <w:pStyle w:val="Normal"/>
        <w:jc w:val="both"/>
        <w:rPr>
          <w:b w:val="false"/>
          <w:b w:val="false"/>
          <w:bCs w:val="false"/>
          <w:i/>
          <w:i/>
          <w:iCs/>
        </w:rPr>
      </w:pPr>
      <w:r>
        <w:rPr>
          <w:rFonts w:cs="Times New Roman" w:ascii="Times New Roman" w:hAnsi="Times New Roman"/>
          <w:b w:val="false"/>
          <w:bCs w:val="false"/>
          <w:i/>
          <w:iCs/>
          <w:sz w:val="20"/>
          <w:szCs w:val="20"/>
        </w:rPr>
        <w:t xml:space="preserve">C. </w:t>
      </w:r>
      <w:r>
        <w:rPr>
          <w:rFonts w:cs="Times New Roman" w:ascii="Times New Roman" w:hAnsi="Times New Roman"/>
          <w:b w:val="false"/>
          <w:bCs w:val="false"/>
          <w:i/>
          <w:iCs/>
          <w:sz w:val="20"/>
          <w:szCs w:val="20"/>
        </w:rPr>
        <w:t>Matriz EFI</w:t>
      </w:r>
    </w:p>
    <w:p>
      <w:pPr>
        <w:pStyle w:val="Normal"/>
        <w:jc w:val="both"/>
        <w:rPr>
          <w:rFonts w:ascii="Times New Roman" w:hAnsi="Times New Roman" w:cs="Times New Roman"/>
          <w:sz w:val="20"/>
          <w:szCs w:val="20"/>
        </w:rPr>
      </w:pPr>
      <w:r>
        <w:rPr/>
      </w:r>
    </w:p>
    <w:p>
      <w:pPr>
        <w:pStyle w:val="Normal"/>
        <w:jc w:val="center"/>
        <w:rPr>
          <w:b/>
          <w:b/>
          <w:bCs/>
        </w:rPr>
      </w:pPr>
      <w:r>
        <w:rPr>
          <w:rFonts w:cs="Times New Roman" w:ascii="Times New Roman" w:hAnsi="Times New Roman"/>
          <w:b/>
          <w:bCs/>
          <w:sz w:val="20"/>
          <w:szCs w:val="20"/>
        </w:rPr>
        <w:t xml:space="preserve">Tabla </w:t>
      </w:r>
      <w:r>
        <w:rPr>
          <w:rFonts w:cs="Times New Roman" w:ascii="Times New Roman" w:hAnsi="Times New Roman"/>
          <w:b/>
          <w:bCs/>
          <w:sz w:val="20"/>
          <w:szCs w:val="20"/>
        </w:rPr>
        <w:t>3</w:t>
      </w:r>
      <w:r>
        <w:rPr>
          <w:rFonts w:cs="Times New Roman" w:ascii="Times New Roman" w:hAnsi="Times New Roman"/>
          <w:b/>
          <w:bCs/>
          <w:sz w:val="20"/>
          <w:szCs w:val="20"/>
        </w:rPr>
        <w:t xml:space="preserve">. </w:t>
      </w:r>
      <w:r>
        <w:rPr>
          <w:rFonts w:cs="Times New Roman" w:ascii="Times New Roman" w:hAnsi="Times New Roman"/>
          <w:b/>
          <w:bCs/>
          <w:sz w:val="20"/>
          <w:szCs w:val="20"/>
        </w:rPr>
        <w:t xml:space="preserve">Matriz de Evaluación de Factores internos, instrumento encargado de analizar fortalezas y debilidades. </w:t>
      </w:r>
      <w:r>
        <w:rPr>
          <w:rFonts w:cs="Times New Roman" w:ascii="Times New Roman" w:hAnsi="Times New Roman"/>
          <w:b/>
          <w:bCs/>
          <w:sz w:val="20"/>
          <w:szCs w:val="20"/>
        </w:rPr>
        <w:t>Fuente: Elaboración propia.</w:t>
      </w:r>
    </w:p>
    <w:p>
      <w:pPr>
        <w:pStyle w:val="LOnormal"/>
        <w:jc w:val="center"/>
        <w:rPr>
          <w:lang w:val="en-US"/>
        </w:rPr>
      </w:pPr>
      <w:r>
        <w:rPr/>
        <w:drawing>
          <wp:inline distT="0" distB="0" distL="0" distR="0">
            <wp:extent cx="2824480" cy="1382395"/>
            <wp:effectExtent l="0" t="0" r="0" b="0"/>
            <wp:docPr id="4" name="Imagen3"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3" descr="Tabla&#10;&#10;El contenido generado por IA puede ser incorrecto."/>
                    <pic:cNvPicPr>
                      <a:picLocks noChangeAspect="1" noChangeArrowheads="1"/>
                    </pic:cNvPicPr>
                  </pic:nvPicPr>
                  <pic:blipFill>
                    <a:blip r:embed="rId10"/>
                    <a:stretch>
                      <a:fillRect/>
                    </a:stretch>
                  </pic:blipFill>
                  <pic:spPr bwMode="auto">
                    <a:xfrm>
                      <a:off x="0" y="0"/>
                      <a:ext cx="2824480" cy="1382395"/>
                    </a:xfrm>
                    <a:prstGeom prst="rect">
                      <a:avLst/>
                    </a:prstGeom>
                  </pic:spPr>
                </pic:pic>
              </a:graphicData>
            </a:graphic>
          </wp:inline>
        </w:drawing>
      </w:r>
    </w:p>
    <w:p>
      <w:pPr>
        <w:pStyle w:val="Normal"/>
        <w:jc w:val="both"/>
        <w:rPr>
          <w:rFonts w:ascii="Times New Roman" w:hAnsi="Times New Roman" w:cs="Times New Roman"/>
          <w:sz w:val="20"/>
          <w:szCs w:val="20"/>
        </w:rPr>
      </w:pPr>
      <w:r>
        <w:rPr/>
      </w:r>
    </w:p>
    <w:p>
      <w:pPr>
        <w:pStyle w:val="Normal"/>
        <w:jc w:val="both"/>
        <w:rPr>
          <w:rFonts w:ascii="Times New Roman" w:hAnsi="Times New Roman" w:cs="Times New Roman"/>
          <w:sz w:val="20"/>
          <w:szCs w:val="20"/>
        </w:rPr>
      </w:pPr>
      <w:r>
        <w:rPr>
          <w:rFonts w:cs="Times New Roman" w:ascii="Times New Roman" w:hAnsi="Times New Roman"/>
          <w:sz w:val="20"/>
          <w:szCs w:val="20"/>
        </w:rPr>
        <w:t xml:space="preserve">Como se puede observar la matriz EFI, </w:t>
      </w:r>
      <w:r>
        <w:rPr>
          <w:rFonts w:cs="Times New Roman" w:ascii="Times New Roman" w:hAnsi="Times New Roman"/>
          <w:sz w:val="20"/>
          <w:szCs w:val="20"/>
        </w:rPr>
        <w:t>Tabla 3</w:t>
      </w:r>
      <w:r>
        <w:rPr>
          <w:rFonts w:cs="Times New Roman" w:ascii="Times New Roman" w:hAnsi="Times New Roman"/>
          <w:sz w:val="20"/>
          <w:szCs w:val="20"/>
        </w:rPr>
        <w:t>, nos muestra la parte interna de la institución a evaluar en este caso se evaluaron solo dos ingenierías que se tienen pero nos enfocamos en los octavos que es en la parte donde se ha visto mayor falta de empatía referente a actividades de desarrollo humano, se puede observar que una ventaja que se tiene es que se imparten materias de humanidades entonces esto nos ayuda a poder interactuar con las academias para meter más actividades de este índole a los semestres más avanzados.</w:t>
      </w:r>
    </w:p>
    <w:p>
      <w:pPr>
        <w:pStyle w:val="Normal"/>
        <w:jc w:val="both"/>
        <w:rPr>
          <w:rFonts w:ascii="Times New Roman" w:hAnsi="Times New Roman" w:cs="Times New Roman"/>
          <w:sz w:val="20"/>
          <w:szCs w:val="20"/>
        </w:rPr>
      </w:pPr>
      <w:r>
        <w:rPr/>
      </w:r>
    </w:p>
    <w:p>
      <w:pPr>
        <w:pStyle w:val="Normal"/>
        <w:jc w:val="both"/>
        <w:rPr>
          <w:rFonts w:ascii="Times New Roman" w:hAnsi="Times New Roman" w:cs="Times New Roman"/>
          <w:sz w:val="20"/>
          <w:szCs w:val="20"/>
        </w:rPr>
      </w:pPr>
      <w:r>
        <w:rPr>
          <w:rFonts w:cs="Times New Roman" w:ascii="Times New Roman" w:hAnsi="Times New Roman"/>
          <w:sz w:val="20"/>
          <w:szCs w:val="20"/>
        </w:rPr>
        <w:t xml:space="preserve">De forma general ambas matrices muestran que la problemática empieza por la falta de actividades positivas para los estudiantes y es por eso que el alumno empieza a dejar de tener motivación y empatía por sus actividades diarias, es decir que ni el personal, ni el alumnado muestran interés por actividades referentes al desarrollo humano, por eso se pretende gestionar áreas dedicadas al salario emocional de los alumnos que están a punto de salir de su carrera universitaria y a su vez generar vínculos con las empresas de la localidad para aumentar la interactividad del futuro profesionista con el mundo laboral y esto ayude a aumentar la matrícula de la escuela. </w:t>
      </w:r>
    </w:p>
    <w:p>
      <w:pPr>
        <w:pStyle w:val="Normal"/>
        <w:jc w:val="both"/>
        <w:rPr>
          <w:rFonts w:ascii="Times New Roman" w:hAnsi="Times New Roman" w:cs="Times New Roman"/>
          <w:sz w:val="20"/>
          <w:szCs w:val="20"/>
        </w:rPr>
      </w:pPr>
      <w:r>
        <w:rPr>
          <w:rFonts w:cs="Times New Roman" w:ascii="Times New Roman" w:hAnsi="Times New Roman"/>
          <w:sz w:val="20"/>
          <w:szCs w:val="20"/>
        </w:rPr>
      </w:r>
    </w:p>
    <w:p>
      <w:pPr>
        <w:pStyle w:val="LOnormal"/>
        <w:jc w:val="both"/>
        <w:rPr>
          <w:b/>
          <w:b/>
          <w:bCs/>
        </w:rPr>
      </w:pPr>
      <w:r>
        <w:rPr>
          <w:rFonts w:eastAsia="Times New Roman" w:cs="Times New Roman" w:ascii="Times New Roman" w:hAnsi="Times New Roman"/>
          <w:b/>
          <w:bCs/>
          <w:sz w:val="20"/>
          <w:szCs w:val="20"/>
        </w:rPr>
        <w:t>III. RESULTADOS</w:t>
      </w:r>
    </w:p>
    <w:p>
      <w:pPr>
        <w:pStyle w:val="Normal"/>
        <w:jc w:val="both"/>
        <w:rPr>
          <w:b w:val="false"/>
          <w:b w:val="false"/>
          <w:bCs w:val="false"/>
          <w:sz w:val="20"/>
          <w:szCs w:val="20"/>
        </w:rPr>
      </w:pPr>
      <w:r>
        <w:rPr>
          <w:rFonts w:cs="Times New Roman" w:ascii="Times New Roman" w:hAnsi="Times New Roman"/>
          <w:b w:val="false"/>
          <w:bCs w:val="false"/>
          <w:sz w:val="20"/>
          <w:szCs w:val="20"/>
        </w:rPr>
        <w:t xml:space="preserve">En base a lo identificado en matriz MEFI y MEFE, se llego al acuerdo de realizar actividades del índole positiva a los estudiantes de octavo semestre, tomando como muestra la carrera de ingeniería en logística e industrial con quienes se comparte materia para poder aplicar las actividades, según (Terjesen, Jacofsky, &amp; Froh, 2004) La psicología educativa centra su atención en las fortalezas o atributos específicos positivos de las personas, así como el mejoramiento común del individuo. </w:t>
      </w:r>
    </w:p>
    <w:p>
      <w:pPr>
        <w:pStyle w:val="Normal"/>
        <w:jc w:val="both"/>
        <w:rPr>
          <w:rFonts w:ascii="Times New Roman" w:hAnsi="Times New Roman" w:cs="Times New Roman"/>
          <w:sz w:val="20"/>
          <w:szCs w:val="20"/>
        </w:rPr>
      </w:pPr>
      <w:r>
        <w:rPr/>
      </w:r>
    </w:p>
    <w:p>
      <w:pPr>
        <w:pStyle w:val="Normal"/>
        <w:jc w:val="both"/>
        <w:rPr>
          <w:i/>
          <w:i/>
          <w:iCs/>
        </w:rPr>
      </w:pPr>
      <w:r>
        <w:rPr>
          <w:rFonts w:cs="Times New Roman" w:ascii="Times New Roman" w:hAnsi="Times New Roman"/>
          <w:i/>
          <w:iCs/>
          <w:sz w:val="20"/>
          <w:szCs w:val="20"/>
        </w:rPr>
        <w:t xml:space="preserve">A. </w:t>
      </w:r>
      <w:r>
        <w:rPr>
          <w:rFonts w:cs="Times New Roman" w:ascii="Times New Roman" w:hAnsi="Times New Roman"/>
          <w:i/>
          <w:iCs/>
          <w:sz w:val="20"/>
          <w:szCs w:val="20"/>
        </w:rPr>
        <w:t xml:space="preserve">Estrategias propuestas y desarrolladas </w:t>
      </w:r>
    </w:p>
    <w:p>
      <w:pPr>
        <w:pStyle w:val="Normal"/>
        <w:jc w:val="both"/>
        <w:rPr>
          <w:rFonts w:ascii="Times New Roman" w:hAnsi="Times New Roman" w:cs="Times New Roman"/>
          <w:sz w:val="20"/>
          <w:szCs w:val="20"/>
        </w:rPr>
      </w:pPr>
      <w:r>
        <w:rPr>
          <w:rFonts w:cs="Times New Roman" w:ascii="Times New Roman" w:hAnsi="Times New Roman"/>
          <w:sz w:val="20"/>
          <w:szCs w:val="20"/>
        </w:rPr>
        <w:t xml:space="preserve">Estrategia 1. Conferencia “la conexión que existe entre el mundo laboral y profesional”. Según (Salas 2022) Las conferencias son una herramienta educativa clave para la transmisión del conocimiento y el desarrollo de habilidades en los estudiantes. A través de estas, los alumnos tienen la oportunidad de aprender de expertos en diversas áreas, ampliar su perspectiva sobre temas específicos y mejorar su formación académica y profesional de tal forma que se agendo una conferencia para los estudiantes, referente a la conexión que existe entre el mundo laboral y profesional, este con la finalidad que conozcan a lo que se van a enfrentar y les quede más claro, como se van a desarrollar, misma que presenta un experto en el tema y sobre todo alguien del área industrial. </w:t>
      </w:r>
    </w:p>
    <w:p>
      <w:pPr>
        <w:pStyle w:val="Normal"/>
        <w:jc w:val="both"/>
        <w:rPr>
          <w:rFonts w:ascii="Times New Roman" w:hAnsi="Times New Roman" w:cs="Times New Roman"/>
          <w:sz w:val="20"/>
          <w:szCs w:val="20"/>
        </w:rPr>
      </w:pPr>
      <w:r>
        <w:rPr/>
      </w:r>
    </w:p>
    <w:p>
      <w:pPr>
        <w:pStyle w:val="Normal"/>
        <w:jc w:val="both"/>
        <w:rPr>
          <w:rFonts w:ascii="Times New Roman" w:hAnsi="Times New Roman" w:cs="Times New Roman"/>
          <w:sz w:val="20"/>
          <w:szCs w:val="20"/>
        </w:rPr>
      </w:pPr>
      <w:r>
        <w:rPr>
          <w:rFonts w:cs="Times New Roman" w:ascii="Times New Roman" w:hAnsi="Times New Roman"/>
          <w:sz w:val="20"/>
          <w:szCs w:val="20"/>
        </w:rPr>
        <w:t xml:space="preserve">Además este les mostró de forma interactiva donde el estudiante pudiera sacar las dudas que tenia acerca del tema. La conferencia, </w:t>
      </w:r>
      <w:r>
        <w:rPr>
          <w:rFonts w:cs="Times New Roman" w:ascii="Times New Roman" w:hAnsi="Times New Roman"/>
          <w:sz w:val="20"/>
          <w:szCs w:val="20"/>
        </w:rPr>
        <w:t>Figura 1</w:t>
      </w:r>
      <w:r>
        <w:rPr>
          <w:rFonts w:cs="Times New Roman" w:ascii="Times New Roman" w:hAnsi="Times New Roman"/>
          <w:sz w:val="20"/>
          <w:szCs w:val="20"/>
        </w:rPr>
        <w:t>, se baso en las habilidades blandas que emergen en la área industrial y personal.</w:t>
      </w:r>
    </w:p>
    <w:p>
      <w:pPr>
        <w:pStyle w:val="Normal"/>
        <w:jc w:val="both"/>
        <w:rPr>
          <w:rFonts w:ascii="Times New Roman" w:hAnsi="Times New Roman" w:cs="Times New Roman"/>
          <w:sz w:val="20"/>
          <w:szCs w:val="20"/>
        </w:rPr>
      </w:pPr>
      <w:r>
        <w:rPr/>
      </w:r>
    </w:p>
    <w:p>
      <w:pPr>
        <w:pStyle w:val="Normal"/>
        <w:jc w:val="both"/>
        <w:rPr>
          <w:rFonts w:ascii="Times New Roman" w:hAnsi="Times New Roman" w:cs="Times New Roman"/>
          <w:sz w:val="20"/>
          <w:szCs w:val="20"/>
        </w:rPr>
      </w:pPr>
      <w:r>
        <w:rPr>
          <w:rFonts w:cs="Times New Roman" w:ascii="Times New Roman" w:hAnsi="Times New Roman"/>
          <w:sz w:val="20"/>
          <w:szCs w:val="20"/>
        </w:rPr>
        <w:t>Temas tratados en la conferencia:</w:t>
      </w:r>
    </w:p>
    <w:p>
      <w:pPr>
        <w:pStyle w:val="Normal"/>
        <w:spacing w:before="0" w:after="160"/>
        <w:jc w:val="both"/>
        <w:rPr>
          <w:rFonts w:ascii="Times New Roman" w:hAnsi="Times New Roman" w:cs="Times New Roman"/>
          <w:sz w:val="20"/>
          <w:szCs w:val="20"/>
        </w:rPr>
      </w:pPr>
      <w:r>
        <w:rPr>
          <w:rFonts w:cs="Times New Roman" w:ascii="Times New Roman" w:hAnsi="Times New Roman"/>
          <w:sz w:val="20"/>
          <w:szCs w:val="20"/>
        </w:rPr>
        <w:t>Comunicación Efectiva</w:t>
      </w:r>
    </w:p>
    <w:p>
      <w:pPr>
        <w:pStyle w:val="Normal"/>
        <w:numPr>
          <w:ilvl w:val="0"/>
          <w:numId w:val="2"/>
        </w:numPr>
        <w:suppressAutoHyphens w:val="false"/>
        <w:spacing w:before="0" w:after="160"/>
        <w:jc w:val="both"/>
        <w:rPr>
          <w:rFonts w:ascii="Times New Roman" w:hAnsi="Times New Roman" w:cs="Times New Roman"/>
          <w:sz w:val="20"/>
          <w:szCs w:val="20"/>
        </w:rPr>
      </w:pPr>
      <w:r>
        <w:rPr>
          <w:rFonts w:cs="Times New Roman" w:ascii="Times New Roman" w:hAnsi="Times New Roman"/>
          <w:sz w:val="20"/>
          <w:szCs w:val="20"/>
        </w:rPr>
        <w:t>Descripción: La capacidad de transmitir ideas de manera clara y concisa, tanto de forma verbal como escrita.</w:t>
      </w:r>
    </w:p>
    <w:p>
      <w:pPr>
        <w:pStyle w:val="Normal"/>
        <w:numPr>
          <w:ilvl w:val="0"/>
          <w:numId w:val="2"/>
        </w:numPr>
        <w:suppressAutoHyphens w:val="false"/>
        <w:spacing w:before="0" w:after="160"/>
        <w:jc w:val="both"/>
        <w:rPr>
          <w:rFonts w:ascii="Times New Roman" w:hAnsi="Times New Roman" w:cs="Times New Roman"/>
          <w:sz w:val="20"/>
          <w:szCs w:val="20"/>
        </w:rPr>
      </w:pPr>
      <w:r>
        <w:rPr>
          <w:rFonts w:cs="Times New Roman" w:ascii="Times New Roman" w:hAnsi="Times New Roman"/>
          <w:sz w:val="20"/>
          <w:szCs w:val="20"/>
        </w:rPr>
        <w:t>Importancia: Facilitar la colaboración y evitar malentendidos en el trabajo.</w:t>
      </w:r>
    </w:p>
    <w:p>
      <w:pPr>
        <w:pStyle w:val="Normal"/>
        <w:spacing w:before="0" w:after="160"/>
        <w:jc w:val="both"/>
        <w:rPr>
          <w:rFonts w:ascii="Times New Roman" w:hAnsi="Times New Roman" w:cs="Times New Roman"/>
          <w:sz w:val="20"/>
          <w:szCs w:val="20"/>
        </w:rPr>
      </w:pPr>
      <w:r>
        <w:rPr>
          <w:rFonts w:cs="Times New Roman" w:ascii="Times New Roman" w:hAnsi="Times New Roman"/>
          <w:sz w:val="20"/>
          <w:szCs w:val="20"/>
        </w:rPr>
        <w:t>Trabajo en equipo</w:t>
      </w:r>
    </w:p>
    <w:p>
      <w:pPr>
        <w:pStyle w:val="Normal"/>
        <w:numPr>
          <w:ilvl w:val="0"/>
          <w:numId w:val="3"/>
        </w:numPr>
        <w:suppressAutoHyphens w:val="false"/>
        <w:spacing w:before="0" w:after="160"/>
        <w:jc w:val="both"/>
        <w:rPr>
          <w:rFonts w:ascii="Times New Roman" w:hAnsi="Times New Roman" w:cs="Times New Roman"/>
          <w:sz w:val="20"/>
          <w:szCs w:val="20"/>
        </w:rPr>
      </w:pPr>
      <w:r>
        <w:rPr>
          <w:rFonts w:cs="Times New Roman" w:ascii="Times New Roman" w:hAnsi="Times New Roman"/>
          <w:sz w:val="20"/>
          <w:szCs w:val="20"/>
        </w:rPr>
        <w:t>Descripción: La habilidad de colaborar con otros para alcanzar objetivos comunes, mostrando flexibilidad y respeto hacia las ideas ajenas.</w:t>
      </w:r>
    </w:p>
    <w:p>
      <w:pPr>
        <w:pStyle w:val="Normal"/>
        <w:numPr>
          <w:ilvl w:val="0"/>
          <w:numId w:val="3"/>
        </w:numPr>
        <w:suppressAutoHyphens w:val="false"/>
        <w:spacing w:before="0" w:after="160"/>
        <w:jc w:val="both"/>
        <w:rPr>
          <w:rFonts w:ascii="Times New Roman" w:hAnsi="Times New Roman" w:cs="Times New Roman"/>
          <w:sz w:val="20"/>
          <w:szCs w:val="20"/>
        </w:rPr>
      </w:pPr>
      <w:r>
        <w:rPr>
          <w:rFonts w:cs="Times New Roman" w:ascii="Times New Roman" w:hAnsi="Times New Roman"/>
          <w:sz w:val="20"/>
          <w:szCs w:val="20"/>
        </w:rPr>
        <w:t>Importancia: En muchos entornos laborales, los proyectos requieren la cooperación de varios individuos, por lo que esta habilidad es crucial.</w:t>
      </w:r>
    </w:p>
    <w:p>
      <w:pPr>
        <w:pStyle w:val="Normal"/>
        <w:spacing w:before="0" w:after="160"/>
        <w:jc w:val="both"/>
        <w:rPr>
          <w:rFonts w:ascii="Times New Roman" w:hAnsi="Times New Roman" w:cs="Times New Roman"/>
          <w:sz w:val="20"/>
          <w:szCs w:val="20"/>
        </w:rPr>
      </w:pPr>
      <w:r>
        <w:rPr>
          <w:rFonts w:cs="Times New Roman" w:ascii="Times New Roman" w:hAnsi="Times New Roman"/>
          <w:sz w:val="20"/>
          <w:szCs w:val="20"/>
        </w:rPr>
        <w:t>Resolución de problemas</w:t>
      </w:r>
    </w:p>
    <w:p>
      <w:pPr>
        <w:pStyle w:val="Normal"/>
        <w:numPr>
          <w:ilvl w:val="0"/>
          <w:numId w:val="4"/>
        </w:numPr>
        <w:suppressAutoHyphens w:val="false"/>
        <w:spacing w:before="0" w:after="160"/>
        <w:jc w:val="both"/>
        <w:rPr>
          <w:rFonts w:ascii="Times New Roman" w:hAnsi="Times New Roman" w:cs="Times New Roman"/>
          <w:sz w:val="20"/>
          <w:szCs w:val="20"/>
        </w:rPr>
      </w:pPr>
      <w:r>
        <w:rPr>
          <w:rFonts w:cs="Times New Roman" w:ascii="Times New Roman" w:hAnsi="Times New Roman"/>
          <w:sz w:val="20"/>
          <w:szCs w:val="20"/>
        </w:rPr>
        <w:t>Descripción: La capacidad de identificar problemas, analizar situaciones y proponer soluciones efectivas.</w:t>
      </w:r>
    </w:p>
    <w:p>
      <w:pPr>
        <w:pStyle w:val="Normal"/>
        <w:numPr>
          <w:ilvl w:val="0"/>
          <w:numId w:val="4"/>
        </w:numPr>
        <w:suppressAutoHyphens w:val="false"/>
        <w:spacing w:before="0" w:after="160"/>
        <w:jc w:val="both"/>
        <w:rPr>
          <w:rFonts w:ascii="Times New Roman" w:hAnsi="Times New Roman" w:cs="Times New Roman"/>
          <w:sz w:val="20"/>
          <w:szCs w:val="20"/>
        </w:rPr>
      </w:pPr>
      <w:r>
        <w:rPr>
          <w:rFonts w:cs="Times New Roman" w:ascii="Times New Roman" w:hAnsi="Times New Roman"/>
          <w:sz w:val="20"/>
          <w:szCs w:val="20"/>
        </w:rPr>
        <w:t>Importancia: Fomenta la innovación y mejora la eficiencia dentro de la organización.</w:t>
      </w:r>
    </w:p>
    <w:p>
      <w:pPr>
        <w:pStyle w:val="Normal"/>
        <w:spacing w:before="0" w:after="160"/>
        <w:jc w:val="both"/>
        <w:rPr>
          <w:rFonts w:ascii="Times New Roman" w:hAnsi="Times New Roman" w:cs="Times New Roman"/>
          <w:sz w:val="20"/>
          <w:szCs w:val="20"/>
        </w:rPr>
      </w:pPr>
      <w:r>
        <w:rPr>
          <w:rFonts w:cs="Times New Roman" w:ascii="Times New Roman" w:hAnsi="Times New Roman"/>
          <w:sz w:val="20"/>
          <w:szCs w:val="20"/>
        </w:rPr>
        <w:t>Liderazgo</w:t>
      </w:r>
    </w:p>
    <w:p>
      <w:pPr>
        <w:pStyle w:val="Normal"/>
        <w:numPr>
          <w:ilvl w:val="0"/>
          <w:numId w:val="5"/>
        </w:numPr>
        <w:suppressAutoHyphens w:val="false"/>
        <w:spacing w:before="0" w:after="160"/>
        <w:jc w:val="both"/>
        <w:rPr>
          <w:rFonts w:ascii="Times New Roman" w:hAnsi="Times New Roman" w:cs="Times New Roman"/>
          <w:sz w:val="20"/>
          <w:szCs w:val="20"/>
        </w:rPr>
      </w:pPr>
      <w:r>
        <w:rPr>
          <w:rFonts w:cs="Times New Roman" w:ascii="Times New Roman" w:hAnsi="Times New Roman"/>
          <w:sz w:val="20"/>
          <w:szCs w:val="20"/>
        </w:rPr>
        <w:t>Descripción: La habilidad de motivar e inspirar a otros, además de tomar decisiones y guiar a un grupo hacia objetivos.</w:t>
      </w:r>
    </w:p>
    <w:p>
      <w:pPr>
        <w:pStyle w:val="Normal"/>
        <w:numPr>
          <w:ilvl w:val="0"/>
          <w:numId w:val="5"/>
        </w:numPr>
        <w:suppressAutoHyphens w:val="false"/>
        <w:spacing w:before="0" w:after="160"/>
        <w:jc w:val="both"/>
        <w:rPr>
          <w:rFonts w:ascii="Times New Roman" w:hAnsi="Times New Roman" w:cs="Times New Roman"/>
          <w:sz w:val="20"/>
          <w:szCs w:val="20"/>
        </w:rPr>
      </w:pPr>
      <w:r>
        <w:rPr>
          <w:rFonts w:cs="Times New Roman" w:ascii="Times New Roman" w:hAnsi="Times New Roman"/>
          <w:sz w:val="20"/>
          <w:szCs w:val="20"/>
        </w:rPr>
        <w:t>Importancia: Los líderes efectivos pueden influir positivamente en la cultura organizacional y mejorar el rendimiento del equipo.</w:t>
      </w:r>
    </w:p>
    <w:p>
      <w:pPr>
        <w:pStyle w:val="Normal"/>
        <w:spacing w:before="0" w:after="160"/>
        <w:jc w:val="both"/>
        <w:rPr>
          <w:rFonts w:ascii="Times New Roman" w:hAnsi="Times New Roman" w:cs="Times New Roman"/>
          <w:sz w:val="20"/>
          <w:szCs w:val="20"/>
        </w:rPr>
      </w:pPr>
      <w:r>
        <w:rPr>
          <w:rFonts w:cs="Times New Roman" w:ascii="Times New Roman" w:hAnsi="Times New Roman"/>
          <w:sz w:val="20"/>
          <w:szCs w:val="20"/>
        </w:rPr>
        <w:t>Adaptabilidad</w:t>
      </w:r>
    </w:p>
    <w:p>
      <w:pPr>
        <w:pStyle w:val="Normal"/>
        <w:numPr>
          <w:ilvl w:val="0"/>
          <w:numId w:val="6"/>
        </w:numPr>
        <w:suppressAutoHyphens w:val="false"/>
        <w:spacing w:before="0" w:after="160"/>
        <w:jc w:val="both"/>
        <w:rPr>
          <w:rFonts w:ascii="Times New Roman" w:hAnsi="Times New Roman" w:cs="Times New Roman"/>
          <w:sz w:val="20"/>
          <w:szCs w:val="20"/>
        </w:rPr>
      </w:pPr>
      <w:r>
        <w:rPr>
          <w:rFonts w:cs="Times New Roman" w:ascii="Times New Roman" w:hAnsi="Times New Roman"/>
          <w:sz w:val="20"/>
          <w:szCs w:val="20"/>
        </w:rPr>
        <w:t>Descripción: La capacidad de ajustarse a nuevas condiciones y manejar el cambio de manera efectiva.</w:t>
      </w:r>
    </w:p>
    <w:p>
      <w:pPr>
        <w:pStyle w:val="Normal"/>
        <w:numPr>
          <w:ilvl w:val="0"/>
          <w:numId w:val="6"/>
        </w:numPr>
        <w:suppressAutoHyphens w:val="false"/>
        <w:spacing w:before="0" w:after="160"/>
        <w:jc w:val="both"/>
        <w:rPr>
          <w:rFonts w:ascii="Times New Roman" w:hAnsi="Times New Roman" w:cs="Times New Roman"/>
          <w:sz w:val="20"/>
          <w:szCs w:val="20"/>
        </w:rPr>
      </w:pPr>
      <w:r>
        <w:rPr>
          <w:rFonts w:cs="Times New Roman" w:ascii="Times New Roman" w:hAnsi="Times New Roman"/>
          <w:sz w:val="20"/>
          <w:szCs w:val="20"/>
        </w:rPr>
        <w:t>Importancia: En un entorno laboral en constante evolución, ser adaptable es esencial para el éxito.</w:t>
      </w:r>
    </w:p>
    <w:p>
      <w:pPr>
        <w:pStyle w:val="Normal"/>
        <w:spacing w:before="0" w:after="160"/>
        <w:jc w:val="both"/>
        <w:rPr>
          <w:rFonts w:ascii="Times New Roman" w:hAnsi="Times New Roman" w:cs="Times New Roman"/>
          <w:sz w:val="20"/>
          <w:szCs w:val="20"/>
        </w:rPr>
      </w:pPr>
      <w:r>
        <w:rPr>
          <w:rFonts w:cs="Times New Roman" w:ascii="Times New Roman" w:hAnsi="Times New Roman"/>
          <w:sz w:val="20"/>
          <w:szCs w:val="20"/>
        </w:rPr>
        <w:t>Empatía</w:t>
      </w:r>
    </w:p>
    <w:p>
      <w:pPr>
        <w:pStyle w:val="Normal"/>
        <w:numPr>
          <w:ilvl w:val="0"/>
          <w:numId w:val="7"/>
        </w:numPr>
        <w:suppressAutoHyphens w:val="false"/>
        <w:spacing w:before="0" w:after="160"/>
        <w:jc w:val="both"/>
        <w:rPr>
          <w:rFonts w:ascii="Times New Roman" w:hAnsi="Times New Roman" w:cs="Times New Roman"/>
          <w:sz w:val="20"/>
          <w:szCs w:val="20"/>
        </w:rPr>
      </w:pPr>
      <w:r>
        <w:rPr>
          <w:rFonts w:cs="Times New Roman" w:ascii="Times New Roman" w:hAnsi="Times New Roman"/>
          <w:sz w:val="20"/>
          <w:szCs w:val="20"/>
        </w:rPr>
        <w:t>Descripción: La habilidad de comprender y compartir los sentimientos de los demás, lo que ayuda a construir relaciones sólidas.</w:t>
      </w:r>
    </w:p>
    <w:p>
      <w:pPr>
        <w:pStyle w:val="Normal"/>
        <w:numPr>
          <w:ilvl w:val="0"/>
          <w:numId w:val="7"/>
        </w:numPr>
        <w:suppressAutoHyphens w:val="false"/>
        <w:spacing w:before="0" w:after="160"/>
        <w:jc w:val="both"/>
        <w:rPr>
          <w:rFonts w:ascii="Times New Roman" w:hAnsi="Times New Roman" w:cs="Times New Roman"/>
          <w:sz w:val="20"/>
          <w:szCs w:val="20"/>
        </w:rPr>
      </w:pPr>
      <w:r>
        <w:rPr>
          <w:rFonts w:cs="Times New Roman" w:ascii="Times New Roman" w:hAnsi="Times New Roman"/>
          <w:sz w:val="20"/>
          <w:szCs w:val="20"/>
        </w:rPr>
        <w:t>Importancia: Fomenta un ambiente de trabajo positivo y mejora la colaboración.</w:t>
      </w:r>
    </w:p>
    <w:p>
      <w:pPr>
        <w:pStyle w:val="Normal"/>
        <w:spacing w:before="0" w:after="160"/>
        <w:jc w:val="both"/>
        <w:rPr>
          <w:rFonts w:ascii="Times New Roman" w:hAnsi="Times New Roman" w:cs="Times New Roman"/>
          <w:sz w:val="20"/>
          <w:szCs w:val="20"/>
        </w:rPr>
      </w:pPr>
      <w:r>
        <w:rPr>
          <w:rFonts w:cs="Times New Roman" w:ascii="Times New Roman" w:hAnsi="Times New Roman"/>
          <w:sz w:val="20"/>
          <w:szCs w:val="20"/>
        </w:rPr>
        <w:t>Gestión del tiempo</w:t>
      </w:r>
    </w:p>
    <w:p>
      <w:pPr>
        <w:pStyle w:val="Normal"/>
        <w:numPr>
          <w:ilvl w:val="0"/>
          <w:numId w:val="8"/>
        </w:numPr>
        <w:suppressAutoHyphens w:val="false"/>
        <w:spacing w:before="0" w:after="160"/>
        <w:jc w:val="both"/>
        <w:rPr>
          <w:rFonts w:ascii="Times New Roman" w:hAnsi="Times New Roman" w:cs="Times New Roman"/>
          <w:sz w:val="20"/>
          <w:szCs w:val="20"/>
        </w:rPr>
      </w:pPr>
      <w:r>
        <w:rPr>
          <w:rFonts w:cs="Times New Roman" w:ascii="Times New Roman" w:hAnsi="Times New Roman"/>
          <w:sz w:val="20"/>
          <w:szCs w:val="20"/>
        </w:rPr>
        <w:t>Descripción: La capacidad de organizar y planificar cómo dividir el tiempo entre diversas actividades.</w:t>
      </w:r>
    </w:p>
    <w:p>
      <w:pPr>
        <w:pStyle w:val="Normal"/>
        <w:numPr>
          <w:ilvl w:val="0"/>
          <w:numId w:val="8"/>
        </w:numPr>
        <w:suppressAutoHyphens w:val="false"/>
        <w:spacing w:before="0" w:after="160"/>
        <w:jc w:val="both"/>
        <w:rPr>
          <w:rFonts w:ascii="Times New Roman" w:hAnsi="Times New Roman" w:cs="Times New Roman"/>
          <w:sz w:val="20"/>
          <w:szCs w:val="20"/>
        </w:rPr>
      </w:pPr>
      <w:r>
        <w:rPr>
          <w:rFonts w:cs="Times New Roman" w:ascii="Times New Roman" w:hAnsi="Times New Roman"/>
          <w:sz w:val="20"/>
          <w:szCs w:val="20"/>
        </w:rPr>
        <w:t>Importancia: Ayuda a aumentar la productividad ya cumplir con plazos y objetivos.</w:t>
      </w:r>
    </w:p>
    <w:p>
      <w:pPr>
        <w:pStyle w:val="Normal"/>
        <w:spacing w:before="0" w:after="160"/>
        <w:jc w:val="both"/>
        <w:rPr>
          <w:rFonts w:ascii="Times New Roman" w:hAnsi="Times New Roman" w:cs="Times New Roman"/>
          <w:sz w:val="20"/>
          <w:szCs w:val="20"/>
        </w:rPr>
      </w:pPr>
      <w:r>
        <w:rPr>
          <w:rFonts w:cs="Times New Roman" w:ascii="Times New Roman" w:hAnsi="Times New Roman"/>
          <w:sz w:val="20"/>
          <w:szCs w:val="20"/>
        </w:rPr>
        <w:t>Importancia de las Habilidades Bla</w:t>
      </w:r>
      <w:r>
        <w:rPr>
          <w:rFonts w:cs="Times New Roman" w:ascii="Times New Roman" w:hAnsi="Times New Roman"/>
          <w:sz w:val="20"/>
          <w:szCs w:val="20"/>
        </w:rPr>
        <w:t>n</w:t>
      </w:r>
      <w:r>
        <w:rPr>
          <w:rFonts w:cs="Times New Roman" w:ascii="Times New Roman" w:hAnsi="Times New Roman"/>
          <w:sz w:val="20"/>
          <w:szCs w:val="20"/>
        </w:rPr>
        <w:t>das en el Mundo Laboral</w:t>
      </w:r>
    </w:p>
    <w:p>
      <w:pPr>
        <w:pStyle w:val="Normal"/>
        <w:numPr>
          <w:ilvl w:val="0"/>
          <w:numId w:val="9"/>
        </w:numPr>
        <w:suppressAutoHyphens w:val="false"/>
        <w:spacing w:before="0" w:after="160"/>
        <w:jc w:val="both"/>
        <w:rPr>
          <w:rFonts w:ascii="Times New Roman" w:hAnsi="Times New Roman" w:cs="Times New Roman"/>
          <w:sz w:val="20"/>
          <w:szCs w:val="20"/>
        </w:rPr>
      </w:pPr>
      <w:r>
        <w:rPr>
          <w:rFonts w:cs="Times New Roman" w:ascii="Times New Roman" w:hAnsi="Times New Roman"/>
          <w:sz w:val="20"/>
          <w:szCs w:val="20"/>
        </w:rPr>
        <w:t>Mejoran la Comunicación: Facilitan el entendimiento entre colegas y con clientes, lo que puede conducir a un ambiente de trabajo más armonioso.</w:t>
      </w:r>
    </w:p>
    <w:p>
      <w:pPr>
        <w:pStyle w:val="Normal"/>
        <w:numPr>
          <w:ilvl w:val="0"/>
          <w:numId w:val="9"/>
        </w:numPr>
        <w:suppressAutoHyphens w:val="false"/>
        <w:spacing w:before="0" w:after="160"/>
        <w:jc w:val="both"/>
        <w:rPr>
          <w:rFonts w:ascii="Times New Roman" w:hAnsi="Times New Roman" w:cs="Times New Roman"/>
          <w:sz w:val="20"/>
          <w:szCs w:val="20"/>
        </w:rPr>
      </w:pPr>
      <w:r>
        <w:rPr>
          <w:rFonts w:cs="Times New Roman" w:ascii="Times New Roman" w:hAnsi="Times New Roman"/>
          <w:sz w:val="20"/>
          <w:szCs w:val="20"/>
        </w:rPr>
        <w:t>Fomentan el Trabajo en Equipo: Permiten que los equipos funcionen de manera más efectiva, lo que puede llevar a una mayor creatividad y mejores resultados.</w:t>
      </w:r>
    </w:p>
    <w:p>
      <w:pPr>
        <w:pStyle w:val="Normal"/>
        <w:numPr>
          <w:ilvl w:val="0"/>
          <w:numId w:val="9"/>
        </w:numPr>
        <w:suppressAutoHyphens w:val="false"/>
        <w:spacing w:before="0" w:after="160"/>
        <w:jc w:val="both"/>
        <w:rPr>
          <w:rFonts w:ascii="Times New Roman" w:hAnsi="Times New Roman" w:cs="Times New Roman"/>
          <w:sz w:val="20"/>
          <w:szCs w:val="20"/>
        </w:rPr>
      </w:pPr>
      <w:r>
        <w:rPr>
          <w:rFonts w:cs="Times New Roman" w:ascii="Times New Roman" w:hAnsi="Times New Roman"/>
          <w:sz w:val="20"/>
          <w:szCs w:val="20"/>
        </w:rPr>
        <w:t>Aumentan la Empleabilidad: Los obstáculos valoran las habilidades blandas, ya que son indicadores de cómo un candidato puede integrarse y contribuir a la cultura de la empresa.</w:t>
      </w:r>
    </w:p>
    <w:p>
      <w:pPr>
        <w:pStyle w:val="Normal"/>
        <w:numPr>
          <w:ilvl w:val="0"/>
          <w:numId w:val="9"/>
        </w:numPr>
        <w:suppressAutoHyphens w:val="false"/>
        <w:spacing w:before="0" w:after="160"/>
        <w:jc w:val="both"/>
        <w:rPr>
          <w:rFonts w:ascii="Times New Roman" w:hAnsi="Times New Roman" w:cs="Times New Roman"/>
          <w:sz w:val="20"/>
          <w:szCs w:val="20"/>
        </w:rPr>
      </w:pPr>
      <w:r>
        <w:rPr>
          <w:rFonts w:cs="Times New Roman" w:ascii="Times New Roman" w:hAnsi="Times New Roman"/>
          <w:sz w:val="20"/>
          <w:szCs w:val="20"/>
        </w:rPr>
        <w:t>Contribuyen al Liderazgo: Las habilidades blandas son fundamentales para los líderes, ya que les permiten gestionar equipos y tomar decisiones informadas.</w:t>
      </w:r>
    </w:p>
    <w:p>
      <w:pPr>
        <w:pStyle w:val="Normal"/>
        <w:jc w:val="both"/>
        <w:rPr>
          <w:rFonts w:ascii="Times New Roman" w:hAnsi="Times New Roman" w:cs="Times New Roman"/>
          <w:sz w:val="20"/>
          <w:szCs w:val="20"/>
        </w:rPr>
      </w:pPr>
      <w:r>
        <w:rPr>
          <w:rFonts w:cs="Times New Roman" w:ascii="Times New Roman" w:hAnsi="Times New Roman"/>
          <w:sz w:val="20"/>
          <w:szCs w:val="20"/>
        </w:rPr>
      </w:r>
    </w:p>
    <w:p>
      <w:pPr>
        <w:pStyle w:val="Normal"/>
        <w:jc w:val="center"/>
        <w:rPr>
          <w:rFonts w:ascii="Times New Roman" w:hAnsi="Times New Roman" w:cs="Times New Roman"/>
          <w:sz w:val="20"/>
          <w:szCs w:val="20"/>
        </w:rPr>
      </w:pPr>
      <w:r>
        <w:rPr/>
        <w:drawing>
          <wp:inline distT="0" distB="0" distL="0" distR="0">
            <wp:extent cx="2722880" cy="1526540"/>
            <wp:effectExtent l="0" t="0" r="0" b="0"/>
            <wp:docPr id="5" name="Imagen4" descr="Interfaz de usuario gráfica, Sitio web&#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4" descr="Interfaz de usuario gráfica, Sitio web&#10;&#10;Descripción generada automáticamente"/>
                    <pic:cNvPicPr>
                      <a:picLocks noChangeAspect="1" noChangeArrowheads="1"/>
                    </pic:cNvPicPr>
                  </pic:nvPicPr>
                  <pic:blipFill>
                    <a:blip r:embed="rId11"/>
                    <a:stretch>
                      <a:fillRect/>
                    </a:stretch>
                  </pic:blipFill>
                  <pic:spPr bwMode="auto">
                    <a:xfrm>
                      <a:off x="0" y="0"/>
                      <a:ext cx="2722880" cy="1526540"/>
                    </a:xfrm>
                    <a:prstGeom prst="rect">
                      <a:avLst/>
                    </a:prstGeom>
                  </pic:spPr>
                </pic:pic>
              </a:graphicData>
            </a:graphic>
          </wp:inline>
        </w:drawing>
      </w:r>
    </w:p>
    <w:p>
      <w:pPr>
        <w:pStyle w:val="Normal"/>
        <w:jc w:val="center"/>
        <w:rPr>
          <w:rFonts w:ascii="Times New Roman" w:hAnsi="Times New Roman" w:cs="Times New Roman"/>
          <w:i/>
          <w:i/>
          <w:iCs/>
          <w:sz w:val="20"/>
          <w:szCs w:val="20"/>
        </w:rPr>
      </w:pPr>
      <w:r>
        <w:rPr>
          <w:rFonts w:cs="Times New Roman" w:ascii="Times New Roman" w:hAnsi="Times New Roman"/>
          <w:i/>
          <w:iCs/>
          <w:sz w:val="20"/>
          <w:szCs w:val="20"/>
        </w:rPr>
        <w:t>Figura</w:t>
      </w:r>
      <w:r>
        <w:rPr>
          <w:rFonts w:cs="Times New Roman" w:ascii="Times New Roman" w:hAnsi="Times New Roman"/>
          <w:i/>
          <w:iCs/>
          <w:sz w:val="20"/>
          <w:szCs w:val="20"/>
        </w:rPr>
        <w:t xml:space="preserve"> </w:t>
      </w:r>
      <w:r>
        <w:rPr>
          <w:rFonts w:cs="Times New Roman" w:ascii="Times New Roman" w:hAnsi="Times New Roman"/>
          <w:i/>
          <w:iCs/>
          <w:sz w:val="20"/>
          <w:szCs w:val="20"/>
        </w:rPr>
        <w:t>1</w:t>
      </w:r>
      <w:r>
        <w:rPr>
          <w:rFonts w:cs="Times New Roman" w:ascii="Times New Roman" w:hAnsi="Times New Roman"/>
          <w:i/>
          <w:iCs/>
          <w:sz w:val="20"/>
          <w:szCs w:val="20"/>
        </w:rPr>
        <w:t xml:space="preserve">. Conferencia “la conexión entre la vida profesional y personal”. </w:t>
      </w:r>
      <w:r>
        <w:rPr>
          <w:rFonts w:cs="Times New Roman" w:ascii="Times New Roman" w:hAnsi="Times New Roman"/>
          <w:i/>
          <w:iCs/>
          <w:sz w:val="20"/>
          <w:szCs w:val="20"/>
        </w:rPr>
        <w:t>Fuente: Elaboración propia.</w:t>
      </w:r>
    </w:p>
    <w:p>
      <w:pPr>
        <w:pStyle w:val="Normal"/>
        <w:jc w:val="both"/>
        <w:rPr>
          <w:rFonts w:ascii="Times New Roman" w:hAnsi="Times New Roman" w:cs="Times New Roman"/>
          <w:sz w:val="20"/>
          <w:szCs w:val="20"/>
        </w:rPr>
      </w:pPr>
      <w:r>
        <w:rPr>
          <w:rFonts w:cs="Times New Roman" w:ascii="Times New Roman" w:hAnsi="Times New Roman"/>
          <w:sz w:val="20"/>
          <w:szCs w:val="20"/>
        </w:rPr>
        <w:t xml:space="preserve">El resultado final de la conferencia fue la interactividad que empezaron a mostrar los estudiantes dentro del aula, además del impacto que genero el querer buscar nuevas actividades para su próxima etapa. </w:t>
      </w:r>
    </w:p>
    <w:p>
      <w:pPr>
        <w:pStyle w:val="Normal"/>
        <w:jc w:val="both"/>
        <w:rPr>
          <w:rFonts w:ascii="Times New Roman" w:hAnsi="Times New Roman" w:cs="Times New Roman"/>
          <w:sz w:val="20"/>
          <w:szCs w:val="20"/>
        </w:rPr>
      </w:pPr>
      <w:r>
        <w:rPr/>
      </w:r>
    </w:p>
    <w:p>
      <w:pPr>
        <w:pStyle w:val="Normal"/>
        <w:jc w:val="both"/>
        <w:rPr>
          <w:rFonts w:ascii="Times New Roman" w:hAnsi="Times New Roman" w:cs="Times New Roman"/>
          <w:sz w:val="20"/>
          <w:szCs w:val="20"/>
        </w:rPr>
      </w:pPr>
      <w:r>
        <w:rPr>
          <w:rFonts w:cs="Times New Roman" w:ascii="Times New Roman" w:hAnsi="Times New Roman"/>
          <w:sz w:val="20"/>
          <w:szCs w:val="20"/>
        </w:rPr>
        <w:t>Estrategia 2. “Interpretando la actividad”</w:t>
      </w:r>
    </w:p>
    <w:p>
      <w:pPr>
        <w:pStyle w:val="Normal"/>
        <w:numPr>
          <w:ilvl w:val="0"/>
          <w:numId w:val="1"/>
        </w:numPr>
        <w:suppressAutoHyphens w:val="false"/>
        <w:spacing w:before="0" w:after="160"/>
        <w:jc w:val="both"/>
        <w:rPr>
          <w:rFonts w:ascii="Times New Roman" w:hAnsi="Times New Roman" w:cs="Times New Roman"/>
          <w:sz w:val="20"/>
          <w:szCs w:val="20"/>
        </w:rPr>
      </w:pPr>
      <w:r>
        <w:rPr>
          <w:rFonts w:cs="Times New Roman" w:ascii="Times New Roman" w:hAnsi="Times New Roman"/>
          <w:sz w:val="20"/>
          <w:szCs w:val="20"/>
        </w:rPr>
        <w:t>A tr</w:t>
      </w:r>
      <w:r>
        <w:rPr>
          <w:rFonts w:cs="Times New Roman" w:ascii="Times New Roman" w:hAnsi="Times New Roman"/>
          <w:sz w:val="20"/>
          <w:szCs w:val="20"/>
        </w:rPr>
        <w:t>a</w:t>
      </w:r>
      <w:r>
        <w:rPr>
          <w:rFonts w:cs="Times New Roman" w:ascii="Times New Roman" w:hAnsi="Times New Roman"/>
          <w:sz w:val="20"/>
          <w:szCs w:val="20"/>
        </w:rPr>
        <w:t xml:space="preserve">vés de algunas materias, se desarrolló una actividad que mostrara como el individuo observa el entorno donde vive, que consiste en hacer un mismo animal, objeto o cosa, esto con el objetivo de que cada uno de ellos mostrara sus mejores talentos y saber la reacción que tendrían al momento de ser evaluado, </w:t>
      </w:r>
      <w:r>
        <w:rPr>
          <w:rFonts w:cs="Times New Roman" w:ascii="Times New Roman" w:hAnsi="Times New Roman"/>
          <w:sz w:val="20"/>
          <w:szCs w:val="20"/>
        </w:rPr>
        <w:t>Figura 2</w:t>
      </w:r>
      <w:r>
        <w:rPr>
          <w:rFonts w:cs="Times New Roman" w:ascii="Times New Roman" w:hAnsi="Times New Roman"/>
          <w:sz w:val="20"/>
          <w:szCs w:val="20"/>
        </w:rPr>
        <w:t>.</w:t>
      </w:r>
    </w:p>
    <w:p>
      <w:pPr>
        <w:pStyle w:val="Normal"/>
        <w:numPr>
          <w:ilvl w:val="0"/>
          <w:numId w:val="1"/>
        </w:numPr>
        <w:suppressAutoHyphens w:val="false"/>
        <w:spacing w:before="0" w:after="160"/>
        <w:jc w:val="both"/>
        <w:rPr>
          <w:rFonts w:ascii="Times New Roman" w:hAnsi="Times New Roman" w:cs="Times New Roman"/>
          <w:sz w:val="20"/>
          <w:szCs w:val="20"/>
        </w:rPr>
      </w:pPr>
      <w:r>
        <w:rPr>
          <w:rFonts w:cs="Times New Roman" w:ascii="Times New Roman" w:hAnsi="Times New Roman"/>
          <w:sz w:val="20"/>
          <w:szCs w:val="20"/>
        </w:rPr>
        <w:t>El punto principal de la actividad es mostrar los trabajos a los demás, para que estos puedan emitir su opinión sobre esta.</w:t>
      </w:r>
    </w:p>
    <w:p>
      <w:pPr>
        <w:pStyle w:val="Normal"/>
        <w:numPr>
          <w:ilvl w:val="0"/>
          <w:numId w:val="1"/>
        </w:numPr>
        <w:suppressAutoHyphens w:val="false"/>
        <w:spacing w:before="0" w:after="160"/>
        <w:jc w:val="both"/>
        <w:rPr>
          <w:rFonts w:ascii="Times New Roman" w:hAnsi="Times New Roman" w:cs="Times New Roman"/>
          <w:sz w:val="20"/>
          <w:szCs w:val="20"/>
        </w:rPr>
      </w:pPr>
      <w:r>
        <w:rPr>
          <w:rFonts w:cs="Times New Roman" w:ascii="Times New Roman" w:hAnsi="Times New Roman"/>
          <w:sz w:val="20"/>
          <w:szCs w:val="20"/>
        </w:rPr>
        <w:t>Finalmente, se le enseña que no importa si es dibujo es bueno malo, sino que es único y por esa índole debe ser valorado dentro del entorno donde están.</w:t>
      </w:r>
    </w:p>
    <w:p>
      <w:pPr>
        <w:pStyle w:val="Normal"/>
        <w:jc w:val="center"/>
        <w:rPr>
          <w:rFonts w:ascii="Times New Roman" w:hAnsi="Times New Roman" w:cs="Times New Roman"/>
          <w:sz w:val="20"/>
          <w:szCs w:val="20"/>
        </w:rPr>
      </w:pPr>
      <w:r>
        <w:rPr/>
        <w:drawing>
          <wp:inline distT="0" distB="0" distL="0" distR="0">
            <wp:extent cx="2915920" cy="1623695"/>
            <wp:effectExtent l="0" t="0" r="0" b="0"/>
            <wp:docPr id="6" name="Imagen5" descr="Un grupo de libros en una mes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5" descr="Un grupo de libros en una mesa&#10;&#10;El contenido generado por IA puede ser incorrecto."/>
                    <pic:cNvPicPr>
                      <a:picLocks noChangeAspect="1" noChangeArrowheads="1"/>
                    </pic:cNvPicPr>
                  </pic:nvPicPr>
                  <pic:blipFill>
                    <a:blip r:embed="rId12"/>
                    <a:stretch>
                      <a:fillRect/>
                    </a:stretch>
                  </pic:blipFill>
                  <pic:spPr bwMode="auto">
                    <a:xfrm>
                      <a:off x="0" y="0"/>
                      <a:ext cx="2915920" cy="1623695"/>
                    </a:xfrm>
                    <a:prstGeom prst="rect">
                      <a:avLst/>
                    </a:prstGeom>
                  </pic:spPr>
                </pic:pic>
              </a:graphicData>
            </a:graphic>
          </wp:inline>
        </w:drawing>
      </w:r>
    </w:p>
    <w:p>
      <w:pPr>
        <w:pStyle w:val="Normal"/>
        <w:jc w:val="center"/>
        <w:rPr>
          <w:rFonts w:ascii="Times New Roman" w:hAnsi="Times New Roman" w:cs="Times New Roman"/>
          <w:i/>
          <w:i/>
          <w:iCs/>
          <w:sz w:val="20"/>
          <w:szCs w:val="20"/>
        </w:rPr>
      </w:pPr>
      <w:r>
        <w:rPr>
          <w:rFonts w:cs="Times New Roman" w:ascii="Times New Roman" w:hAnsi="Times New Roman"/>
          <w:i/>
          <w:iCs/>
          <w:sz w:val="20"/>
          <w:szCs w:val="20"/>
        </w:rPr>
        <w:t>Figura</w:t>
      </w:r>
      <w:r>
        <w:rPr>
          <w:rFonts w:cs="Times New Roman" w:ascii="Times New Roman" w:hAnsi="Times New Roman"/>
          <w:i/>
          <w:iCs/>
          <w:sz w:val="20"/>
          <w:szCs w:val="20"/>
        </w:rPr>
        <w:t xml:space="preserve"> </w:t>
      </w:r>
      <w:r>
        <w:rPr>
          <w:rFonts w:cs="Times New Roman" w:ascii="Times New Roman" w:hAnsi="Times New Roman"/>
          <w:i/>
          <w:iCs/>
          <w:sz w:val="20"/>
          <w:szCs w:val="20"/>
        </w:rPr>
        <w:t>2</w:t>
      </w:r>
      <w:r>
        <w:rPr>
          <w:rFonts w:cs="Times New Roman" w:ascii="Times New Roman" w:hAnsi="Times New Roman"/>
          <w:i/>
          <w:iCs/>
          <w:sz w:val="20"/>
          <w:szCs w:val="20"/>
        </w:rPr>
        <w:t xml:space="preserve">. Desarrollo de actividad. </w:t>
      </w:r>
      <w:r>
        <w:rPr>
          <w:rFonts w:cs="Times New Roman" w:ascii="Times New Roman" w:hAnsi="Times New Roman"/>
          <w:i/>
          <w:iCs/>
          <w:sz w:val="20"/>
          <w:szCs w:val="20"/>
        </w:rPr>
        <w:t>Fuente: Elaboración propia.</w:t>
      </w:r>
    </w:p>
    <w:p>
      <w:pPr>
        <w:pStyle w:val="Normal"/>
        <w:jc w:val="both"/>
        <w:rPr>
          <w:rFonts w:ascii="Times New Roman" w:hAnsi="Times New Roman" w:cs="Times New Roman"/>
          <w:sz w:val="20"/>
          <w:szCs w:val="20"/>
        </w:rPr>
      </w:pPr>
      <w:r>
        <w:rPr/>
      </w:r>
    </w:p>
    <w:p>
      <w:pPr>
        <w:pStyle w:val="Normal"/>
        <w:jc w:val="both"/>
        <w:rPr>
          <w:rFonts w:ascii="Times New Roman" w:hAnsi="Times New Roman" w:cs="Times New Roman"/>
          <w:sz w:val="20"/>
          <w:szCs w:val="20"/>
        </w:rPr>
      </w:pPr>
      <w:r>
        <w:rPr>
          <w:rFonts w:cs="Times New Roman" w:ascii="Times New Roman" w:hAnsi="Times New Roman"/>
          <w:sz w:val="20"/>
          <w:szCs w:val="20"/>
        </w:rPr>
        <w:t>Dentro de esta actividad se pudo notar la interpretación del individuo, lo que de forma estrategia muestra el comportamiento que tendrá al momento de realizar sus practicas profesionales, además que le ayudara a mejorar su trato con la gente, ya que la actividad pide por si sola que el alumno emita una opinión y que esta no sea agresiva, si no mas bien constructiva para mejorar el producto realizado.</w:t>
      </w:r>
    </w:p>
    <w:p>
      <w:pPr>
        <w:pStyle w:val="LOnormal"/>
        <w:jc w:val="both"/>
        <w:rPr>
          <w:lang w:val="en-US"/>
        </w:rPr>
      </w:pPr>
      <w:r>
        <w:rPr/>
      </w:r>
    </w:p>
    <w:p>
      <w:pPr>
        <w:pStyle w:val="LOnormal"/>
        <w:jc w:val="both"/>
        <w:rPr>
          <w:lang w:val="en-US"/>
        </w:rPr>
      </w:pPr>
      <w:r>
        <w:rPr/>
      </w:r>
    </w:p>
    <w:p>
      <w:pPr>
        <w:pStyle w:val="LOnormal"/>
        <w:jc w:val="both"/>
        <w:rPr>
          <w:lang w:val="en-US"/>
        </w:rPr>
      </w:pPr>
      <w:r>
        <w:rPr/>
      </w:r>
    </w:p>
    <w:p>
      <w:pPr>
        <w:pStyle w:val="LOnormal"/>
        <w:jc w:val="both"/>
        <w:rPr>
          <w:b/>
          <w:b/>
          <w:bCs/>
        </w:rPr>
      </w:pPr>
      <w:r>
        <w:rPr>
          <w:rFonts w:eastAsia="Times New Roman" w:cs="Times New Roman" w:ascii="Times New Roman" w:hAnsi="Times New Roman"/>
          <w:b/>
          <w:bCs/>
          <w:sz w:val="20"/>
          <w:szCs w:val="20"/>
        </w:rPr>
        <w:t>IV. DISCUSIÓN</w:t>
      </w:r>
    </w:p>
    <w:p>
      <w:pPr>
        <w:pStyle w:val="Normal"/>
        <w:jc w:val="both"/>
        <w:rPr>
          <w:rFonts w:ascii="Times New Roman" w:hAnsi="Times New Roman" w:cs="Times New Roman"/>
          <w:sz w:val="20"/>
          <w:szCs w:val="20"/>
        </w:rPr>
      </w:pPr>
      <w:r>
        <w:rPr>
          <w:rFonts w:cs="Times New Roman" w:ascii="Times New Roman" w:hAnsi="Times New Roman"/>
          <w:sz w:val="20"/>
          <w:szCs w:val="20"/>
        </w:rPr>
        <w:t xml:space="preserve">Según (Reyes, Brackett, 2023) La educación positiva también influye en la gestión del comportamiento dentro del aula. Según estudios recientes sobre la </w:t>
      </w:r>
      <w:r>
        <w:rPr>
          <w:rFonts w:cs="Times New Roman" w:ascii="Times New Roman" w:hAnsi="Times New Roman"/>
          <w:i/>
          <w:iCs/>
          <w:sz w:val="20"/>
          <w:szCs w:val="20"/>
        </w:rPr>
        <w:t>disciplina positiva</w:t>
      </w:r>
      <w:r>
        <w:rPr>
          <w:rFonts w:cs="Times New Roman" w:ascii="Times New Roman" w:hAnsi="Times New Roman"/>
          <w:sz w:val="20"/>
          <w:szCs w:val="20"/>
        </w:rPr>
        <w:t xml:space="preserve"> , un enfoque que promueve la resolución de problemas y la autorreflexión en lugar de castigos punitivos, mejora las relaciones entre estudiantes y docentes y fomenta una convivencia escolar más armónica. Esto contribuye a un clima de aprendizaje más saludable y respetuoso, de tal forma que en base a la matriz MEFI y MEFI se decidió buscar estrategias que mejoraran las habilidades de nuestros estudiantes, es de gran impacto interactuar y saber que es lo que piensan y sobre todo como se sienten al momento de estar por terminar su carrera universitaria.</w:t>
      </w:r>
    </w:p>
    <w:p>
      <w:pPr>
        <w:pStyle w:val="LOnormal"/>
        <w:jc w:val="both"/>
        <w:rPr>
          <w:lang w:val="en-US"/>
        </w:rPr>
      </w:pPr>
      <w:r>
        <w:rPr/>
      </w:r>
    </w:p>
    <w:p>
      <w:pPr>
        <w:pStyle w:val="LOnormal"/>
        <w:jc w:val="both"/>
        <w:rPr>
          <w:b/>
          <w:b/>
          <w:bCs/>
        </w:rPr>
      </w:pPr>
      <w:r>
        <w:rPr>
          <w:rFonts w:eastAsia="Times New Roman" w:cs="Times New Roman" w:ascii="Times New Roman" w:hAnsi="Times New Roman"/>
          <w:b/>
          <w:bCs/>
          <w:sz w:val="20"/>
          <w:szCs w:val="20"/>
        </w:rPr>
        <w:t>V. CONCLUSIONES</w:t>
      </w:r>
    </w:p>
    <w:p>
      <w:pPr>
        <w:pStyle w:val="Normal"/>
        <w:jc w:val="both"/>
        <w:rPr>
          <w:rFonts w:ascii="Times New Roman" w:hAnsi="Times New Roman" w:cs="Times New Roman"/>
          <w:sz w:val="20"/>
          <w:szCs w:val="20"/>
        </w:rPr>
      </w:pPr>
      <w:r>
        <w:rPr>
          <w:rFonts w:cs="Times New Roman" w:ascii="Times New Roman" w:hAnsi="Times New Roman"/>
          <w:sz w:val="20"/>
          <w:szCs w:val="20"/>
        </w:rPr>
        <w:t>Empezar a tratar las habilidades blandas como prioritarias darán un giro impresionante en el desarrollo de las actividades, ya que si el individuo no esta motivado o centrado a realizar lo que le corresponde poco va a avanzar en lo que necesita como se percató aquí, que por la falta de motivación o desarrollo personal cada vez era menos la interactividad que tenían en el desarrollo de su octavo semestre.</w:t>
      </w:r>
    </w:p>
    <w:p>
      <w:pPr>
        <w:pStyle w:val="LOnormal"/>
        <w:rPr>
          <w:lang w:val="en-US"/>
        </w:rPr>
      </w:pPr>
      <w:r>
        <w:rPr/>
      </w:r>
    </w:p>
    <w:p>
      <w:pPr>
        <w:pStyle w:val="LOnormal"/>
        <w:rPr>
          <w:b/>
          <w:b/>
          <w:bCs/>
        </w:rPr>
      </w:pPr>
      <w:r>
        <w:rPr>
          <w:rFonts w:eastAsia="Times New Roman" w:cs="Times New Roman" w:ascii="Times New Roman" w:hAnsi="Times New Roman"/>
          <w:b/>
          <w:bCs/>
          <w:sz w:val="20"/>
          <w:szCs w:val="20"/>
        </w:rPr>
        <w:t>REFERENCIAS</w:t>
      </w:r>
    </w:p>
    <w:p>
      <w:pPr>
        <w:pStyle w:val="LOnormal"/>
        <w:rPr>
          <w:b w:val="false"/>
          <w:b w:val="false"/>
          <w:bCs w:val="false"/>
          <w:color w:val="000000"/>
          <w:u w:val="none"/>
        </w:rPr>
      </w:pPr>
      <w:r>
        <w:rPr>
          <w:b w:val="false"/>
          <w:bCs w:val="false"/>
          <w:color w:val="000000"/>
          <w:u w:val="none"/>
        </w:rPr>
      </w:r>
    </w:p>
    <w:p>
      <w:pPr>
        <w:pStyle w:val="Normal"/>
        <w:jc w:val="both"/>
        <w:rPr>
          <w:b w:val="false"/>
          <w:b w:val="false"/>
          <w:bCs w:val="false"/>
          <w:color w:val="000000"/>
          <w:u w:val="none"/>
        </w:rPr>
      </w:pPr>
      <w:r>
        <w:rPr>
          <w:rFonts w:cs="Times New Roman" w:ascii="Times New Roman" w:hAnsi="Times New Roman"/>
          <w:b w:val="false"/>
          <w:bCs w:val="false"/>
          <w:color w:val="000000"/>
          <w:sz w:val="20"/>
          <w:szCs w:val="20"/>
          <w:u w:val="none"/>
        </w:rPr>
        <w:t xml:space="preserve">Carrera González, K. R., Dume Candelario, D. E., Dáger López, E. J., Dume Candelario, B. A., &amp; Candelario Arévalo, J. M. (2024). Metodología MEFE-MEFI: una Herramienta de Análisis Estratégico Para Pymes. </w:t>
      </w:r>
      <w:r>
        <w:rPr>
          <w:rFonts w:cs="Times New Roman" w:ascii="Times New Roman" w:hAnsi="Times New Roman"/>
          <w:b w:val="false"/>
          <w:bCs w:val="false"/>
          <w:i/>
          <w:iCs/>
          <w:color w:val="000000"/>
          <w:sz w:val="20"/>
          <w:szCs w:val="20"/>
          <w:u w:val="none"/>
        </w:rPr>
        <w:t>Ciencia Latina Revista Científica Multidisciplinar</w:t>
      </w:r>
      <w:r>
        <w:rPr>
          <w:rFonts w:cs="Times New Roman" w:ascii="Times New Roman" w:hAnsi="Times New Roman"/>
          <w:b w:val="false"/>
          <w:bCs w:val="false"/>
          <w:color w:val="000000"/>
          <w:sz w:val="20"/>
          <w:szCs w:val="20"/>
          <w:u w:val="none"/>
        </w:rPr>
        <w:t>, 8(5), 2423-2441.</w:t>
      </w:r>
    </w:p>
    <w:p>
      <w:pPr>
        <w:pStyle w:val="Normal"/>
        <w:jc w:val="both"/>
        <w:rPr>
          <w:rFonts w:ascii="Times New Roman" w:hAnsi="Times New Roman" w:cs="Times New Roman"/>
          <w:b w:val="false"/>
          <w:b w:val="false"/>
          <w:bCs w:val="false"/>
          <w:color w:val="000000"/>
          <w:sz w:val="20"/>
          <w:szCs w:val="20"/>
          <w:u w:val="none"/>
        </w:rPr>
      </w:pPr>
      <w:r>
        <w:rPr>
          <w:rFonts w:cs="Times New Roman" w:ascii="Times New Roman" w:hAnsi="Times New Roman"/>
          <w:b w:val="false"/>
          <w:bCs w:val="false"/>
          <w:color w:val="000000"/>
          <w:sz w:val="20"/>
          <w:szCs w:val="20"/>
          <w:u w:val="none"/>
        </w:rPr>
      </w:r>
    </w:p>
    <w:p>
      <w:pPr>
        <w:pStyle w:val="Normal"/>
        <w:jc w:val="both"/>
        <w:rPr>
          <w:b w:val="false"/>
          <w:b w:val="false"/>
          <w:bCs w:val="false"/>
          <w:color w:val="000000"/>
          <w:u w:val="none"/>
        </w:rPr>
      </w:pPr>
      <w:r>
        <w:rPr>
          <w:rFonts w:cs="Times New Roman" w:ascii="Times New Roman" w:hAnsi="Times New Roman"/>
          <w:b w:val="false"/>
          <w:bCs w:val="false"/>
          <w:color w:val="000000"/>
          <w:sz w:val="20"/>
          <w:szCs w:val="20"/>
          <w:u w:val="none"/>
        </w:rPr>
        <w:t>Reyes, MR, y Brackett, MA(2023). *El impacto del aprendizaje socioemocional en el rendimiento estudiantil: una metaanálisis</w:t>
      </w:r>
      <w:r>
        <w:rPr>
          <w:rFonts w:cs="Times New Roman" w:ascii="Times New Roman" w:hAnsi="Times New Roman"/>
          <w:b w:val="false"/>
          <w:bCs w:val="false"/>
          <w:i/>
          <w:iCs/>
          <w:color w:val="000000"/>
          <w:sz w:val="20"/>
          <w:szCs w:val="20"/>
          <w:u w:val="none"/>
        </w:rPr>
        <w:t>El impacto del aprendizaje socioemocional en el rendimiento estudiantil: un metaanálisis</w:t>
      </w:r>
      <w:r>
        <w:rPr>
          <w:rFonts w:cs="Times New Roman" w:ascii="Times New Roman" w:hAnsi="Times New Roman"/>
          <w:b w:val="false"/>
          <w:bCs w:val="false"/>
          <w:color w:val="000000"/>
          <w:sz w:val="20"/>
          <w:szCs w:val="20"/>
          <w:u w:val="none"/>
        </w:rPr>
        <w:t xml:space="preserve"> . </w:t>
      </w:r>
      <w:r>
        <w:rPr>
          <w:rFonts w:cs="Times New Roman" w:ascii="Times New Roman" w:hAnsi="Times New Roman"/>
          <w:b w:val="false"/>
          <w:bCs w:val="false"/>
          <w:i/>
          <w:iCs/>
          <w:color w:val="000000"/>
          <w:sz w:val="20"/>
          <w:szCs w:val="20"/>
          <w:u w:val="none"/>
        </w:rPr>
        <w:t>Psicólogo educativo</w:t>
      </w:r>
      <w:r>
        <w:rPr>
          <w:rFonts w:cs="Times New Roman" w:ascii="Times New Roman" w:hAnsi="Times New Roman"/>
          <w:b w:val="false"/>
          <w:bCs w:val="false"/>
          <w:color w:val="000000"/>
          <w:sz w:val="20"/>
          <w:szCs w:val="20"/>
          <w:u w:val="none"/>
        </w:rPr>
        <w:t>, 58(2), 106-118. doi:10.1080/00</w:t>
      </w:r>
    </w:p>
    <w:p>
      <w:pPr>
        <w:pStyle w:val="LOnormal"/>
        <w:jc w:val="both"/>
        <w:rPr>
          <w:b w:val="false"/>
          <w:b w:val="false"/>
          <w:bCs w:val="false"/>
          <w:color w:val="000000"/>
          <w:u w:val="none"/>
        </w:rPr>
      </w:pPr>
      <w:r>
        <w:rPr>
          <w:b w:val="false"/>
          <w:bCs w:val="false"/>
          <w:color w:val="000000"/>
          <w:u w:val="none"/>
        </w:rPr>
      </w:r>
    </w:p>
    <w:p>
      <w:pPr>
        <w:pStyle w:val="LOnormal"/>
        <w:jc w:val="both"/>
        <w:rPr/>
      </w:pPr>
      <w:r>
        <w:rPr>
          <w:rFonts w:cs="Times New Roman" w:ascii="Times New Roman" w:hAnsi="Times New Roman"/>
          <w:b w:val="false"/>
          <w:bCs w:val="false"/>
          <w:color w:val="000000"/>
          <w:sz w:val="20"/>
          <w:szCs w:val="20"/>
          <w:u w:val="none"/>
        </w:rPr>
        <w:t xml:space="preserve">Asociación Estadounidense de Psicología (APA) . (2022). </w:t>
      </w:r>
      <w:r>
        <w:rPr>
          <w:rFonts w:cs="Times New Roman" w:ascii="Times New Roman" w:hAnsi="Times New Roman"/>
          <w:b w:val="false"/>
          <w:bCs w:val="false"/>
          <w:i/>
          <w:iCs/>
          <w:color w:val="000000"/>
          <w:sz w:val="20"/>
          <w:szCs w:val="20"/>
          <w:u w:val="none"/>
        </w:rPr>
        <w:t>El papel de la educación positiva en la mejora del bienestar y el rendimiento académico de los estudiantes</w:t>
      </w:r>
      <w:r>
        <w:rPr>
          <w:rFonts w:cs="Times New Roman" w:ascii="Times New Roman" w:hAnsi="Times New Roman"/>
          <w:b w:val="false"/>
          <w:bCs w:val="false"/>
          <w:color w:val="000000"/>
          <w:sz w:val="20"/>
          <w:szCs w:val="20"/>
          <w:u w:val="none"/>
        </w:rPr>
        <w:t xml:space="preserve"> . Recuperado de </w:t>
      </w:r>
      <w:hyperlink r:id="rId13" w:tgtFrame="_new">
        <w:r>
          <w:rPr>
            <w:rStyle w:val="EnlacedeInternet"/>
            <w:rFonts w:cs="Times New Roman" w:ascii="Times New Roman" w:hAnsi="Times New Roman"/>
            <w:b w:val="false"/>
            <w:bCs w:val="false"/>
            <w:color w:val="000000"/>
            <w:sz w:val="20"/>
            <w:szCs w:val="20"/>
            <w:u w:val="none"/>
          </w:rPr>
          <w:t>apa.org</w:t>
        </w:r>
      </w:hyperlink>
    </w:p>
    <w:p>
      <w:pPr>
        <w:sectPr>
          <w:type w:val="continuous"/>
          <w:pgSz w:w="11906" w:h="16838"/>
          <w:pgMar w:left="1134" w:right="1134" w:header="1134" w:top="1601" w:footer="1134" w:bottom="1729" w:gutter="0"/>
          <w:cols w:num="2" w:space="282" w:equalWidth="true" w:sep="false"/>
          <w:formProt w:val="false"/>
          <w:textDirection w:val="lrTb"/>
          <w:docGrid w:type="default" w:linePitch="600" w:charSpace="32768"/>
        </w:sectPr>
      </w:pPr>
    </w:p>
    <w:sectPr>
      <w:headerReference w:type="even" r:id="rId14"/>
      <w:headerReference w:type="default" r:id="rId15"/>
      <w:footerReference w:type="even" r:id="rId16"/>
      <w:footerReference w:type="default" r:id="rId17"/>
      <w:type w:val="continuous"/>
      <w:pgSz w:w="11906" w:h="16838"/>
      <w:pgMar w:left="1134" w:right="1134" w:header="1134" w:top="1601" w:footer="1134" w:bottom="1729"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w:altName w:val="Arial"/>
    <w:charset w:val="01"/>
    <w:family w:val="swiss"/>
    <w:pitch w:val="variable"/>
  </w:font>
  <w:font w:name="Liberation Mono">
    <w:altName w:val="Courier New"/>
    <w:charset w:val="01"/>
    <w:family w:val="roman"/>
    <w:pitch w:val="variable"/>
  </w:font>
  <w:font w:name="Times New Roman">
    <w:charset w:val="01"/>
    <w:family w:val="roman"/>
    <w:pitch w:val="variable"/>
  </w:font>
  <w:font w:name="Arial">
    <w:charset w:val="01"/>
    <w:family w:val="swiss"/>
    <w:pitch w:val="variable"/>
  </w:font>
  <w:font w:name="Symbol">
    <w:charset w:val="02"/>
    <w:family w:val="auto"/>
    <w:pitch w:val="default"/>
  </w:font>
  <w:font w:name="Courier New">
    <w:charset w:val="01"/>
    <w:family w:val="auto"/>
    <w:pitch w:val="fixed"/>
  </w:font>
  <w:font w:name="Wingdings">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ontenidodelatabla"/>
      <w:spacing w:before="120" w:after="60"/>
      <w:jc w:val="center"/>
      <w:rPr/>
    </w:pPr>
    <w:r>
      <w:rPr>
        <w:rFonts w:ascii="Times New Roman" w:hAnsi="Times New Roman"/>
        <w:sz w:val="16"/>
        <w:szCs w:val="16"/>
      </w:rPr>
      <w:t>TecNM – Instituto Tecnológico Superior Progreso</w: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ontenidodelatabla"/>
      <w:spacing w:before="120" w:after="60"/>
      <w:jc w:val="center"/>
      <w:rPr/>
    </w:pPr>
    <w:r>
      <w:rPr>
        <w:rFonts w:ascii="Times New Roman" w:hAnsi="Times New Roman"/>
        <w:sz w:val="16"/>
        <w:szCs w:val="16"/>
      </w:rPr>
      <w:t>TecNM – Instituto Tecnológico Superior Progreso</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9405" w:type="dxa"/>
      <w:jc w:val="left"/>
      <w:tblInd w:w="55" w:type="dxa"/>
      <w:tblLayout w:type="fixed"/>
      <w:tblCellMar>
        <w:top w:w="55" w:type="dxa"/>
        <w:left w:w="55" w:type="dxa"/>
        <w:bottom w:w="55" w:type="dxa"/>
        <w:right w:w="55" w:type="dxa"/>
      </w:tblCellMar>
      <w:tblLook w:val="0000" w:noHBand="0" w:noVBand="0" w:firstColumn="0" w:lastRow="0" w:lastColumn="0" w:firstRow="0"/>
    </w:tblPr>
    <w:tblGrid>
      <w:gridCol w:w="2481"/>
      <w:gridCol w:w="4142"/>
      <w:gridCol w:w="2782"/>
    </w:tblGrid>
    <w:tr>
      <w:trPr/>
      <w:tc>
        <w:tcPr>
          <w:tcW w:w="2481" w:type="dxa"/>
          <w:tcBorders/>
          <w:shd w:color="auto" w:fill="auto" w:val="clear"/>
        </w:tcPr>
        <w:p>
          <w:pPr>
            <w:pStyle w:val="Contenidodelatabla"/>
            <w:widowControl w:val="false"/>
            <w:rPr/>
          </w:pPr>
          <w:r>
            <w:rPr>
              <w:rFonts w:ascii="Times New Roman" w:hAnsi="Times New Roman"/>
              <w:sz w:val="16"/>
              <w:szCs w:val="16"/>
            </w:rPr>
            <w:t xml:space="preserve">Recibido: </w:t>
          </w:r>
          <w:r>
            <w:rPr>
              <w:rFonts w:ascii="Times New Roman" w:hAnsi="Times New Roman"/>
              <w:sz w:val="16"/>
              <w:szCs w:val="16"/>
            </w:rPr>
            <w:t>12</w:t>
          </w:r>
          <w:r>
            <w:rPr>
              <w:rFonts w:ascii="Times New Roman" w:hAnsi="Times New Roman"/>
              <w:sz w:val="16"/>
              <w:szCs w:val="16"/>
            </w:rPr>
            <w:t>/</w:t>
          </w:r>
          <w:r>
            <w:rPr>
              <w:rFonts w:ascii="Times New Roman" w:hAnsi="Times New Roman"/>
              <w:sz w:val="16"/>
              <w:szCs w:val="16"/>
            </w:rPr>
            <w:t>Noviembre</w:t>
          </w:r>
          <w:r>
            <w:rPr>
              <w:rFonts w:ascii="Times New Roman" w:hAnsi="Times New Roman"/>
              <w:sz w:val="16"/>
              <w:szCs w:val="16"/>
            </w:rPr>
            <w:t>/</w:t>
          </w:r>
          <w:r>
            <w:rPr>
              <w:rFonts w:ascii="Times New Roman" w:hAnsi="Times New Roman"/>
              <w:sz w:val="16"/>
              <w:szCs w:val="16"/>
            </w:rPr>
            <w:t>2024</w:t>
          </w:r>
        </w:p>
        <w:p>
          <w:pPr>
            <w:pStyle w:val="Contenidodelatabla"/>
            <w:widowControl w:val="false"/>
            <w:rPr/>
          </w:pPr>
          <w:r>
            <w:rPr>
              <w:rFonts w:ascii="Times New Roman" w:hAnsi="Times New Roman"/>
              <w:sz w:val="16"/>
              <w:szCs w:val="16"/>
            </w:rPr>
            <w:t xml:space="preserve">Aceptado: </w:t>
          </w:r>
          <w:r>
            <w:rPr>
              <w:rFonts w:ascii="Times New Roman" w:hAnsi="Times New Roman"/>
              <w:sz w:val="16"/>
              <w:szCs w:val="16"/>
            </w:rPr>
            <w:t>18</w:t>
          </w:r>
          <w:r>
            <w:rPr>
              <w:rFonts w:ascii="Times New Roman" w:hAnsi="Times New Roman"/>
              <w:sz w:val="16"/>
              <w:szCs w:val="16"/>
            </w:rPr>
            <w:t>/</w:t>
          </w:r>
          <w:r>
            <w:rPr>
              <w:rFonts w:ascii="Times New Roman" w:hAnsi="Times New Roman"/>
              <w:sz w:val="16"/>
              <w:szCs w:val="16"/>
            </w:rPr>
            <w:t>Junio</w:t>
          </w:r>
          <w:r>
            <w:rPr>
              <w:rFonts w:ascii="Times New Roman" w:hAnsi="Times New Roman"/>
              <w:sz w:val="16"/>
              <w:szCs w:val="16"/>
            </w:rPr>
            <w:t>/</w:t>
          </w:r>
          <w:r>
            <w:rPr>
              <w:rFonts w:ascii="Times New Roman" w:hAnsi="Times New Roman"/>
              <w:sz w:val="16"/>
              <w:szCs w:val="16"/>
            </w:rPr>
            <w:t>2025</w:t>
          </w:r>
        </w:p>
      </w:tc>
      <w:tc>
        <w:tcPr>
          <w:tcW w:w="4142" w:type="dxa"/>
          <w:tcBorders/>
          <w:shd w:color="auto" w:fill="auto" w:val="clear"/>
        </w:tcPr>
        <w:p>
          <w:pPr>
            <w:pStyle w:val="Contenidodelatabla"/>
            <w:widowControl w:val="false"/>
            <w:spacing w:before="120" w:after="60"/>
            <w:jc w:val="center"/>
            <w:rPr/>
          </w:pPr>
          <w:r>
            <w:rPr>
              <w:rFonts w:ascii="Times New Roman" w:hAnsi="Times New Roman"/>
              <w:sz w:val="16"/>
              <w:szCs w:val="16"/>
            </w:rPr>
            <w:t>TecNM – Instituto Tecnológico Superior Progreso</w:t>
          </w:r>
        </w:p>
      </w:tc>
      <w:tc>
        <w:tcPr>
          <w:tcW w:w="2782" w:type="dxa"/>
          <w:tcBorders/>
          <w:shd w:color="auto" w:fill="auto" w:val="clear"/>
        </w:tcPr>
        <w:p>
          <w:pPr>
            <w:pStyle w:val="Contenidodelatabla"/>
            <w:widowControl w:val="false"/>
            <w:spacing w:before="120" w:after="60"/>
            <w:rPr/>
          </w:pPr>
          <w:r>
            <w:rPr/>
          </w:r>
        </w:p>
      </w:tc>
    </w:tr>
  </w:tbl>
  <w:p>
    <w:pPr>
      <w:pStyle w:val="Normal"/>
      <w:rPr/>
    </w:pPr>
    <w:r>
      <w:rPr/>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ontenidodelatabla"/>
      <w:spacing w:before="120" w:after="60"/>
      <w:jc w:val="center"/>
      <w:rPr/>
    </w:pPr>
    <w:r>
      <w:rPr>
        <w:rFonts w:ascii="Times New Roman" w:hAnsi="Times New Roman"/>
        <w:sz w:val="16"/>
        <w:szCs w:val="16"/>
      </w:rPr>
      <w:t>TecNM – Instituto Tecnológico Superior Progreso</w:t>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ontenidodelatabla"/>
      <w:spacing w:before="120" w:after="60"/>
      <w:jc w:val="center"/>
      <w:rPr/>
    </w:pPr>
    <w:r>
      <w:rPr>
        <w:rFonts w:ascii="Times New Roman" w:hAnsi="Times New Roman"/>
        <w:sz w:val="16"/>
        <w:szCs w:val="16"/>
      </w:rPr>
      <w:t>TecNM – Instituto Tecnológico Superior Progreso</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izquierda"/>
      <w:spacing w:before="0" w:after="160"/>
      <w:jc w:val="center"/>
      <w:rPr/>
    </w:pPr>
    <w:r>
      <w:rPr>
        <w:rFonts w:ascii="Times New Roman" w:hAnsi="Times New Roman"/>
        <w:i/>
        <w:iCs/>
        <w:sz w:val="16"/>
        <w:szCs w:val="16"/>
        <w:lang w:val="en-US"/>
      </w:rPr>
      <w:t xml:space="preserve">Advances in Engineering and Innovation Vol. </w:t>
    </w:r>
    <w:r>
      <w:rPr>
        <w:rFonts w:ascii="Times New Roman" w:hAnsi="Times New Roman"/>
        <w:i/>
        <w:iCs/>
        <w:sz w:val="16"/>
        <w:szCs w:val="16"/>
        <w:lang w:val="en-US"/>
      </w:rPr>
      <w:t>10</w:t>
    </w:r>
    <w:r>
      <w:rPr>
        <w:rFonts w:ascii="Times New Roman" w:hAnsi="Times New Roman"/>
        <w:i/>
        <w:iCs/>
        <w:sz w:val="16"/>
        <w:szCs w:val="16"/>
      </w:rPr>
      <w:t xml:space="preserve">, No. </w:t>
    </w:r>
    <w:r>
      <w:rPr>
        <w:rFonts w:ascii="Times New Roman" w:hAnsi="Times New Roman"/>
        <w:i/>
        <w:iCs/>
        <w:sz w:val="16"/>
        <w:szCs w:val="16"/>
      </w:rPr>
      <w:t>23</w:t>
    </w:r>
    <w:r>
      <w:rPr>
        <w:rFonts w:ascii="Times New Roman" w:hAnsi="Times New Roman"/>
        <w:i/>
        <w:iCs/>
        <w:sz w:val="16"/>
        <w:szCs w:val="16"/>
      </w:rPr>
      <w:t xml:space="preserve">, pp. </w:t>
    </w:r>
    <w:r>
      <w:rPr>
        <w:rFonts w:ascii="Times New Roman" w:hAnsi="Times New Roman"/>
        <w:i/>
        <w:iCs/>
        <w:sz w:val="16"/>
        <w:szCs w:val="16"/>
      </w:rPr>
      <w:t>109</w:t>
    </w:r>
    <w:r>
      <w:rPr>
        <w:rFonts w:ascii="Times New Roman" w:hAnsi="Times New Roman"/>
        <w:i/>
        <w:iCs/>
        <w:sz w:val="16"/>
        <w:szCs w:val="16"/>
      </w:rPr>
      <w:t>-</w:t>
    </w:r>
    <w:r>
      <w:rPr>
        <w:rFonts w:ascii="Times New Roman" w:hAnsi="Times New Roman"/>
        <w:i/>
        <w:iCs/>
        <w:sz w:val="16"/>
        <w:szCs w:val="16"/>
      </w:rPr>
      <w:t>113</w:t>
    </w:r>
    <w:r>
      <w:rPr>
        <w:rFonts w:ascii="Times New Roman" w:hAnsi="Times New Roman"/>
        <w:i/>
        <w:iCs/>
        <w:sz w:val="16"/>
        <w:szCs w:val="16"/>
      </w:rPr>
      <w:t>, Julio - Diciembre 2025</w:t>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izquierda"/>
      <w:spacing w:before="0" w:after="160"/>
      <w:jc w:val="center"/>
      <w:rPr/>
    </w:pPr>
    <w:r>
      <w:rPr>
        <w:rFonts w:ascii="Times New Roman" w:hAnsi="Times New Roman"/>
        <w:i/>
        <w:iCs/>
        <w:sz w:val="16"/>
        <w:szCs w:val="16"/>
        <w:lang w:val="en-US"/>
      </w:rPr>
      <w:t xml:space="preserve">Advances in Engineering and Innovation Vol. </w:t>
    </w:r>
    <w:r>
      <w:rPr>
        <w:rFonts w:ascii="Times New Roman" w:hAnsi="Times New Roman"/>
        <w:i/>
        <w:iCs/>
        <w:sz w:val="16"/>
        <w:szCs w:val="16"/>
        <w:lang w:val="en-US"/>
      </w:rPr>
      <w:t>10</w:t>
    </w:r>
    <w:r>
      <w:rPr>
        <w:rFonts w:ascii="Times New Roman" w:hAnsi="Times New Roman"/>
        <w:i/>
        <w:iCs/>
        <w:sz w:val="16"/>
        <w:szCs w:val="16"/>
      </w:rPr>
      <w:t xml:space="preserve">, No. </w:t>
    </w:r>
    <w:r>
      <w:rPr>
        <w:rFonts w:ascii="Times New Roman" w:hAnsi="Times New Roman"/>
        <w:i/>
        <w:iCs/>
        <w:sz w:val="16"/>
        <w:szCs w:val="16"/>
      </w:rPr>
      <w:t>23</w:t>
    </w:r>
    <w:r>
      <w:rPr>
        <w:rFonts w:ascii="Times New Roman" w:hAnsi="Times New Roman"/>
        <w:i/>
        <w:iCs/>
        <w:sz w:val="16"/>
        <w:szCs w:val="16"/>
      </w:rPr>
      <w:t xml:space="preserve">, pp. </w:t>
    </w:r>
    <w:r>
      <w:rPr>
        <w:rFonts w:ascii="Times New Roman" w:hAnsi="Times New Roman"/>
        <w:i/>
        <w:iCs/>
        <w:sz w:val="16"/>
        <w:szCs w:val="16"/>
      </w:rPr>
      <w:t>109</w:t>
    </w:r>
    <w:r>
      <w:rPr>
        <w:rFonts w:ascii="Times New Roman" w:hAnsi="Times New Roman"/>
        <w:i/>
        <w:iCs/>
        <w:sz w:val="16"/>
        <w:szCs w:val="16"/>
      </w:rPr>
      <w:t>-</w:t>
    </w:r>
    <w:r>
      <w:rPr>
        <w:rFonts w:ascii="Times New Roman" w:hAnsi="Times New Roman"/>
        <w:i/>
        <w:iCs/>
        <w:sz w:val="16"/>
        <w:szCs w:val="16"/>
      </w:rPr>
      <w:t>113</w:t>
    </w:r>
    <w:r>
      <w:rPr>
        <w:rFonts w:ascii="Times New Roman" w:hAnsi="Times New Roman"/>
        <w:i/>
        <w:iCs/>
        <w:sz w:val="16"/>
        <w:szCs w:val="16"/>
      </w:rPr>
      <w:t>, Julio - Diciembre 2025</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11131" w:type="dxa"/>
      <w:jc w:val="left"/>
      <w:tblInd w:w="-833" w:type="dxa"/>
      <w:tblLayout w:type="fixed"/>
      <w:tblCellMar>
        <w:top w:w="100" w:type="dxa"/>
        <w:left w:w="100" w:type="dxa"/>
        <w:bottom w:w="100" w:type="dxa"/>
        <w:right w:w="100" w:type="dxa"/>
      </w:tblCellMar>
      <w:tblLook w:val="0600" w:noHBand="1" w:noVBand="1" w:firstColumn="0" w:lastRow="0" w:lastColumn="0" w:firstRow="0"/>
    </w:tblPr>
    <w:tblGrid>
      <w:gridCol w:w="3331"/>
      <w:gridCol w:w="4111"/>
      <w:gridCol w:w="3689"/>
    </w:tblGrid>
    <w:tr>
      <w:trPr>
        <w:trHeight w:val="420" w:hRule="atLeast"/>
      </w:trPr>
      <w:tc>
        <w:tcPr>
          <w:tcW w:w="3331" w:type="dxa"/>
          <w:tcBorders/>
          <w:shd w:color="auto" w:fill="auto" w:val="clear"/>
        </w:tcPr>
        <w:p>
          <w:pPr>
            <w:pStyle w:val="Normal"/>
            <w:widowControl w:val="false"/>
            <w:jc w:val="center"/>
            <w:rPr/>
          </w:pPr>
          <w:r>
            <w:rPr/>
            <w:drawing>
              <wp:inline distT="0" distB="0" distL="0" distR="0">
                <wp:extent cx="1685925" cy="800100"/>
                <wp:effectExtent l="0" t="0" r="0" b="0"/>
                <wp:docPr id="1" name="image01.png" descr="AEI_tim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1.png" descr="AEI_time.png"/>
                        <pic:cNvPicPr>
                          <a:picLocks noChangeAspect="1" noChangeArrowheads="1"/>
                        </pic:cNvPicPr>
                      </pic:nvPicPr>
                      <pic:blipFill>
                        <a:blip r:embed="rId1"/>
                        <a:stretch>
                          <a:fillRect/>
                        </a:stretch>
                      </pic:blipFill>
                      <pic:spPr bwMode="auto">
                        <a:xfrm>
                          <a:off x="0" y="0"/>
                          <a:ext cx="1685925" cy="800100"/>
                        </a:xfrm>
                        <a:prstGeom prst="rect">
                          <a:avLst/>
                        </a:prstGeom>
                      </pic:spPr>
                    </pic:pic>
                  </a:graphicData>
                </a:graphic>
              </wp:inline>
            </w:drawing>
          </w:r>
        </w:p>
      </w:tc>
      <w:tc>
        <w:tcPr>
          <w:tcW w:w="4111" w:type="dxa"/>
          <w:tcBorders/>
          <w:shd w:color="auto" w:fill="auto" w:val="clear"/>
        </w:tcPr>
        <w:p>
          <w:pPr>
            <w:pStyle w:val="Normal"/>
            <w:widowControl w:val="false"/>
            <w:tabs>
              <w:tab w:val="clear" w:pos="709"/>
              <w:tab w:val="center" w:pos="4419" w:leader="none"/>
              <w:tab w:val="right" w:pos="8838" w:leader="none"/>
            </w:tabs>
            <w:jc w:val="center"/>
            <w:rPr>
              <w:rFonts w:ascii="Times New Roman" w:hAnsi="Times New Roman"/>
              <w:sz w:val="20"/>
              <w:szCs w:val="20"/>
            </w:rPr>
          </w:pPr>
          <w:r>
            <w:rPr>
              <w:rFonts w:ascii="Times New Roman" w:hAnsi="Times New Roman"/>
              <w:sz w:val="20"/>
              <w:szCs w:val="20"/>
            </w:rPr>
          </w:r>
        </w:p>
        <w:p>
          <w:pPr>
            <w:pStyle w:val="Normal"/>
            <w:widowControl w:val="false"/>
            <w:tabs>
              <w:tab w:val="clear" w:pos="709"/>
              <w:tab w:val="center" w:pos="4419" w:leader="none"/>
              <w:tab w:val="right" w:pos="8838" w:leader="none"/>
            </w:tabs>
            <w:jc w:val="center"/>
            <w:rPr>
              <w:lang w:val="en-US"/>
            </w:rPr>
          </w:pPr>
          <w:r>
            <w:rPr>
              <w:rFonts w:eastAsia="Times New Roman" w:cs="Times New Roman" w:ascii="Times New Roman" w:hAnsi="Times New Roman"/>
              <w:sz w:val="20"/>
              <w:szCs w:val="20"/>
              <w:lang w:val="en-US"/>
            </w:rPr>
            <w:t>Advances in Engineering and Innovation</w:t>
          </w:r>
        </w:p>
        <w:p>
          <w:pPr>
            <w:pStyle w:val="Normal"/>
            <w:widowControl w:val="false"/>
            <w:tabs>
              <w:tab w:val="clear" w:pos="709"/>
              <w:tab w:val="center" w:pos="4419" w:leader="none"/>
              <w:tab w:val="right" w:pos="8838" w:leader="none"/>
            </w:tabs>
            <w:jc w:val="center"/>
            <w:rPr/>
          </w:pPr>
          <w:r>
            <w:rPr>
              <w:rFonts w:eastAsia="Times New Roman" w:cs="Times New Roman" w:ascii="Times New Roman" w:hAnsi="Times New Roman"/>
              <w:sz w:val="20"/>
              <w:szCs w:val="20"/>
              <w:lang w:val="en-US"/>
            </w:rPr>
            <w:t xml:space="preserve">Vol. </w:t>
          </w:r>
          <w:r>
            <w:rPr>
              <w:rFonts w:eastAsia="Times New Roman" w:cs="Times New Roman" w:ascii="Times New Roman" w:hAnsi="Times New Roman"/>
              <w:sz w:val="20"/>
              <w:szCs w:val="20"/>
              <w:lang w:val="en-US"/>
            </w:rPr>
            <w:t>10</w:t>
          </w:r>
          <w:r>
            <w:rPr>
              <w:rFonts w:eastAsia="Times New Roman" w:cs="Times New Roman" w:ascii="Times New Roman" w:hAnsi="Times New Roman"/>
              <w:sz w:val="20"/>
              <w:szCs w:val="20"/>
              <w:lang w:val="en-US"/>
            </w:rPr>
            <w:t xml:space="preserve">, No. </w:t>
          </w:r>
          <w:r>
            <w:rPr>
              <w:rFonts w:eastAsia="Times New Roman" w:cs="Times New Roman" w:ascii="Times New Roman" w:hAnsi="Times New Roman"/>
              <w:sz w:val="20"/>
              <w:szCs w:val="20"/>
              <w:lang w:val="en-US"/>
            </w:rPr>
            <w:t>23</w:t>
          </w:r>
          <w:r>
            <w:rPr>
              <w:rFonts w:eastAsia="Times New Roman" w:cs="Times New Roman" w:ascii="Times New Roman" w:hAnsi="Times New Roman"/>
              <w:sz w:val="20"/>
              <w:szCs w:val="20"/>
            </w:rPr>
            <w:t xml:space="preserve">, pp. </w:t>
          </w:r>
          <w:r>
            <w:rPr>
              <w:rFonts w:eastAsia="Times New Roman" w:cs="Times New Roman" w:ascii="Times New Roman" w:hAnsi="Times New Roman"/>
              <w:sz w:val="20"/>
              <w:szCs w:val="20"/>
            </w:rPr>
            <w:t>109</w:t>
          </w:r>
          <w:r>
            <w:rPr>
              <w:rFonts w:eastAsia="Times New Roman" w:cs="Times New Roman" w:ascii="Times New Roman" w:hAnsi="Times New Roman"/>
              <w:sz w:val="20"/>
              <w:szCs w:val="20"/>
            </w:rPr>
            <w:t>-</w:t>
          </w:r>
          <w:r>
            <w:rPr>
              <w:rFonts w:eastAsia="Times New Roman" w:cs="Times New Roman" w:ascii="Times New Roman" w:hAnsi="Times New Roman"/>
              <w:sz w:val="20"/>
              <w:szCs w:val="20"/>
            </w:rPr>
            <w:t>113</w:t>
          </w:r>
        </w:p>
        <w:p>
          <w:pPr>
            <w:pStyle w:val="Normal"/>
            <w:widowControl w:val="false"/>
            <w:tabs>
              <w:tab w:val="clear" w:pos="709"/>
              <w:tab w:val="center" w:pos="4419" w:leader="none"/>
              <w:tab w:val="right" w:pos="8838" w:leader="none"/>
            </w:tabs>
            <w:jc w:val="center"/>
            <w:rPr/>
          </w:pPr>
          <w:r>
            <w:rPr>
              <w:rFonts w:eastAsia="Times New Roman" w:cs="Times New Roman" w:ascii="Times New Roman" w:hAnsi="Times New Roman"/>
              <w:sz w:val="20"/>
              <w:szCs w:val="20"/>
            </w:rPr>
            <w:t>Julio - Diciembre 2025</w:t>
          </w:r>
        </w:p>
      </w:tc>
      <w:tc>
        <w:tcPr>
          <w:tcW w:w="3689" w:type="dxa"/>
          <w:tcBorders/>
          <w:shd w:color="auto" w:fill="auto" w:val="clear"/>
        </w:tcPr>
        <w:p>
          <w:pPr>
            <w:pStyle w:val="Normal"/>
            <w:widowControl w:val="false"/>
            <w:tabs>
              <w:tab w:val="clear" w:pos="709"/>
              <w:tab w:val="center" w:pos="4419" w:leader="none"/>
              <w:tab w:val="right" w:pos="8838" w:leader="none"/>
            </w:tabs>
            <w:jc w:val="right"/>
            <w:rPr>
              <w:rFonts w:ascii="Times New Roman" w:hAnsi="Times New Roman"/>
            </w:rPr>
          </w:pPr>
          <w:r>
            <w:rPr>
              <w:rFonts w:ascii="Times New Roman" w:hAnsi="Times New Roman"/>
            </w:rPr>
          </w:r>
        </w:p>
        <w:p>
          <w:pPr>
            <w:pStyle w:val="Normal"/>
            <w:widowControl w:val="false"/>
            <w:tabs>
              <w:tab w:val="clear" w:pos="709"/>
              <w:tab w:val="center" w:pos="4419" w:leader="none"/>
              <w:tab w:val="right" w:pos="8838" w:leader="none"/>
            </w:tabs>
            <w:jc w:val="right"/>
            <w:rPr/>
          </w:pPr>
          <w:r>
            <w:rPr>
              <w:rStyle w:val="EnlacedeInternet"/>
              <w:rFonts w:eastAsia="Times New Roman" w:cs="Times New Roman" w:ascii="Times New Roman" w:hAnsi="Times New Roman"/>
              <w:color w:val="000000"/>
              <w:sz w:val="20"/>
              <w:szCs w:val="20"/>
              <w:u w:val="none"/>
            </w:rPr>
            <w:t>www.progreso.tecnm.mx/revistaAEI</w:t>
          </w:r>
        </w:p>
        <w:p>
          <w:pPr>
            <w:pStyle w:val="Normal"/>
            <w:widowControl w:val="false"/>
            <w:tabs>
              <w:tab w:val="clear" w:pos="709"/>
              <w:tab w:val="center" w:pos="4419" w:leader="none"/>
              <w:tab w:val="right" w:pos="8838" w:leader="none"/>
            </w:tabs>
            <w:jc w:val="right"/>
            <w:rPr/>
          </w:pPr>
          <w:r>
            <w:rPr>
              <w:rFonts w:eastAsia="Times New Roman" w:cs="Times New Roman" w:ascii="Times New Roman" w:hAnsi="Times New Roman"/>
              <w:sz w:val="20"/>
              <w:szCs w:val="20"/>
            </w:rPr>
            <w:t>ISSN: 2448-685X</w:t>
          </w:r>
        </w:p>
      </w:tc>
    </w:tr>
  </w:tbl>
  <w:p>
    <w:pPr>
      <w:pStyle w:val="Normal"/>
      <w:rPr/>
    </w:pPr>
    <w:r>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izquierda"/>
      <w:spacing w:before="0" w:after="160"/>
      <w:jc w:val="center"/>
      <w:rPr/>
    </w:pPr>
    <w:r>
      <w:rPr>
        <w:rFonts w:ascii="Times New Roman" w:hAnsi="Times New Roman"/>
        <w:i/>
        <w:iCs/>
        <w:sz w:val="16"/>
        <w:szCs w:val="16"/>
        <w:lang w:val="en-US"/>
      </w:rPr>
      <w:t xml:space="preserve">Advances in Engineering and Innovation Vol. </w:t>
    </w:r>
    <w:r>
      <w:rPr>
        <w:rFonts w:ascii="Times New Roman" w:hAnsi="Times New Roman"/>
        <w:i/>
        <w:iCs/>
        <w:sz w:val="16"/>
        <w:szCs w:val="16"/>
        <w:lang w:val="en-US"/>
      </w:rPr>
      <w:t>10</w:t>
    </w:r>
    <w:r>
      <w:rPr>
        <w:rFonts w:ascii="Times New Roman" w:hAnsi="Times New Roman"/>
        <w:i/>
        <w:iCs/>
        <w:sz w:val="16"/>
        <w:szCs w:val="16"/>
      </w:rPr>
      <w:t xml:space="preserve">, No. </w:t>
    </w:r>
    <w:r>
      <w:rPr>
        <w:rFonts w:ascii="Times New Roman" w:hAnsi="Times New Roman"/>
        <w:i/>
        <w:iCs/>
        <w:sz w:val="16"/>
        <w:szCs w:val="16"/>
      </w:rPr>
      <w:t>23</w:t>
    </w:r>
    <w:r>
      <w:rPr>
        <w:rFonts w:ascii="Times New Roman" w:hAnsi="Times New Roman"/>
        <w:i/>
        <w:iCs/>
        <w:sz w:val="16"/>
        <w:szCs w:val="16"/>
      </w:rPr>
      <w:t xml:space="preserve">, pp. </w:t>
    </w:r>
    <w:r>
      <w:rPr>
        <w:rFonts w:ascii="Times New Roman" w:hAnsi="Times New Roman"/>
        <w:i/>
        <w:iCs/>
        <w:sz w:val="16"/>
        <w:szCs w:val="16"/>
      </w:rPr>
      <w:t>109</w:t>
    </w:r>
    <w:r>
      <w:rPr>
        <w:rFonts w:ascii="Times New Roman" w:hAnsi="Times New Roman"/>
        <w:i/>
        <w:iCs/>
        <w:sz w:val="16"/>
        <w:szCs w:val="16"/>
      </w:rPr>
      <w:t>-</w:t>
    </w:r>
    <w:r>
      <w:rPr>
        <w:rFonts w:ascii="Times New Roman" w:hAnsi="Times New Roman"/>
        <w:i/>
        <w:iCs/>
        <w:sz w:val="16"/>
        <w:szCs w:val="16"/>
      </w:rPr>
      <w:t>113</w:t>
    </w:r>
    <w:r>
      <w:rPr>
        <w:rFonts w:ascii="Times New Roman" w:hAnsi="Times New Roman"/>
        <w:i/>
        <w:iCs/>
        <w:sz w:val="16"/>
        <w:szCs w:val="16"/>
      </w:rPr>
      <w:t>, Julio - Diciembre 2025</w:t>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izquierda"/>
      <w:spacing w:before="0" w:after="160"/>
      <w:jc w:val="center"/>
      <w:rPr/>
    </w:pPr>
    <w:r>
      <w:rPr>
        <w:rFonts w:ascii="Times New Roman" w:hAnsi="Times New Roman"/>
        <w:i/>
        <w:iCs/>
        <w:sz w:val="16"/>
        <w:szCs w:val="16"/>
        <w:lang w:val="en-US"/>
      </w:rPr>
      <w:t xml:space="preserve">Advances in Engineering and Innovation Vol. </w:t>
    </w:r>
    <w:r>
      <w:rPr>
        <w:rFonts w:ascii="Times New Roman" w:hAnsi="Times New Roman"/>
        <w:i/>
        <w:iCs/>
        <w:sz w:val="16"/>
        <w:szCs w:val="16"/>
        <w:lang w:val="en-US"/>
      </w:rPr>
      <w:t>10</w:t>
    </w:r>
    <w:r>
      <w:rPr>
        <w:rFonts w:ascii="Times New Roman" w:hAnsi="Times New Roman"/>
        <w:i/>
        <w:iCs/>
        <w:sz w:val="16"/>
        <w:szCs w:val="16"/>
      </w:rPr>
      <w:t xml:space="preserve">, No. </w:t>
    </w:r>
    <w:r>
      <w:rPr>
        <w:rFonts w:ascii="Times New Roman" w:hAnsi="Times New Roman"/>
        <w:i/>
        <w:iCs/>
        <w:sz w:val="16"/>
        <w:szCs w:val="16"/>
      </w:rPr>
      <w:t>23</w:t>
    </w:r>
    <w:r>
      <w:rPr>
        <w:rFonts w:ascii="Times New Roman" w:hAnsi="Times New Roman"/>
        <w:i/>
        <w:iCs/>
        <w:sz w:val="16"/>
        <w:szCs w:val="16"/>
      </w:rPr>
      <w:t xml:space="preserve">, pp. </w:t>
    </w:r>
    <w:r>
      <w:rPr>
        <w:rFonts w:ascii="Times New Roman" w:hAnsi="Times New Roman"/>
        <w:i/>
        <w:iCs/>
        <w:sz w:val="16"/>
        <w:szCs w:val="16"/>
      </w:rPr>
      <w:t>109</w:t>
    </w:r>
    <w:r>
      <w:rPr>
        <w:rFonts w:ascii="Times New Roman" w:hAnsi="Times New Roman"/>
        <w:i/>
        <w:iCs/>
        <w:sz w:val="16"/>
        <w:szCs w:val="16"/>
      </w:rPr>
      <w:t>-</w:t>
    </w:r>
    <w:r>
      <w:rPr>
        <w:rFonts w:ascii="Times New Roman" w:hAnsi="Times New Roman"/>
        <w:i/>
        <w:iCs/>
        <w:sz w:val="16"/>
        <w:szCs w:val="16"/>
      </w:rPr>
      <w:t>113</w:t>
    </w:r>
    <w:r>
      <w:rPr>
        <w:rFonts w:ascii="Times New Roman" w:hAnsi="Times New Roman"/>
        <w:i/>
        <w:iCs/>
        <w:sz w:val="16"/>
        <w:szCs w:val="16"/>
      </w:rPr>
      <w:t>, Julio - Diciembre 2025</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20"/>
        </w:tabs>
        <w:ind w:left="720" w:hanging="360"/>
      </w:pPr>
      <w:rPr>
        <w:rFonts w:ascii="Arial" w:hAnsi="Arial" w:cs="Arial" w:hint="default"/>
      </w:rPr>
    </w:lvl>
    <w:lvl w:ilvl="1">
      <w:start w:val="1"/>
      <w:numFmt w:val="bullet"/>
      <w:lvlText w:val="•"/>
      <w:lvlJc w:val="left"/>
      <w:pPr>
        <w:tabs>
          <w:tab w:val="num" w:pos="1440"/>
        </w:tabs>
        <w:ind w:left="1440" w:hanging="360"/>
      </w:pPr>
      <w:rPr>
        <w:rFonts w:ascii="Arial" w:hAnsi="Arial" w:cs="Arial" w:hint="default"/>
      </w:rPr>
    </w:lvl>
    <w:lvl w:ilvl="2">
      <w:start w:val="1"/>
      <w:numFmt w:val="bullet"/>
      <w:lvlText w:val="•"/>
      <w:lvlJc w:val="left"/>
      <w:pPr>
        <w:tabs>
          <w:tab w:val="num" w:pos="2160"/>
        </w:tabs>
        <w:ind w:left="2160" w:hanging="360"/>
      </w:pPr>
      <w:rPr>
        <w:rFonts w:ascii="Arial" w:hAnsi="Arial" w:cs="Arial" w:hint="default"/>
      </w:rPr>
    </w:lvl>
    <w:lvl w:ilvl="3">
      <w:start w:val="1"/>
      <w:numFmt w:val="bullet"/>
      <w:lvlText w:val="•"/>
      <w:lvlJc w:val="left"/>
      <w:pPr>
        <w:tabs>
          <w:tab w:val="num" w:pos="2880"/>
        </w:tabs>
        <w:ind w:left="2880" w:hanging="360"/>
      </w:pPr>
      <w:rPr>
        <w:rFonts w:ascii="Arial" w:hAnsi="Arial" w:cs="Arial" w:hint="default"/>
      </w:rPr>
    </w:lvl>
    <w:lvl w:ilvl="4">
      <w:start w:val="1"/>
      <w:numFmt w:val="bullet"/>
      <w:lvlText w:val="•"/>
      <w:lvlJc w:val="left"/>
      <w:pPr>
        <w:tabs>
          <w:tab w:val="num" w:pos="3600"/>
        </w:tabs>
        <w:ind w:left="3600" w:hanging="360"/>
      </w:pPr>
      <w:rPr>
        <w:rFonts w:ascii="Arial" w:hAnsi="Arial" w:cs="Arial" w:hint="default"/>
      </w:rPr>
    </w:lvl>
    <w:lvl w:ilvl="5">
      <w:start w:val="1"/>
      <w:numFmt w:val="bullet"/>
      <w:lvlText w:val="•"/>
      <w:lvlJc w:val="left"/>
      <w:pPr>
        <w:tabs>
          <w:tab w:val="num" w:pos="4320"/>
        </w:tabs>
        <w:ind w:left="4320" w:hanging="360"/>
      </w:pPr>
      <w:rPr>
        <w:rFonts w:ascii="Arial" w:hAnsi="Arial" w:cs="Arial" w:hint="default"/>
      </w:rPr>
    </w:lvl>
    <w:lvl w:ilvl="6">
      <w:start w:val="1"/>
      <w:numFmt w:val="bullet"/>
      <w:lvlText w:val="•"/>
      <w:lvlJc w:val="left"/>
      <w:pPr>
        <w:tabs>
          <w:tab w:val="num" w:pos="5040"/>
        </w:tabs>
        <w:ind w:left="5040" w:hanging="360"/>
      </w:pPr>
      <w:rPr>
        <w:rFonts w:ascii="Arial" w:hAnsi="Arial" w:cs="Arial" w:hint="default"/>
      </w:rPr>
    </w:lvl>
    <w:lvl w:ilvl="7">
      <w:start w:val="1"/>
      <w:numFmt w:val="bullet"/>
      <w:lvlText w:val="•"/>
      <w:lvlJc w:val="left"/>
      <w:pPr>
        <w:tabs>
          <w:tab w:val="num" w:pos="5760"/>
        </w:tabs>
        <w:ind w:left="5760" w:hanging="360"/>
      </w:pPr>
      <w:rPr>
        <w:rFonts w:ascii="Arial" w:hAnsi="Arial" w:cs="Arial" w:hint="default"/>
      </w:rPr>
    </w:lvl>
    <w:lvl w:ilvl="8">
      <w:start w:val="1"/>
      <w:numFmt w:val="bullet"/>
      <w:lvlText w:val="•"/>
      <w:lvlJc w:val="left"/>
      <w:pPr>
        <w:tabs>
          <w:tab w:val="num" w:pos="6480"/>
        </w:tabs>
        <w:ind w:left="6480" w:hanging="360"/>
      </w:pPr>
      <w:rPr>
        <w:rFonts w:ascii="Arial" w:hAnsi="Arial" w:cs="Aria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3">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4">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7">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w="http://schemas.openxmlformats.org/wordprocessingml/2006/main">
  <w:zoom w:percent="120"/>
  <w:defaultTabStop w:val="709"/>
  <w:autoHyphenation w:val="true"/>
  <w:evenAndOddHeader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CJK SC" w:cs="Lohit Devanagari"/>
        <w:kern w:val="2"/>
        <w:sz w:val="24"/>
        <w:szCs w:val="24"/>
        <w:lang w:val="es-MX" w:eastAsia="zh-CN" w:bidi="hi-IN"/>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Liberation Serif" w:hAnsi="Liberation Serif" w:eastAsia="Noto Serif CJK SC" w:cs="Lohit Devanagari"/>
      <w:color w:val="auto"/>
      <w:kern w:val="2"/>
      <w:sz w:val="24"/>
      <w:szCs w:val="24"/>
      <w:lang w:val="es-MX" w:eastAsia="zh-CN" w:bidi="hi-IN"/>
    </w:rPr>
  </w:style>
  <w:style w:type="paragraph" w:styleId="Ttulo1">
    <w:name w:val="Heading 1"/>
    <w:basedOn w:val="Normal"/>
    <w:uiPriority w:val="9"/>
    <w:qFormat/>
    <w:pPr>
      <w:spacing w:before="79" w:after="0"/>
      <w:ind w:left="2899" w:right="2900" w:hanging="0"/>
      <w:jc w:val="center"/>
      <w:outlineLvl w:val="0"/>
    </w:pPr>
    <w:rPr>
      <w:b/>
      <w:bCs/>
      <w:sz w:val="20"/>
      <w:szCs w:val="20"/>
    </w:rPr>
  </w:style>
  <w:style w:type="character" w:styleId="DefaultParagraphFont" w:default="1">
    <w:name w:val="Default Paragraph Font"/>
    <w:uiPriority w:val="1"/>
    <w:semiHidden/>
    <w:unhideWhenUsed/>
    <w:qFormat/>
    <w:rPr/>
  </w:style>
  <w:style w:type="character" w:styleId="EnlacedeInternet">
    <w:name w:val="Enlace de Internet"/>
    <w:basedOn w:val="DefaultParagraphFont"/>
    <w:uiPriority w:val="99"/>
    <w:unhideWhenUsed/>
    <w:rsid w:val="007d1e7f"/>
    <w:rPr>
      <w:color w:val="467886" w:themeColor="hyperlink"/>
      <w:u w:val="single"/>
    </w:rPr>
  </w:style>
  <w:style w:type="character" w:styleId="Character20style" w:customStyle="1">
    <w:name w:val="Character_20_style"/>
    <w:qFormat/>
    <w:rPr/>
  </w:style>
  <w:style w:type="character" w:styleId="UnresolvedMention">
    <w:name w:val="Unresolved Mention"/>
    <w:basedOn w:val="DefaultParagraphFont"/>
    <w:uiPriority w:val="99"/>
    <w:semiHidden/>
    <w:unhideWhenUsed/>
    <w:qFormat/>
    <w:rsid w:val="007d1e7f"/>
    <w:rPr>
      <w:color w:val="605E5C"/>
      <w:shd w:fill="E1DFDD" w:val="clear"/>
    </w:rPr>
  </w:style>
  <w:style w:type="paragraph" w:styleId="Ttulo">
    <w:name w:val="Título"/>
    <w:basedOn w:val="Normal"/>
    <w:next w:val="Cuerpodetexto"/>
    <w:qFormat/>
    <w:pPr>
      <w:keepNext w:val="true"/>
      <w:spacing w:before="240" w:after="120"/>
    </w:pPr>
    <w:rPr>
      <w:rFonts w:ascii="Liberation Sans" w:hAnsi="Liberation Sans" w:eastAsia="Noto Sans CJK SC" w:cs="Lohit Devanagari"/>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style>
  <w:style w:type="paragraph" w:styleId="Leyenda">
    <w:name w:val="Caption"/>
    <w:basedOn w:val="Normal"/>
    <w:qFormat/>
    <w:pPr>
      <w:suppressLineNumbers/>
      <w:spacing w:before="120" w:after="120"/>
    </w:pPr>
    <w:rPr>
      <w:rFonts w:cs="Lohit Devanagari"/>
      <w:i/>
      <w:iCs/>
      <w:sz w:val="24"/>
      <w:szCs w:val="24"/>
    </w:rPr>
  </w:style>
  <w:style w:type="paragraph" w:styleId="Ndice" w:customStyle="1">
    <w:name w:val="Índice"/>
    <w:basedOn w:val="Normal"/>
    <w:qFormat/>
    <w:pPr>
      <w:suppressLineNumbers/>
    </w:pPr>
    <w:rPr/>
  </w:style>
  <w:style w:type="paragraph" w:styleId="Ttulogeneral">
    <w:name w:val="Title"/>
    <w:basedOn w:val="Normal"/>
    <w:next w:val="Cuerpodetexto"/>
    <w:uiPriority w:val="10"/>
    <w:qFormat/>
    <w:pPr>
      <w:spacing w:before="80" w:after="0"/>
      <w:ind w:left="118" w:hanging="0"/>
      <w:jc w:val="both"/>
    </w:pPr>
    <w:rPr>
      <w:b/>
      <w:bCs/>
    </w:rPr>
  </w:style>
  <w:style w:type="paragraph" w:styleId="Caption">
    <w:name w:val="caption"/>
    <w:basedOn w:val="Normal"/>
    <w:next w:val="Normal"/>
    <w:qFormat/>
    <w:pPr>
      <w:spacing w:before="0" w:after="200"/>
    </w:pPr>
    <w:rPr>
      <w:i/>
      <w:iCs/>
      <w:color w:val="1F497D"/>
      <w:sz w:val="18"/>
      <w:szCs w:val="18"/>
    </w:rPr>
  </w:style>
  <w:style w:type="paragraph" w:styleId="Textopreformateado" w:customStyle="1">
    <w:name w:val="Texto preformateado"/>
    <w:basedOn w:val="Normal"/>
    <w:qFormat/>
    <w:pPr/>
    <w:rPr>
      <w:rFonts w:ascii="Liberation Mono" w:hAnsi="Liberation Mono" w:eastAsia="Liberation Mono" w:cs="Liberation Mono"/>
      <w:sz w:val="20"/>
      <w:szCs w:val="20"/>
    </w:rPr>
  </w:style>
  <w:style w:type="paragraph" w:styleId="Cabeceraypie" w:customStyle="1">
    <w:name w:val="Cabecera y pie"/>
    <w:basedOn w:val="Normal"/>
    <w:qFormat/>
    <w:pPr>
      <w:suppressLineNumbers/>
      <w:tabs>
        <w:tab w:val="clear" w:pos="709"/>
        <w:tab w:val="center" w:pos="4820" w:leader="none"/>
        <w:tab w:val="right" w:pos="9640" w:leader="none"/>
      </w:tabs>
    </w:pPr>
    <w:rPr/>
  </w:style>
  <w:style w:type="paragraph" w:styleId="Cabecera">
    <w:name w:val="Header"/>
    <w:basedOn w:val="Cabeceraypie"/>
    <w:pPr/>
    <w:rPr/>
  </w:style>
  <w:style w:type="paragraph" w:styleId="Piedepgina">
    <w:name w:val="Footer"/>
    <w:basedOn w:val="Cabeceraypie"/>
    <w:pPr/>
    <w:rPr/>
  </w:style>
  <w:style w:type="paragraph" w:styleId="Cabeceraizquierda" w:customStyle="1">
    <w:name w:val="Cabecera izquierda"/>
    <w:basedOn w:val="Cabecera"/>
    <w:qFormat/>
    <w:pPr/>
    <w:rPr/>
  </w:style>
  <w:style w:type="paragraph" w:styleId="ListParagraph">
    <w:name w:val="List Paragraph"/>
    <w:basedOn w:val="Normal"/>
    <w:qFormat/>
    <w:pPr>
      <w:ind w:left="831" w:hanging="356"/>
    </w:pPr>
    <w:rPr/>
  </w:style>
  <w:style w:type="paragraph" w:styleId="Contenidodelatabla" w:customStyle="1">
    <w:name w:val="Contenido de la tabla"/>
    <w:basedOn w:val="Normal"/>
    <w:qFormat/>
    <w:pPr/>
    <w:rPr/>
  </w:style>
  <w:style w:type="paragraph" w:styleId="LOnormal" w:customStyle="1">
    <w:name w:val="LO-normal"/>
    <w:qFormat/>
    <w:pPr>
      <w:widowControl/>
      <w:suppressAutoHyphens w:val="true"/>
      <w:bidi w:val="0"/>
      <w:spacing w:lineRule="auto" w:line="276" w:before="0" w:after="0"/>
      <w:jc w:val="left"/>
    </w:pPr>
    <w:rPr>
      <w:rFonts w:ascii="Liberation Serif" w:hAnsi="Liberation Serif" w:eastAsia="Noto Serif CJK SC" w:cs="Lohit Devanagari"/>
      <w:color w:val="auto"/>
      <w:kern w:val="2"/>
      <w:sz w:val="24"/>
      <w:szCs w:val="24"/>
      <w:lang w:val="es-MX" w:eastAsia="zh-CN" w:bidi="hi-IN"/>
    </w:rPr>
  </w:style>
  <w:style w:type="numbering" w:styleId="NoList" w:default="1">
    <w:name w:val="No List"/>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image" Target="media/image2.png"/><Relationship Id="rId9" Type="http://schemas.openxmlformats.org/officeDocument/2006/relationships/image" Target="media/image3.png"/><Relationship Id="rId10" Type="http://schemas.openxmlformats.org/officeDocument/2006/relationships/image" Target="media/image4.png"/><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hyperlink" Target="https://www.apa.org/news/press/releases/2022/05/positive-education-student-well-being" TargetMode="External"/><Relationship Id="rId14" Type="http://schemas.openxmlformats.org/officeDocument/2006/relationships/header" Target="header4.xml"/><Relationship Id="rId15" Type="http://schemas.openxmlformats.org/officeDocument/2006/relationships/header" Target="header5.xml"/><Relationship Id="rId16" Type="http://schemas.openxmlformats.org/officeDocument/2006/relationships/footer" Target="footer4.xml"/><Relationship Id="rId17" Type="http://schemas.openxmlformats.org/officeDocument/2006/relationships/footer" Target="footer5.xml"/><Relationship Id="rId18" Type="http://schemas.openxmlformats.org/officeDocument/2006/relationships/numbering" Target="numbering.xml"/><Relationship Id="rId19" Type="http://schemas.openxmlformats.org/officeDocument/2006/relationships/fontTable" Target="fontTable.xml"/><Relationship Id="rId20" Type="http://schemas.openxmlformats.org/officeDocument/2006/relationships/settings" Target="settings.xml"/><Relationship Id="rId21" Type="http://schemas.openxmlformats.org/officeDocument/2006/relationships/theme" Target="theme/theme1.xml"/>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87</TotalTime>
  <Application>LibreOffice/7.0.4.2$Linux_X86_64 LibreOffice_project/00$Build-2</Application>
  <AppVersion>15.0000</AppVersion>
  <Pages>5</Pages>
  <Words>2990</Words>
  <Characters>16187</Characters>
  <CharactersWithSpaces>19071</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2023-12-27T21:59:00Z</dcterms:created>
  <dc:creator/>
  <dc:description/>
  <dc:language>es-MX</dc:language>
  <cp:lastModifiedBy/>
  <dcterms:modified xsi:type="dcterms:W3CDTF">2025-07-02T09:34:36Z</dcterms:modified>
  <cp:revision>54</cp:revision>
  <dc:subject/>
  <dc:title/>
</cp:coreProperties>
</file>

<file path=docProps/custom.xml><?xml version="1.0" encoding="utf-8"?>
<Properties xmlns="http://schemas.openxmlformats.org/officeDocument/2006/custom-properties" xmlns:vt="http://schemas.openxmlformats.org/officeDocument/2006/docPropsVTypes"/>
</file>