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6.xml.rels" ContentType="application/vnd.openxmlformats-package.relationships+xml"/>
  <Override PartName="/word/_rels/header3.xml.rels" ContentType="application/vnd.openxmlformats-package.relationships+xml"/>
  <Override PartName="/word/_rels/document.xml.rels" ContentType="application/vnd.openxmlformats-package.relationships+xml"/>
  <Override PartName="/word/_rels/header9.xml.rels" ContentType="application/vnd.openxmlformats-package.relationships+xml"/>
  <Override PartName="/word/_rels/header12.xml.rels" ContentType="application/vnd.openxmlformats-package.relationships+xml"/>
  <Override PartName="/word/document.xml" ContentType="application/vnd.openxmlformats-officedocument.wordprocessingml.document.main+xml"/>
  <Override PartName="/word/header2.xml" ContentType="application/vnd.openxmlformats-officedocument.wordprocessingml.header+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header1.xml" ContentType="application/vnd.openxmlformats-officedocument.wordprocessingml.header+xml"/>
  <Override PartName="/word/styles.xml" ContentType="application/vnd.openxmlformats-officedocument.wordprocessingml.styles+xml"/>
  <Override PartName="/word/header5.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settings.xml" ContentType="application/vnd.openxmlformats-officedocument.wordprocessingml.settings+xml"/>
  <Override PartName="/word/footer11.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numbering.xml" ContentType="application/vnd.openxmlformats-officedocument.wordprocessingml.numbering+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4.xml" ContentType="application/vnd.openxmlformats-officedocument.wordprocessingml.footer+xml"/>
  <Override PartName="/word/footer10.xml" ContentType="application/vnd.openxmlformats-officedocument.wordprocessingml.footer+xml"/>
  <Override PartName="/word/footer12.xml" ContentType="application/vnd.openxmlformats-officedocument.wordprocessingml.footer+xml"/>
  <Override PartName="/word/footer6.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240" w:before="0" w:after="0"/>
        <w:ind w:left="0" w:right="0" w:hanging="0"/>
        <w:jc w:val="center"/>
        <w:rPr>
          <w:rFonts w:ascii="Times New Roman" w:hAnsi="Times New Roman"/>
          <w:b w:val="false"/>
          <w:b w:val="false"/>
          <w:bCs w:val="false"/>
          <w:sz w:val="44"/>
          <w:szCs w:val="44"/>
        </w:rPr>
      </w:pPr>
      <w:r>
        <w:rPr>
          <w:rFonts w:ascii="Times New Roman" w:hAnsi="Times New Roman"/>
          <w:b w:val="false"/>
          <w:bCs w:val="false"/>
          <w:sz w:val="44"/>
          <w:szCs w:val="44"/>
        </w:rPr>
        <w:t xml:space="preserve">Oportunidades de un programa dual para estudiantes de ingeniería en un </w:t>
      </w:r>
      <w:r>
        <w:rPr>
          <w:rFonts w:ascii="Times New Roman" w:hAnsi="Times New Roman"/>
          <w:b w:val="false"/>
          <w:bCs w:val="false"/>
          <w:sz w:val="44"/>
          <w:szCs w:val="44"/>
        </w:rPr>
        <w:t>I</w:t>
      </w:r>
      <w:r>
        <w:rPr>
          <w:rFonts w:ascii="Times New Roman" w:hAnsi="Times New Roman"/>
          <w:b w:val="false"/>
          <w:bCs w:val="false"/>
          <w:sz w:val="44"/>
          <w:szCs w:val="44"/>
        </w:rPr>
        <w:t xml:space="preserve">nstituto </w:t>
      </w:r>
      <w:r>
        <w:rPr>
          <w:rFonts w:ascii="Times New Roman" w:hAnsi="Times New Roman"/>
          <w:b w:val="false"/>
          <w:bCs w:val="false"/>
          <w:sz w:val="44"/>
          <w:szCs w:val="44"/>
        </w:rPr>
        <w:t>T</w:t>
      </w:r>
      <w:r>
        <w:rPr>
          <w:rFonts w:ascii="Times New Roman" w:hAnsi="Times New Roman"/>
          <w:b w:val="false"/>
          <w:bCs w:val="false"/>
          <w:sz w:val="44"/>
          <w:szCs w:val="44"/>
        </w:rPr>
        <w:t xml:space="preserve">ecnológico </w:t>
      </w:r>
      <w:r>
        <w:rPr>
          <w:rFonts w:ascii="Times New Roman" w:hAnsi="Times New Roman"/>
          <w:b w:val="false"/>
          <w:bCs w:val="false"/>
          <w:sz w:val="44"/>
          <w:szCs w:val="44"/>
        </w:rPr>
        <w:t>S</w:t>
      </w:r>
      <w:r>
        <w:rPr>
          <w:rFonts w:ascii="Times New Roman" w:hAnsi="Times New Roman"/>
          <w:b w:val="false"/>
          <w:bCs w:val="false"/>
          <w:sz w:val="44"/>
          <w:szCs w:val="44"/>
        </w:rPr>
        <w:t xml:space="preserve">uperior: </w:t>
      </w:r>
      <w:r>
        <w:rPr>
          <w:rFonts w:ascii="Times New Roman" w:hAnsi="Times New Roman"/>
          <w:b w:val="false"/>
          <w:bCs w:val="false"/>
          <w:sz w:val="44"/>
          <w:szCs w:val="44"/>
        </w:rPr>
        <w:t>P</w:t>
      </w:r>
      <w:r>
        <w:rPr>
          <w:rFonts w:ascii="Times New Roman" w:hAnsi="Times New Roman"/>
          <w:b w:val="false"/>
          <w:bCs w:val="false"/>
          <w:sz w:val="44"/>
          <w:szCs w:val="44"/>
        </w:rPr>
        <w:t>rimeros resultados</w:t>
      </w:r>
    </w:p>
    <w:p>
      <w:pPr>
        <w:pStyle w:val="Normal"/>
        <w:bidi w:val="0"/>
        <w:spacing w:lineRule="auto" w:line="240" w:before="0" w:after="0"/>
        <w:ind w:left="0" w:right="0" w:hanging="0"/>
        <w:jc w:val="both"/>
        <w:rPr>
          <w:rFonts w:ascii="Times New Roman" w:hAnsi="Times New Roman"/>
          <w:b w:val="false"/>
          <w:b w:val="false"/>
          <w:bCs w:val="false"/>
          <w:sz w:val="20"/>
          <w:szCs w:val="20"/>
        </w:rPr>
      </w:pPr>
      <w:r>
        <w:rPr>
          <w:rFonts w:ascii="Times New Roman" w:hAnsi="Times New Roman"/>
          <w:b w:val="false"/>
          <w:bCs w:val="false"/>
          <w:sz w:val="20"/>
          <w:szCs w:val="20"/>
        </w:rPr>
      </w:r>
    </w:p>
    <w:p>
      <w:pPr>
        <w:pStyle w:val="Textopreformateado"/>
        <w:bidi w:val="0"/>
        <w:spacing w:lineRule="auto" w:line="240" w:before="0" w:after="0"/>
        <w:ind w:left="0" w:right="0" w:hanging="0"/>
        <w:jc w:val="center"/>
        <w:rPr>
          <w:rFonts w:ascii="Times New Roman" w:hAnsi="Times New Roman"/>
          <w:b w:val="false"/>
          <w:b w:val="false"/>
          <w:bCs w:val="false"/>
          <w:sz w:val="36"/>
          <w:szCs w:val="36"/>
        </w:rPr>
      </w:pPr>
      <w:bookmarkStart w:id="0" w:name="tw-target-text"/>
      <w:bookmarkEnd w:id="0"/>
      <w:r>
        <w:rPr>
          <w:rFonts w:ascii="Times New Roman" w:hAnsi="Times New Roman"/>
          <w:b w:val="false"/>
          <w:bCs w:val="false"/>
          <w:sz w:val="36"/>
          <w:szCs w:val="36"/>
          <w:lang w:val="en-US"/>
        </w:rPr>
        <w:t xml:space="preserve">Opportunities for a dual program for engineering students at a </w:t>
      </w:r>
      <w:r>
        <w:rPr>
          <w:rFonts w:ascii="Times New Roman" w:hAnsi="Times New Roman"/>
          <w:b w:val="false"/>
          <w:bCs w:val="false"/>
          <w:sz w:val="36"/>
          <w:szCs w:val="36"/>
          <w:lang w:val="en-US"/>
        </w:rPr>
        <w:t>I</w:t>
      </w:r>
      <w:r>
        <w:rPr>
          <w:rFonts w:ascii="Times New Roman" w:hAnsi="Times New Roman"/>
          <w:b w:val="false"/>
          <w:bCs w:val="false"/>
          <w:sz w:val="36"/>
          <w:szCs w:val="36"/>
          <w:lang w:val="en-US"/>
        </w:rPr>
        <w:t xml:space="preserve">nstituto </w:t>
      </w:r>
      <w:r>
        <w:rPr>
          <w:rFonts w:ascii="Times New Roman" w:hAnsi="Times New Roman"/>
          <w:b w:val="false"/>
          <w:bCs w:val="false"/>
          <w:sz w:val="36"/>
          <w:szCs w:val="36"/>
          <w:lang w:val="en-US"/>
        </w:rPr>
        <w:t>T</w:t>
      </w:r>
      <w:r>
        <w:rPr>
          <w:rFonts w:ascii="Times New Roman" w:hAnsi="Times New Roman"/>
          <w:b w:val="false"/>
          <w:bCs w:val="false"/>
          <w:sz w:val="36"/>
          <w:szCs w:val="36"/>
          <w:lang w:val="en-US"/>
        </w:rPr>
        <w:t xml:space="preserve">ecnológico </w:t>
      </w:r>
      <w:r>
        <w:rPr>
          <w:rFonts w:ascii="Times New Roman" w:hAnsi="Times New Roman"/>
          <w:b w:val="false"/>
          <w:bCs w:val="false"/>
          <w:sz w:val="36"/>
          <w:szCs w:val="36"/>
          <w:lang w:val="en-US"/>
        </w:rPr>
        <w:t>S</w:t>
      </w:r>
      <w:r>
        <w:rPr>
          <w:rFonts w:ascii="Times New Roman" w:hAnsi="Times New Roman"/>
          <w:b w:val="false"/>
          <w:bCs w:val="false"/>
          <w:sz w:val="36"/>
          <w:szCs w:val="36"/>
          <w:lang w:val="en-US"/>
        </w:rPr>
        <w:t xml:space="preserve">uperior: </w:t>
      </w:r>
      <w:r>
        <w:rPr>
          <w:rFonts w:ascii="Times New Roman" w:hAnsi="Times New Roman"/>
          <w:b w:val="false"/>
          <w:bCs w:val="false"/>
          <w:sz w:val="36"/>
          <w:szCs w:val="36"/>
          <w:lang w:val="en-US"/>
        </w:rPr>
        <w:t>F</w:t>
      </w:r>
      <w:r>
        <w:rPr>
          <w:rFonts w:ascii="Times New Roman" w:hAnsi="Times New Roman"/>
          <w:b w:val="false"/>
          <w:bCs w:val="false"/>
          <w:sz w:val="36"/>
          <w:szCs w:val="36"/>
          <w:lang w:val="en-US"/>
        </w:rPr>
        <w:t>irst results</w:t>
      </w:r>
    </w:p>
    <w:p>
      <w:pPr>
        <w:pStyle w:val="Textopreformateado"/>
        <w:bidi w:val="0"/>
        <w:spacing w:lineRule="auto" w:line="240" w:before="0" w:after="0"/>
        <w:ind w:left="0" w:right="0" w:hanging="0"/>
        <w:jc w:val="both"/>
        <w:rPr>
          <w:lang w:val="en-US"/>
        </w:rPr>
      </w:pPr>
      <w:r>
        <w:rPr>
          <w:rFonts w:ascii="Times New Roman" w:hAnsi="Times New Roman"/>
          <w:b w:val="false"/>
          <w:bCs w:val="false"/>
          <w:sz w:val="20"/>
          <w:szCs w:val="20"/>
        </w:rPr>
      </w:r>
    </w:p>
    <w:p>
      <w:pPr>
        <w:pStyle w:val="Textopreformateado"/>
        <w:bidi w:val="0"/>
        <w:spacing w:lineRule="auto" w:line="240" w:before="0" w:after="0"/>
        <w:ind w:left="0" w:right="0" w:hanging="0"/>
        <w:jc w:val="center"/>
        <w:rPr>
          <w:rFonts w:ascii="Times New Roman" w:hAnsi="Times New Roman"/>
          <w:b w:val="false"/>
          <w:b w:val="false"/>
          <w:bCs w:val="false"/>
          <w:sz w:val="24"/>
          <w:szCs w:val="24"/>
        </w:rPr>
      </w:pPr>
      <w:r>
        <w:rPr>
          <w:rFonts w:ascii="Times New Roman" w:hAnsi="Times New Roman"/>
          <w:b w:val="false"/>
          <w:bCs w:val="false"/>
          <w:sz w:val="24"/>
          <w:szCs w:val="24"/>
          <w:lang w:val="en-US"/>
        </w:rPr>
        <w:t>Ramón Salvador Mézquita-Martínez</w:t>
      </w:r>
      <w:r>
        <w:rPr>
          <w:rFonts w:ascii="Times New Roman" w:hAnsi="Times New Roman"/>
          <w:b w:val="false"/>
          <w:bCs w:val="false"/>
          <w:sz w:val="24"/>
          <w:szCs w:val="24"/>
          <w:vertAlign w:val="superscript"/>
          <w:lang w:val="en-US"/>
        </w:rPr>
        <w:t>1</w:t>
      </w:r>
      <w:r>
        <w:rPr>
          <w:rFonts w:ascii="Times New Roman" w:hAnsi="Times New Roman"/>
          <w:b w:val="false"/>
          <w:bCs w:val="false"/>
          <w:sz w:val="24"/>
          <w:szCs w:val="24"/>
          <w:lang w:val="en-US"/>
        </w:rPr>
        <w:t>, Erick del JesusTamayo-Loeza</w:t>
      </w:r>
      <w:r>
        <w:rPr>
          <w:rFonts w:ascii="Times New Roman" w:hAnsi="Times New Roman"/>
          <w:b w:val="false"/>
          <w:bCs w:val="false"/>
          <w:sz w:val="24"/>
          <w:szCs w:val="24"/>
          <w:vertAlign w:val="superscript"/>
          <w:lang w:val="en-US"/>
        </w:rPr>
        <w:t>1</w:t>
      </w:r>
      <w:r>
        <w:rPr>
          <w:rFonts w:ascii="Times New Roman" w:hAnsi="Times New Roman"/>
          <w:b w:val="false"/>
          <w:bCs w:val="false"/>
          <w:sz w:val="24"/>
          <w:szCs w:val="24"/>
          <w:lang w:val="en-US"/>
        </w:rPr>
        <w:t xml:space="preserve">, </w:t>
      </w:r>
    </w:p>
    <w:p>
      <w:pPr>
        <w:pStyle w:val="Textopreformateado"/>
        <w:bidi w:val="0"/>
        <w:spacing w:lineRule="auto" w:line="240" w:before="0" w:after="0"/>
        <w:ind w:left="0" w:right="0" w:hanging="0"/>
        <w:jc w:val="center"/>
        <w:rPr>
          <w:rFonts w:ascii="Times New Roman" w:hAnsi="Times New Roman"/>
          <w:b w:val="false"/>
          <w:b w:val="false"/>
          <w:bCs w:val="false"/>
          <w:sz w:val="24"/>
          <w:szCs w:val="24"/>
        </w:rPr>
      </w:pPr>
      <w:r>
        <w:rPr>
          <w:rFonts w:ascii="Times New Roman" w:hAnsi="Times New Roman"/>
          <w:b w:val="false"/>
          <w:bCs w:val="false"/>
          <w:sz w:val="24"/>
          <w:szCs w:val="24"/>
          <w:lang w:val="en-US"/>
        </w:rPr>
        <w:t>Irving Metelín-Rosado</w:t>
      </w:r>
      <w:r>
        <w:rPr>
          <w:rFonts w:ascii="Times New Roman" w:hAnsi="Times New Roman"/>
          <w:b w:val="false"/>
          <w:bCs w:val="false"/>
          <w:sz w:val="24"/>
          <w:szCs w:val="24"/>
          <w:vertAlign w:val="superscript"/>
          <w:lang w:val="en-US"/>
        </w:rPr>
        <w:t xml:space="preserve">1 </w:t>
      </w:r>
      <w:r>
        <w:rPr>
          <w:rFonts w:ascii="Times New Roman" w:hAnsi="Times New Roman"/>
          <w:b w:val="false"/>
          <w:bCs w:val="false"/>
          <w:sz w:val="24"/>
          <w:szCs w:val="24"/>
          <w:lang w:val="en-US"/>
        </w:rPr>
        <w:t>e</w:t>
      </w:r>
      <w:r>
        <w:rPr>
          <w:rFonts w:ascii="Times New Roman" w:hAnsi="Times New Roman"/>
          <w:b w:val="false"/>
          <w:bCs w:val="false"/>
          <w:sz w:val="24"/>
          <w:szCs w:val="24"/>
          <w:lang w:val="en-US"/>
        </w:rPr>
        <w:t xml:space="preserve"> Iván de Jesús May-Cen</w:t>
      </w:r>
      <w:r>
        <w:rPr>
          <w:rFonts w:ascii="Times New Roman" w:hAnsi="Times New Roman"/>
          <w:b w:val="false"/>
          <w:bCs w:val="false"/>
          <w:sz w:val="24"/>
          <w:szCs w:val="24"/>
          <w:vertAlign w:val="superscript"/>
          <w:lang w:val="en-US"/>
        </w:rPr>
        <w:t>1*</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center"/>
        <w:rPr>
          <w:rFonts w:ascii="Times New Roman" w:hAnsi="Times New Roman"/>
          <w:sz w:val="24"/>
          <w:szCs w:val="24"/>
        </w:rPr>
      </w:pPr>
      <w:r>
        <w:rPr>
          <w:rFonts w:ascii="Times New Roman" w:hAnsi="Times New Roman"/>
          <w:i/>
          <w:iCs/>
          <w:sz w:val="24"/>
          <w:szCs w:val="24"/>
          <w:vertAlign w:val="superscript"/>
        </w:rPr>
        <w:t>1</w:t>
      </w:r>
      <w:r>
        <w:rPr>
          <w:rFonts w:ascii="Times New Roman" w:hAnsi="Times New Roman"/>
          <w:i/>
          <w:iCs/>
          <w:sz w:val="24"/>
          <w:szCs w:val="24"/>
        </w:rPr>
        <w:t>Tecnologico Nacional de México campus Progreso, Boulevard Tecnológico de Progreso SN por 62, CP 97320, Progreso, Yucatán, México.</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center"/>
        <w:rPr>
          <w:rFonts w:ascii="Times New Roman" w:hAnsi="Times New Roman"/>
          <w:i/>
          <w:i/>
          <w:iCs/>
          <w:sz w:val="20"/>
          <w:szCs w:val="20"/>
        </w:rPr>
      </w:pPr>
      <w:r>
        <w:rPr>
          <w:rFonts w:ascii="Times New Roman" w:hAnsi="Times New Roman"/>
          <w:i/>
          <w:iCs/>
          <w:sz w:val="20"/>
          <w:szCs w:val="20"/>
        </w:rPr>
        <w:t>*</w:t>
      </w:r>
      <w:r>
        <w:rPr>
          <w:rFonts w:ascii="Times New Roman" w:hAnsi="Times New Roman"/>
          <w:i/>
          <w:iCs/>
          <w:sz w:val="20"/>
          <w:szCs w:val="20"/>
        </w:rPr>
        <w:t>Correspondig author:</w:t>
      </w:r>
    </w:p>
    <w:p>
      <w:pPr>
        <w:pStyle w:val="Normal"/>
        <w:bidi w:val="0"/>
        <w:spacing w:lineRule="auto" w:line="240" w:before="0" w:after="0"/>
        <w:ind w:left="0" w:right="0" w:hanging="0"/>
        <w:jc w:val="center"/>
        <w:rPr>
          <w:rFonts w:ascii="Times New Roman" w:hAnsi="Times New Roman"/>
          <w:i/>
          <w:i/>
          <w:iCs/>
          <w:sz w:val="20"/>
          <w:szCs w:val="20"/>
        </w:rPr>
      </w:pPr>
      <w:r>
        <w:rPr>
          <w:rFonts w:ascii="Times New Roman" w:hAnsi="Times New Roman"/>
          <w:i/>
          <w:iCs/>
          <w:sz w:val="20"/>
          <w:szCs w:val="20"/>
        </w:rPr>
        <w:t>i</w:t>
      </w:r>
      <w:r>
        <w:rPr>
          <w:rFonts w:ascii="Times New Roman" w:hAnsi="Times New Roman"/>
          <w:i/>
          <w:iCs/>
          <w:sz w:val="20"/>
          <w:szCs w:val="20"/>
        </w:rPr>
        <w:t>van.mc@progreso.tecnm.mx</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sectPr>
          <w:headerReference w:type="even" r:id="rId2"/>
          <w:headerReference w:type="default" r:id="rId3"/>
          <w:headerReference w:type="first" r:id="rId4"/>
          <w:footerReference w:type="even" r:id="rId5"/>
          <w:footerReference w:type="default" r:id="rId6"/>
          <w:footerReference w:type="first" r:id="rId7"/>
          <w:type w:val="nextPage"/>
          <w:pgSz w:w="12240" w:h="15840"/>
          <w:pgMar w:left="1417" w:right="1417" w:header="1417" w:top="2066" w:footer="1417" w:bottom="2072" w:gutter="0"/>
          <w:pgNumType w:fmt="decimal"/>
          <w:formProt w:val="false"/>
          <w:titlePg/>
          <w:textDirection w:val="lrTb"/>
          <w:docGrid w:type="default" w:linePitch="100" w:charSpace="0"/>
        </w:sectPr>
      </w:pPr>
    </w:p>
    <w:p>
      <w:pPr>
        <w:pStyle w:val="Normal"/>
        <w:bidi w:val="0"/>
        <w:spacing w:lineRule="auto" w:line="240" w:before="0" w:after="0"/>
        <w:ind w:left="0" w:right="0" w:hanging="0"/>
        <w:jc w:val="both"/>
        <w:rPr>
          <w:rFonts w:ascii="Times New Roman" w:hAnsi="Times New Roman"/>
          <w:b/>
          <w:b/>
          <w:bCs/>
          <w:sz w:val="20"/>
          <w:szCs w:val="20"/>
        </w:rPr>
      </w:pPr>
      <w:r>
        <w:rPr>
          <w:rFonts w:ascii="Times New Roman" w:hAnsi="Times New Roman"/>
          <w:b/>
          <w:bCs/>
          <w:sz w:val="20"/>
          <w:szCs w:val="20"/>
        </w:rPr>
        <w:t>Resumen: La puesta en marcha del sistema dual de aprendizaje surge de la necesidad de que los estudiantes de ingeniería se sumerjan en el ámbito laboral antes de finalizar su formación académica, permitiéndoles aplicar los conocimientos teóricos adquiridos. El objetivo de este trabajo es el de presentar las acciones implementadas desde el profesorado e institución para preparar a los estudiantes a la incorporación en el programa dual. El enfoque metodológico para llevar a cabo este proyecto se basa en la investigación-acción, se asume como población a la totalidad de estudiantes que se inscriben al programa dual, identificando las necesidades tanto antes como durante la estancia en la empresa, diseñando acciones remediales dirigidas hacia los estudiantes para contribuir a que se adapten a la empresa donde se dirijan. Los resultados han superado las expectativas, en el sentido en que el 100% estudiantes son contratados mucho antes de concluir su programa, demostrando habilidades para proponer y ejecutar mejoras en la industria.</w:t>
      </w:r>
    </w:p>
    <w:p>
      <w:pPr>
        <w:pStyle w:val="Normal"/>
        <w:bidi w:val="0"/>
        <w:spacing w:lineRule="auto" w:line="240" w:before="0" w:after="0"/>
        <w:ind w:left="0" w:right="0" w:hanging="0"/>
        <w:jc w:val="both"/>
        <w:rPr>
          <w:rFonts w:ascii="Times New Roman" w:hAnsi="Times New Roman"/>
          <w:b/>
          <w:b/>
          <w:bCs/>
          <w:sz w:val="20"/>
          <w:szCs w:val="20"/>
        </w:rPr>
      </w:pPr>
      <w:r>
        <w:rPr>
          <w:rFonts w:ascii="Times New Roman" w:hAnsi="Times New Roman"/>
          <w:b/>
          <w:bCs/>
          <w:sz w:val="20"/>
          <w:szCs w:val="20"/>
        </w:rPr>
      </w:r>
    </w:p>
    <w:p>
      <w:pPr>
        <w:pStyle w:val="Normal"/>
        <w:bidi w:val="0"/>
        <w:spacing w:lineRule="auto" w:line="240" w:before="0" w:after="0"/>
        <w:ind w:left="0" w:right="0" w:hanging="0"/>
        <w:jc w:val="both"/>
        <w:rPr>
          <w:rFonts w:ascii="Times New Roman" w:hAnsi="Times New Roman"/>
          <w:b/>
          <w:b/>
          <w:bCs/>
          <w:sz w:val="20"/>
          <w:szCs w:val="20"/>
        </w:rPr>
      </w:pPr>
      <w:r>
        <w:rPr>
          <w:rFonts w:ascii="Times New Roman" w:hAnsi="Times New Roman"/>
          <w:b/>
          <w:bCs/>
          <w:sz w:val="20"/>
          <w:szCs w:val="20"/>
        </w:rPr>
        <w:t>Palabras clave: Educación dual, escuela-empresa, formación profesional, modalidad dual.</w:t>
      </w:r>
    </w:p>
    <w:p>
      <w:pPr>
        <w:pStyle w:val="Normal"/>
        <w:bidi w:val="0"/>
        <w:spacing w:lineRule="auto" w:line="240" w:before="0" w:after="0"/>
        <w:ind w:left="0" w:right="0" w:hanging="0"/>
        <w:jc w:val="both"/>
        <w:rPr>
          <w:rFonts w:ascii="Times New Roman" w:hAnsi="Times New Roman"/>
          <w:b/>
          <w:b/>
          <w:bCs/>
          <w:sz w:val="20"/>
          <w:szCs w:val="20"/>
        </w:rPr>
      </w:pPr>
      <w:r>
        <w:rPr>
          <w:rFonts w:ascii="Times New Roman" w:hAnsi="Times New Roman"/>
          <w:b/>
          <w:bCs/>
          <w:sz w:val="20"/>
          <w:szCs w:val="20"/>
        </w:rPr>
      </w:r>
    </w:p>
    <w:p>
      <w:pPr>
        <w:pStyle w:val="Normal"/>
        <w:bidi w:val="0"/>
        <w:spacing w:lineRule="auto" w:line="240" w:before="0" w:after="0"/>
        <w:ind w:left="0" w:right="0" w:hanging="0"/>
        <w:jc w:val="both"/>
        <w:rPr>
          <w:rFonts w:ascii="Times New Roman" w:hAnsi="Times New Roman"/>
          <w:b/>
          <w:b/>
          <w:bCs/>
          <w:sz w:val="20"/>
          <w:szCs w:val="20"/>
        </w:rPr>
      </w:pPr>
      <w:r>
        <w:rPr>
          <w:rFonts w:ascii="Times New Roman" w:hAnsi="Times New Roman"/>
          <w:b/>
          <w:bCs/>
          <w:sz w:val="20"/>
          <w:szCs w:val="20"/>
        </w:rPr>
        <w:t xml:space="preserve">Abstract: </w:t>
      </w:r>
      <w:bookmarkStart w:id="1" w:name="tw-target-text2"/>
      <w:bookmarkEnd w:id="1"/>
      <w:r>
        <w:rPr>
          <w:rFonts w:ascii="Times New Roman" w:hAnsi="Times New Roman"/>
          <w:b/>
          <w:bCs/>
          <w:sz w:val="20"/>
          <w:szCs w:val="20"/>
          <w:lang w:val="en-US"/>
        </w:rPr>
        <w:t>The implementation of the dual learning system arises from the need for engineering students to immerse themselves in the workplace before completing their academic training, allowing them to apply the theoretical knowledge acquired. The objective of this work is to present the actions implemented by the teaching staff and institution to prepare students for incorporation into the dual program. The methodological approach to carry out this project is based on action research, the population is assumed to be all students who enroll in the dual program, identifying the needs both before and during their stay in the company, designing targeted remedial actions. towards students to help them adapt to the company where they are heading. The results have exceeded expectations, in the sense that 100% students are hired long before completing their program, demonstrating abilities to propose and execute improvements in the industry.</w:t>
      </w:r>
    </w:p>
    <w:p>
      <w:pPr>
        <w:pStyle w:val="Normal"/>
        <w:bidi w:val="0"/>
        <w:spacing w:lineRule="auto" w:line="240" w:before="0" w:after="0"/>
        <w:ind w:left="0" w:right="0" w:hanging="0"/>
        <w:jc w:val="both"/>
        <w:rPr>
          <w:rFonts w:ascii="Times New Roman" w:hAnsi="Times New Roman"/>
          <w:b/>
          <w:b/>
          <w:bCs/>
          <w:sz w:val="20"/>
          <w:szCs w:val="20"/>
        </w:rPr>
      </w:pPr>
      <w:r>
        <w:rPr>
          <w:rFonts w:ascii="Times New Roman" w:hAnsi="Times New Roman"/>
          <w:b/>
          <w:bCs/>
          <w:sz w:val="20"/>
          <w:szCs w:val="20"/>
        </w:rPr>
      </w:r>
    </w:p>
    <w:p>
      <w:pPr>
        <w:pStyle w:val="Normal"/>
        <w:bidi w:val="0"/>
        <w:spacing w:lineRule="auto" w:line="240" w:before="0" w:after="0"/>
        <w:ind w:left="0" w:right="0" w:hanging="0"/>
        <w:jc w:val="both"/>
        <w:rPr>
          <w:rFonts w:ascii="Times New Roman" w:hAnsi="Times New Roman"/>
          <w:b/>
          <w:b/>
          <w:bCs/>
          <w:sz w:val="20"/>
          <w:szCs w:val="20"/>
        </w:rPr>
      </w:pPr>
      <w:r>
        <w:rPr>
          <w:rFonts w:ascii="Times New Roman" w:hAnsi="Times New Roman"/>
          <w:b/>
          <w:bCs/>
          <w:sz w:val="20"/>
          <w:szCs w:val="20"/>
        </w:rPr>
        <w:t xml:space="preserve">Keywords: </w:t>
      </w:r>
      <w:bookmarkStart w:id="2" w:name="tw-target-text1"/>
      <w:bookmarkEnd w:id="2"/>
      <w:r>
        <w:rPr>
          <w:rFonts w:ascii="Times New Roman" w:hAnsi="Times New Roman"/>
          <w:b/>
          <w:bCs/>
          <w:sz w:val="20"/>
          <w:szCs w:val="20"/>
          <w:lang w:val="en-US"/>
        </w:rPr>
        <w:t>Dual education, school-business, vocational training, dual modality.</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b/>
          <w:bCs/>
          <w:sz w:val="20"/>
          <w:szCs w:val="20"/>
        </w:rPr>
        <w:t xml:space="preserve">I. </w:t>
      </w:r>
      <w:r>
        <w:rPr>
          <w:rFonts w:ascii="Times New Roman" w:hAnsi="Times New Roman"/>
          <w:b/>
          <w:bCs/>
          <w:sz w:val="20"/>
          <w:szCs w:val="20"/>
        </w:rPr>
        <w:t>INTRODUCCIÓN</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 xml:space="preserve">La educación dual en México inició bajo esa denominación en el año 1993 con el proyecto de formación de técnicos a nivel medio superior en el Estado de Puebla. Uno de los principales objetivos era contribuir con la industria automotriz alemana en la incorporación de mano de obra especializada en las diferentes tareas de producción (Valenzuela-Gómez &amp; Durazo, 2024; Espín </w:t>
      </w:r>
      <w:r>
        <w:rPr>
          <w:rFonts w:ascii="Times New Roman" w:hAnsi="Times New Roman"/>
          <w:i/>
          <w:iCs/>
          <w:sz w:val="20"/>
          <w:szCs w:val="20"/>
        </w:rPr>
        <w:t>et al.</w:t>
      </w:r>
      <w:r>
        <w:rPr>
          <w:rFonts w:ascii="Times New Roman" w:hAnsi="Times New Roman"/>
          <w:sz w:val="20"/>
          <w:szCs w:val="20"/>
        </w:rPr>
        <w:t xml:space="preserve"> 2023).</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Durante 2016, surge en el Tecnológico Nacional de México (TecNM) el modelo de educación dual (MEDTecNM), cuyos objetivos son los siguientes: (1) La titulación integral del estudiante, a través del reporte integral de titulación dual, y con ello aumenta los índices de eficiencia terminal. (2) Experiencia laboral del estudiante de aproximadamente un año, aumentando la posibilidad de contratación inmediata al egresar. (3) Formación de capital humano altamente calificado para el país, a través de problemas de contexto y situados en situaciones reales para los estudiantes. (4) Altas posibilidades de contratación de los estudiantes en la empresa donde realizaron su formación dual (Lozano, Munguia &amp; Carrillo, 2020).</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El TecNM campus Progreso, fundado en octubre de 2000, fue creado como organismo público descentralizado del gobierno del estado para impartir educación de nivel superior, a fin de fortalecer la oferta educativa que demanda el sector público y social de la región y del país. Desde su fundación, el campus Progreso oferta la carrera de ingeniería electromecánica (IEME) mediante un plan de estudios de 10 semestres. El objetivo de la carrera es el de formar profesionistas de excelencia, con actitud emprendedora, con liderazgo y capacidad de analizar, diagnosticar, diseñar, selecciona, instalar, administrar, mantener e innovar sistemas electromecánicos, en forma eficiente, segura y económica. Considerando las normas y los estándares nacionales e internacionales para fomentar el desarrollo sustentable con plena conciencia ética, humanística y social.</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A partir de las evaluaciones externas y acreditaciones otorgadas por el Consejo de Acreditación de la Enseñanza de la Ingeniería A.C. (CACEI) se identifica la necesidad de establecer mayor vinculación con el sector empresarial, derivado de indicadores que reportan poca o nula experiencia de los recién egresados para labores de campo de índole industrial (May-Cen et al. 2019). El propio reporte es avalado por los egresados quienes en un 85% no eran contratados inmediatamente debido a que no podían demostrar evidencias de experiencia laboral.</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 xml:space="preserve">De ahí lo imperativo de que los estudiantes de IEME estén preparados tanto en el área teórica como en la práctica profesional, cuyo propósito primordial es el de colocarlos en una plaza laboral. Una forma de lograrlo es proporcionándoles </w:t>
      </w:r>
      <w:r>
        <w:rPr>
          <w:rFonts w:eastAsia="Noto Serif CJK SC" w:cs="Lohit Devanagari" w:ascii="Times New Roman" w:hAnsi="Times New Roman"/>
          <w:color w:val="auto"/>
          <w:kern w:val="2"/>
          <w:sz w:val="20"/>
          <w:szCs w:val="20"/>
          <w:lang w:val="es-MX" w:eastAsia="zh-CN" w:bidi="hi-IN"/>
        </w:rPr>
        <w:t>apoyo, mediante la implementación de acciones que flexibilicen su incorporación en la industria,</w:t>
      </w:r>
      <w:r>
        <w:rPr>
          <w:rFonts w:ascii="Times New Roman" w:hAnsi="Times New Roman"/>
          <w:sz w:val="20"/>
          <w:szCs w:val="20"/>
        </w:rPr>
        <w:t xml:space="preserve"> para que puedan combinar sus actividades escolares con la práctica y aplicación de sus conocimientos en el campo laboral, tanto en la iniciativa privada como en el sector público.</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b/>
          <w:bCs/>
          <w:sz w:val="20"/>
          <w:szCs w:val="20"/>
        </w:rPr>
        <w:t xml:space="preserve">II. </w:t>
      </w:r>
      <w:r>
        <w:rPr>
          <w:rFonts w:ascii="Times New Roman" w:hAnsi="Times New Roman"/>
          <w:b/>
          <w:bCs/>
          <w:sz w:val="20"/>
          <w:szCs w:val="20"/>
        </w:rPr>
        <w:t>MARCO TEÓRICO</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Hablar de la Modalidad de Educación Dual en el TecNM campus Progreso, es hablar de que en su último año el estudiante realiza una estancia en una empresa, cubriendo sus especialidad y residencia profesional, bajo esta modalidad también se incluye la titulación automática, esto de acuerdo con el Modelo de Educación Dual para Nivel Licenciatura del TecNM. Para que esto ocurra debe haber un proyecto de la empresa que especifique las actividades que el estudiante realizará durante este periodo y este proyecto debe estar autorizado por la institución, durante este periodo el estudiante cuenta con un asesor interno (del campus Progreso) y otro externo (de la empresa) quienes darán seguimiento de las competencias adquiridas en este periodo, al final de este periodo el estudiante presenta un reporte integral en donde documenta el proyecto realizado.</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Una vez que los estudiantes que tomaron esta modalidad educativa egresan, se les hace entrega de su certificado de terminación de estudios en donde aparece su carrera de egreso, junto con su certificado se les entrega una constancia de especialidad, en donde se indica que terminaron está en</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Modalidad Educativa Dual especificando el nombre de la empresa en donde realizaron su estancia, haciendo constar que el estudiante cuentan con un año de experiencia, esta constancia es firmada por el representante legal de la empresa y por el director de la institución (Tecnológico Nacional de México, 2022).</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En la literatura es posible encontrar trabajos que evidencian el aporte positivo del sistema dual en carreras de ingeniería para incrementar la experiencia laboral y el índice de empleabilidad en recién egresados (Bautista et al. 2020; Lozano, Munguia, &amp; Carrillo, 2020; Ayón, Valdez &amp; Silva, 2022).</w:t>
      </w:r>
    </w:p>
    <w:p>
      <w:pPr>
        <w:pStyle w:val="Normal"/>
        <w:bidi w:val="0"/>
        <w:spacing w:lineRule="auto" w:line="240" w:before="0" w:after="0"/>
        <w:ind w:left="0" w:right="0" w:hanging="0"/>
        <w:jc w:val="both"/>
        <w:rPr>
          <w:b/>
          <w:b/>
          <w:bCs/>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b/>
          <w:bCs/>
          <w:sz w:val="20"/>
          <w:szCs w:val="20"/>
        </w:rPr>
        <w:t xml:space="preserve">III. </w:t>
      </w:r>
      <w:r>
        <w:rPr>
          <w:rFonts w:ascii="Times New Roman" w:hAnsi="Times New Roman"/>
          <w:b/>
          <w:bCs/>
          <w:sz w:val="20"/>
          <w:szCs w:val="20"/>
        </w:rPr>
        <w:t>METODOLOGÍA</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Los proyectos duales, implican una combinación de formación teórica en el aula con experiencia práctica en el lugar de trabajo. Esto puede aplicarse en el contexto del TecNM campus Progreso a través de programas educativos que combinan estudios académicos con prácticas en empresas relacionadas con la industria con una duración de un año, la cual en el primer semestre se considera como créditos de servicio social y en el segundo semestre como residencia profesional. Los objetivos que persigue este programa dual se muestran en la Tabla 1.</w:t>
      </w:r>
    </w:p>
    <w:p>
      <w:pPr>
        <w:sectPr>
          <w:type w:val="continuous"/>
          <w:pgSz w:w="12240" w:h="15840"/>
          <w:pgMar w:left="1417" w:right="1417" w:header="1417" w:top="2066" w:footer="1417" w:bottom="2072" w:gutter="0"/>
          <w:cols w:num="2" w:space="282" w:equalWidth="true" w:sep="false"/>
          <w:formProt w:val="false"/>
          <w:textDirection w:val="lrTb"/>
          <w:docGrid w:type="default" w:linePitch="100" w:charSpace="0"/>
        </w:sectPr>
      </w:pP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center"/>
        <w:rPr>
          <w:b/>
          <w:b/>
          <w:bCs/>
          <w:i w:val="false"/>
          <w:i w:val="false"/>
          <w:iCs w:val="false"/>
        </w:rPr>
      </w:pPr>
      <w:r>
        <w:rPr>
          <w:rFonts w:ascii="Times New Roman" w:hAnsi="Times New Roman"/>
          <w:sz w:val="20"/>
          <w:szCs w:val="20"/>
        </w:rPr>
      </w:r>
    </w:p>
    <w:p>
      <w:pPr>
        <w:pStyle w:val="Normal"/>
        <w:bidi w:val="0"/>
        <w:spacing w:lineRule="auto" w:line="240" w:before="0" w:after="0"/>
        <w:ind w:left="0" w:right="0" w:hanging="0"/>
        <w:jc w:val="center"/>
        <w:rPr>
          <w:b/>
          <w:b/>
          <w:bCs/>
          <w:i w:val="false"/>
          <w:i w:val="false"/>
          <w:iCs w:val="false"/>
        </w:rPr>
      </w:pPr>
      <w:r>
        <w:rPr>
          <w:rFonts w:ascii="Times New Roman" w:hAnsi="Times New Roman"/>
          <w:sz w:val="20"/>
          <w:szCs w:val="20"/>
        </w:rPr>
      </w:r>
    </w:p>
    <w:p>
      <w:pPr>
        <w:pStyle w:val="Normal"/>
        <w:bidi w:val="0"/>
        <w:spacing w:lineRule="auto" w:line="240" w:before="0" w:after="0"/>
        <w:ind w:left="0" w:right="0" w:hanging="0"/>
        <w:jc w:val="center"/>
        <w:rPr>
          <w:rFonts w:ascii="Times New Roman" w:hAnsi="Times New Roman"/>
          <w:sz w:val="20"/>
          <w:szCs w:val="20"/>
        </w:rPr>
      </w:pPr>
      <w:r>
        <w:rPr>
          <w:rFonts w:ascii="Times New Roman" w:hAnsi="Times New Roman"/>
          <w:b/>
          <w:bCs/>
          <w:i w:val="false"/>
          <w:iCs w:val="false"/>
          <w:sz w:val="20"/>
          <w:szCs w:val="20"/>
        </w:rPr>
        <w:t>Tabla 1. Objetivos de Programa Dual. Fuente: Elaboración propia.</w:t>
      </w:r>
    </w:p>
    <w:tbl>
      <w:tblPr>
        <w:tblStyle w:val="Tablaconcuadrcula5oscura-nfasis5"/>
        <w:tblW w:w="8544"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2263"/>
        <w:gridCol w:w="6280"/>
      </w:tblGrid>
      <w:tr>
        <w:trPr>
          <w:cnfStyle w:val="100000000000" w:firstRow="1" w:lastRow="0" w:firstColumn="0" w:lastColumn="0" w:oddVBand="0" w:evenVBand="0" w:oddHBand="0" w:evenHBand="0" w:firstRowFirstColumn="0" w:firstRowLastColumn="0" w:lastRowFirstColumn="0" w:lastRowLastColumn="0"/>
        </w:trPr>
        <w:tc>
          <w:tcPr>
            <w:tcW w:w="2263" w:type="dxa"/>
            <w:cnfStyle w:val="001000000000" w:firstRow="0" w:lastRow="0" w:firstColumn="1" w:lastColumn="0" w:oddVBand="0" w:evenVBand="0" w:oddHBand="0" w:evenHBand="0" w:firstRowFirstColumn="0" w:firstRowLastColumn="0" w:lastRowFirstColumn="0" w:lastRowLastColumn="0"/>
            <w:tcBorders/>
            <w:shd w:color="auto" w:fill="5B9BD5" w:themeFill="accent5" w:val="clear"/>
          </w:tcPr>
          <w:p>
            <w:pPr>
              <w:pStyle w:val="Normal"/>
              <w:widowControl w:val="false"/>
              <w:bidi w:val="0"/>
              <w:spacing w:lineRule="auto" w:line="240" w:before="0" w:after="0"/>
              <w:ind w:left="0" w:right="0" w:hanging="0"/>
              <w:jc w:val="both"/>
              <w:rPr>
                <w:rFonts w:ascii="Times New Roman" w:hAnsi="Times New Roman"/>
                <w:b w:val="false"/>
                <w:b w:val="false"/>
                <w:bCs w:val="false"/>
                <w:i/>
                <w:i/>
                <w:iCs/>
                <w:sz w:val="20"/>
                <w:szCs w:val="20"/>
              </w:rPr>
            </w:pPr>
            <w:r>
              <w:rPr>
                <w:rFonts w:eastAsia="Calibri" w:cs="" w:ascii="Times New Roman" w:hAnsi="Times New Roman"/>
                <w:b w:val="false"/>
                <w:bCs w:val="false"/>
                <w:i/>
                <w:iCs/>
                <w:color w:val="FFFFFF"/>
                <w:kern w:val="2"/>
                <w:sz w:val="20"/>
                <w:szCs w:val="20"/>
                <w:lang w:val="es-MX" w:eastAsia="en-US" w:bidi="ar-SA"/>
              </w:rPr>
              <w:t xml:space="preserve">Objetivos </w:t>
            </w:r>
          </w:p>
        </w:tc>
        <w:tc>
          <w:tcPr>
            <w:tcW w:w="6280" w:type="dxa"/>
            <w:tcBorders/>
            <w:shd w:color="auto" w:fill="5B9BD5" w:themeFill="accent5" w:val="clear"/>
          </w:tcPr>
          <w:p>
            <w:pPr>
              <w:pStyle w:val="Normal"/>
              <w:widowControl w:val="false"/>
              <w:bidi w:val="0"/>
              <w:spacing w:lineRule="auto" w:line="240" w:before="0" w:after="0"/>
              <w:ind w:left="0" w:right="0" w:hanging="0"/>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false"/>
                <w:b w:val="false"/>
                <w:bCs w:val="false"/>
                <w:sz w:val="20"/>
                <w:szCs w:val="20"/>
              </w:rPr>
            </w:pPr>
            <w:r>
              <w:rPr>
                <w:rFonts w:eastAsia="Calibri" w:cs="" w:ascii="Times New Roman" w:hAnsi="Times New Roman"/>
                <w:b w:val="false"/>
                <w:bCs w:val="false"/>
                <w:color w:val="FFFFFF"/>
                <w:kern w:val="2"/>
                <w:sz w:val="20"/>
                <w:szCs w:val="20"/>
                <w:lang w:val="es-MX" w:eastAsia="en-US" w:bidi="ar-SA"/>
              </w:rPr>
              <w:t xml:space="preserve">Descripción </w:t>
            </w:r>
          </w:p>
        </w:tc>
      </w:tr>
      <w:tr>
        <w:trPr>
          <w:cnfStyle w:val="000000100000" w:firstRow="0" w:lastRow="0" w:firstColumn="0" w:lastColumn="0" w:oddVBand="0" w:evenVBand="0" w:oddHBand="1" w:evenHBand="0" w:firstRowFirstColumn="0" w:firstRowLastColumn="0" w:lastRowFirstColumn="0" w:lastRowLastColumn="0"/>
        </w:trPr>
        <w:tc>
          <w:tcPr>
            <w:tcW w:w="2263" w:type="dxa"/>
            <w:cnfStyle w:val="001000000000" w:firstRow="0" w:lastRow="0" w:firstColumn="1" w:lastColumn="0" w:oddVBand="0" w:evenVBand="0" w:oddHBand="0" w:evenHBand="0" w:firstRowFirstColumn="0" w:firstRowLastColumn="0" w:lastRowFirstColumn="0" w:lastRowLastColumn="0"/>
            <w:tcBorders/>
            <w:shd w:color="auto" w:fill="5B9BD5" w:themeFill="accent5" w:val="clear"/>
          </w:tcPr>
          <w:p>
            <w:pPr>
              <w:pStyle w:val="Normal"/>
              <w:widowControl w:val="false"/>
              <w:bidi w:val="0"/>
              <w:spacing w:lineRule="auto" w:line="240" w:before="0" w:after="0"/>
              <w:ind w:left="0" w:right="0" w:hanging="0"/>
              <w:jc w:val="both"/>
              <w:rPr>
                <w:rFonts w:ascii="Times New Roman" w:hAnsi="Times New Roman"/>
                <w:color w:val="FFFFFF"/>
                <w:sz w:val="20"/>
                <w:szCs w:val="20"/>
              </w:rPr>
            </w:pPr>
            <w:r>
              <w:rPr>
                <w:rFonts w:eastAsia="Calibri" w:cs="" w:ascii="Times New Roman" w:hAnsi="Times New Roman"/>
                <w:b/>
                <w:bCs/>
                <w:color w:val="FFFFFF" w:themeColor="background1"/>
                <w:kern w:val="2"/>
                <w:sz w:val="20"/>
                <w:szCs w:val="20"/>
                <w:lang w:val="es-MX" w:eastAsia="en-US" w:bidi="ar-SA"/>
              </w:rPr>
              <w:t>Integración de conocimientos teóricos y prácticos</w:t>
            </w:r>
          </w:p>
          <w:p>
            <w:pPr>
              <w:pStyle w:val="Normal"/>
              <w:widowControl w:val="false"/>
              <w:bidi w:val="0"/>
              <w:spacing w:lineRule="auto" w:line="240" w:before="0" w:after="0"/>
              <w:ind w:left="0" w:right="0" w:hanging="0"/>
              <w:jc w:val="both"/>
              <w:rPr>
                <w:rFonts w:ascii="Times New Roman" w:hAnsi="Times New Roman" w:eastAsia="Calibri" w:cs=""/>
                <w:b/>
                <w:b/>
                <w:bCs/>
                <w:color w:val="FFFFFF"/>
                <w:kern w:val="2"/>
                <w:sz w:val="20"/>
                <w:szCs w:val="20"/>
                <w:lang w:val="es-MX" w:eastAsia="en-US" w:bidi="ar-SA"/>
              </w:rPr>
            </w:pPr>
            <w:r>
              <w:rPr>
                <w:rFonts w:eastAsia="Calibri" w:cs="" w:ascii="Times New Roman" w:hAnsi="Times New Roman"/>
                <w:b/>
                <w:bCs/>
                <w:color w:val="FFFFFF"/>
                <w:kern w:val="2"/>
                <w:sz w:val="20"/>
                <w:szCs w:val="20"/>
                <w:lang w:val="es-MX" w:eastAsia="en-US" w:bidi="ar-SA"/>
              </w:rPr>
            </w:r>
          </w:p>
        </w:tc>
        <w:tc>
          <w:tcPr>
            <w:tcW w:w="6280" w:type="dxa"/>
            <w:tcBorders/>
            <w:shd w:color="auto" w:fill="BDD6EE" w:themeFill="accent5" w:themeFillTint="66" w:val="clear"/>
          </w:tcPr>
          <w:p>
            <w:pPr>
              <w:pStyle w:val="Normal"/>
              <w:widowControl w:val="false"/>
              <w:bidi w:val="0"/>
              <w:spacing w:lineRule="auto" w:line="240" w:before="0" w:after="0"/>
              <w:ind w:left="0" w:right="0" w:hanging="0"/>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Permitir a los estudiantes aplicar los conocimientos adquiridos en el aula a situaciones reales de trabajo, fortaleciendo así su comprensión y habilidades prácticas</w:t>
            </w:r>
          </w:p>
        </w:tc>
      </w:tr>
      <w:tr>
        <w:trPr/>
        <w:tc>
          <w:tcPr>
            <w:tcW w:w="2263" w:type="dxa"/>
            <w:cnfStyle w:val="001000000000" w:firstRow="0" w:lastRow="0" w:firstColumn="1" w:lastColumn="0" w:oddVBand="0" w:evenVBand="0" w:oddHBand="0" w:evenHBand="0" w:firstRowFirstColumn="0" w:firstRowLastColumn="0" w:lastRowFirstColumn="0" w:lastRowLastColumn="0"/>
            <w:tcBorders/>
            <w:shd w:color="auto" w:fill="5B9BD5" w:themeFill="accent5" w:val="clear"/>
          </w:tcPr>
          <w:p>
            <w:pPr>
              <w:pStyle w:val="Normal"/>
              <w:widowControl w:val="false"/>
              <w:bidi w:val="0"/>
              <w:spacing w:lineRule="auto" w:line="240" w:before="0" w:after="0"/>
              <w:ind w:left="0" w:right="0" w:hanging="0"/>
              <w:jc w:val="both"/>
              <w:rPr>
                <w:rFonts w:ascii="Times New Roman" w:hAnsi="Times New Roman"/>
                <w:color w:val="FFFFFF"/>
                <w:sz w:val="20"/>
                <w:szCs w:val="20"/>
              </w:rPr>
            </w:pPr>
            <w:r>
              <w:rPr>
                <w:rFonts w:eastAsia="Calibri" w:cs="" w:ascii="Times New Roman" w:hAnsi="Times New Roman"/>
                <w:b/>
                <w:bCs/>
                <w:color w:val="FFFFFF" w:themeColor="background1"/>
                <w:kern w:val="2"/>
                <w:sz w:val="20"/>
                <w:szCs w:val="20"/>
                <w:lang w:val="es-MX" w:eastAsia="en-US" w:bidi="ar-SA"/>
              </w:rPr>
              <w:t>Desarrollo de habilidades técnicas y profesionales</w:t>
            </w:r>
          </w:p>
          <w:p>
            <w:pPr>
              <w:pStyle w:val="Normal"/>
              <w:widowControl w:val="false"/>
              <w:bidi w:val="0"/>
              <w:spacing w:lineRule="auto" w:line="240" w:before="0" w:after="0"/>
              <w:ind w:left="0" w:right="0" w:hanging="0"/>
              <w:jc w:val="both"/>
              <w:rPr>
                <w:rFonts w:ascii="Times New Roman" w:hAnsi="Times New Roman" w:eastAsia="Calibri" w:cs=""/>
                <w:b/>
                <w:b/>
                <w:bCs/>
                <w:color w:val="FFFFFF"/>
                <w:kern w:val="2"/>
                <w:sz w:val="20"/>
                <w:szCs w:val="20"/>
                <w:lang w:val="es-MX" w:eastAsia="en-US" w:bidi="ar-SA"/>
              </w:rPr>
            </w:pPr>
            <w:r>
              <w:rPr>
                <w:rFonts w:eastAsia="Calibri" w:cs="" w:ascii="Times New Roman" w:hAnsi="Times New Roman"/>
                <w:b/>
                <w:bCs/>
                <w:color w:val="FFFFFF"/>
                <w:kern w:val="2"/>
                <w:sz w:val="20"/>
                <w:szCs w:val="20"/>
                <w:lang w:val="es-MX" w:eastAsia="en-US" w:bidi="ar-SA"/>
              </w:rPr>
            </w:r>
          </w:p>
        </w:tc>
        <w:tc>
          <w:tcPr>
            <w:tcW w:w="6280" w:type="dxa"/>
            <w:tcBorders/>
            <w:shd w:color="auto" w:fill="DEEAF6" w:themeFill="accent5" w:themeFillTint="33" w:val="clear"/>
          </w:tcPr>
          <w:p>
            <w:pPr>
              <w:pStyle w:val="Normal"/>
              <w:widowControl w:val="false"/>
              <w:bidi w:val="0"/>
              <w:spacing w:lineRule="auto" w:line="240" w:before="0" w:after="0"/>
              <w:ind w:left="0" w:right="0" w:hanging="0"/>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Proporcionar a los estudiantes habilidades específicas relacionadas con su área de estudio o industria, así como habilidades profesionales como trabajo en equipo, comunicación y resolución de problemas.</w:t>
            </w:r>
          </w:p>
        </w:tc>
      </w:tr>
      <w:tr>
        <w:trPr>
          <w:cnfStyle w:val="000000100000" w:firstRow="0" w:lastRow="0" w:firstColumn="0" w:lastColumn="0" w:oddVBand="0" w:evenVBand="0" w:oddHBand="1" w:evenHBand="0" w:firstRowFirstColumn="0" w:firstRowLastColumn="0" w:lastRowFirstColumn="0" w:lastRowLastColumn="0"/>
        </w:trPr>
        <w:tc>
          <w:tcPr>
            <w:tcW w:w="2263" w:type="dxa"/>
            <w:cnfStyle w:val="001000000000" w:firstRow="0" w:lastRow="0" w:firstColumn="1" w:lastColumn="0" w:oddVBand="0" w:evenVBand="0" w:oddHBand="0" w:evenHBand="0" w:firstRowFirstColumn="0" w:firstRowLastColumn="0" w:lastRowFirstColumn="0" w:lastRowLastColumn="0"/>
            <w:tcBorders/>
            <w:shd w:color="auto" w:fill="5B9BD5" w:themeFill="accent5" w:val="clear"/>
          </w:tcPr>
          <w:p>
            <w:pPr>
              <w:pStyle w:val="Normal"/>
              <w:widowControl w:val="false"/>
              <w:bidi w:val="0"/>
              <w:spacing w:lineRule="auto" w:line="240" w:before="0" w:after="0"/>
              <w:ind w:left="0" w:right="0" w:hanging="0"/>
              <w:jc w:val="both"/>
              <w:rPr>
                <w:rFonts w:ascii="Times New Roman" w:hAnsi="Times New Roman"/>
                <w:color w:val="FFFFFF"/>
                <w:sz w:val="20"/>
                <w:szCs w:val="20"/>
              </w:rPr>
            </w:pPr>
            <w:r>
              <w:rPr>
                <w:rFonts w:eastAsia="Calibri" w:cs="" w:ascii="Times New Roman" w:hAnsi="Times New Roman"/>
                <w:b/>
                <w:bCs/>
                <w:color w:val="FFFFFF" w:themeColor="background1"/>
                <w:kern w:val="2"/>
                <w:sz w:val="20"/>
                <w:szCs w:val="20"/>
                <w:lang w:val="es-MX" w:eastAsia="en-US" w:bidi="ar-SA"/>
              </w:rPr>
              <w:t>Mejora de la empleabilidad</w:t>
            </w:r>
          </w:p>
          <w:p>
            <w:pPr>
              <w:pStyle w:val="Normal"/>
              <w:widowControl w:val="false"/>
              <w:bidi w:val="0"/>
              <w:spacing w:lineRule="auto" w:line="240" w:before="0" w:after="0"/>
              <w:ind w:left="0" w:right="0" w:hanging="0"/>
              <w:jc w:val="both"/>
              <w:rPr>
                <w:rFonts w:ascii="Times New Roman" w:hAnsi="Times New Roman" w:eastAsia="Calibri" w:cs=""/>
                <w:b/>
                <w:b/>
                <w:bCs/>
                <w:color w:val="FFFFFF"/>
                <w:kern w:val="2"/>
                <w:sz w:val="20"/>
                <w:szCs w:val="20"/>
                <w:lang w:val="es-MX" w:eastAsia="en-US" w:bidi="ar-SA"/>
              </w:rPr>
            </w:pPr>
            <w:r>
              <w:rPr>
                <w:rFonts w:eastAsia="Calibri" w:cs="" w:ascii="Times New Roman" w:hAnsi="Times New Roman"/>
                <w:b/>
                <w:bCs/>
                <w:color w:val="FFFFFF"/>
                <w:kern w:val="2"/>
                <w:sz w:val="20"/>
                <w:szCs w:val="20"/>
                <w:lang w:val="es-MX" w:eastAsia="en-US" w:bidi="ar-SA"/>
              </w:rPr>
            </w:r>
          </w:p>
        </w:tc>
        <w:tc>
          <w:tcPr>
            <w:tcW w:w="6280" w:type="dxa"/>
            <w:tcBorders/>
            <w:shd w:color="auto" w:fill="BDD6EE" w:themeFill="accent5" w:themeFillTint="66" w:val="clear"/>
          </w:tcPr>
          <w:p>
            <w:pPr>
              <w:pStyle w:val="Normal"/>
              <w:widowControl w:val="false"/>
              <w:bidi w:val="0"/>
              <w:spacing w:lineRule="auto" w:line="240" w:before="0" w:after="0"/>
              <w:ind w:left="0" w:right="0" w:hanging="0"/>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Preparar a los estudiantes para el mercado laboral al proporcionarles experiencia laboral relevante y desarrollar habilidades demandadas por las empresas.</w:t>
            </w:r>
          </w:p>
        </w:tc>
      </w:tr>
      <w:tr>
        <w:trPr/>
        <w:tc>
          <w:tcPr>
            <w:tcW w:w="2263" w:type="dxa"/>
            <w:cnfStyle w:val="001000000000" w:firstRow="0" w:lastRow="0" w:firstColumn="1" w:lastColumn="0" w:oddVBand="0" w:evenVBand="0" w:oddHBand="0" w:evenHBand="0" w:firstRowFirstColumn="0" w:firstRowLastColumn="0" w:lastRowFirstColumn="0" w:lastRowLastColumn="0"/>
            <w:tcBorders/>
            <w:shd w:color="auto" w:fill="5B9BD5" w:themeFill="accent5" w:val="clear"/>
          </w:tcPr>
          <w:p>
            <w:pPr>
              <w:pStyle w:val="Normal"/>
              <w:widowControl w:val="false"/>
              <w:bidi w:val="0"/>
              <w:spacing w:lineRule="auto" w:line="240" w:before="0" w:after="0"/>
              <w:ind w:left="0" w:right="0" w:hanging="0"/>
              <w:jc w:val="both"/>
              <w:rPr>
                <w:rFonts w:ascii="Times New Roman" w:hAnsi="Times New Roman"/>
                <w:color w:val="FFFFFF"/>
                <w:sz w:val="20"/>
                <w:szCs w:val="20"/>
              </w:rPr>
            </w:pPr>
            <w:r>
              <w:rPr>
                <w:rFonts w:eastAsia="Calibri" w:cs="" w:ascii="Times New Roman" w:hAnsi="Times New Roman"/>
                <w:b/>
                <w:bCs/>
                <w:color w:val="FFFFFF" w:themeColor="background1"/>
                <w:kern w:val="2"/>
                <w:sz w:val="20"/>
                <w:szCs w:val="20"/>
                <w:lang w:val="es-MX" w:eastAsia="en-US" w:bidi="ar-SA"/>
              </w:rPr>
              <w:t xml:space="preserve">Fomento de la colaboración entre la educación y la industria </w:t>
            </w:r>
          </w:p>
          <w:p>
            <w:pPr>
              <w:pStyle w:val="Normal"/>
              <w:widowControl w:val="false"/>
              <w:bidi w:val="0"/>
              <w:spacing w:lineRule="auto" w:line="240" w:before="0" w:after="0"/>
              <w:ind w:left="0" w:right="0" w:hanging="0"/>
              <w:jc w:val="both"/>
              <w:rPr>
                <w:rFonts w:ascii="Times New Roman" w:hAnsi="Times New Roman" w:eastAsia="Calibri" w:cs=""/>
                <w:b/>
                <w:b/>
                <w:bCs/>
                <w:color w:val="FFFFFF"/>
                <w:kern w:val="2"/>
                <w:sz w:val="20"/>
                <w:szCs w:val="20"/>
                <w:lang w:val="es-MX" w:eastAsia="en-US" w:bidi="ar-SA"/>
              </w:rPr>
            </w:pPr>
            <w:r>
              <w:rPr>
                <w:rFonts w:eastAsia="Calibri" w:cs="" w:ascii="Times New Roman" w:hAnsi="Times New Roman"/>
                <w:b/>
                <w:bCs/>
                <w:color w:val="FFFFFF"/>
                <w:kern w:val="2"/>
                <w:sz w:val="20"/>
                <w:szCs w:val="20"/>
                <w:lang w:val="es-MX" w:eastAsia="en-US" w:bidi="ar-SA"/>
              </w:rPr>
            </w:r>
          </w:p>
        </w:tc>
        <w:tc>
          <w:tcPr>
            <w:tcW w:w="6280" w:type="dxa"/>
            <w:tcBorders/>
            <w:shd w:color="auto" w:fill="DEEAF6" w:themeFill="accent5" w:themeFillTint="33" w:val="clear"/>
          </w:tcPr>
          <w:p>
            <w:pPr>
              <w:pStyle w:val="Normal"/>
              <w:widowControl w:val="false"/>
              <w:bidi w:val="0"/>
              <w:spacing w:lineRule="auto" w:line="240" w:before="0" w:after="0"/>
              <w:ind w:left="0" w:right="0" w:hanging="0"/>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Establecer alianzas entre instituciones educativas y empresas para garantizar que los programas académicos estén alineados con las necesidades y demandas del mercado laboral.</w:t>
            </w:r>
          </w:p>
        </w:tc>
      </w:tr>
      <w:tr>
        <w:trPr>
          <w:cnfStyle w:val="000000100000" w:firstRow="0" w:lastRow="0" w:firstColumn="0" w:lastColumn="0" w:oddVBand="0" w:evenVBand="0" w:oddHBand="1" w:evenHBand="0" w:firstRowFirstColumn="0" w:firstRowLastColumn="0" w:lastRowFirstColumn="0" w:lastRowLastColumn="0"/>
        </w:trPr>
        <w:tc>
          <w:tcPr>
            <w:tcW w:w="2263" w:type="dxa"/>
            <w:cnfStyle w:val="001000000000" w:firstRow="0" w:lastRow="0" w:firstColumn="1" w:lastColumn="0" w:oddVBand="0" w:evenVBand="0" w:oddHBand="0" w:evenHBand="0" w:firstRowFirstColumn="0" w:firstRowLastColumn="0" w:lastRowFirstColumn="0" w:lastRowLastColumn="0"/>
            <w:tcBorders/>
            <w:shd w:color="auto" w:fill="5B9BD5" w:themeFill="accent5" w:val="clear"/>
          </w:tcPr>
          <w:p>
            <w:pPr>
              <w:pStyle w:val="Normal"/>
              <w:widowControl w:val="false"/>
              <w:bidi w:val="0"/>
              <w:spacing w:lineRule="auto" w:line="240" w:before="0" w:after="0"/>
              <w:ind w:left="0" w:right="0" w:hanging="0"/>
              <w:jc w:val="both"/>
              <w:rPr>
                <w:rFonts w:ascii="Times New Roman" w:hAnsi="Times New Roman"/>
                <w:color w:val="FFFFFF"/>
                <w:sz w:val="20"/>
                <w:szCs w:val="20"/>
              </w:rPr>
            </w:pPr>
            <w:r>
              <w:rPr>
                <w:rFonts w:eastAsia="Calibri" w:cs="" w:ascii="Times New Roman" w:hAnsi="Times New Roman"/>
                <w:b/>
                <w:bCs/>
                <w:color w:val="FFFFFF" w:themeColor="background1"/>
                <w:kern w:val="2"/>
                <w:sz w:val="20"/>
                <w:szCs w:val="20"/>
                <w:lang w:val="es-MX" w:eastAsia="en-US" w:bidi="ar-SA"/>
              </w:rPr>
              <w:t>Reducción de la brecha entre la educación y el trabajo</w:t>
            </w:r>
          </w:p>
          <w:p>
            <w:pPr>
              <w:pStyle w:val="Normal"/>
              <w:widowControl w:val="false"/>
              <w:bidi w:val="0"/>
              <w:spacing w:lineRule="auto" w:line="240" w:before="0" w:after="0"/>
              <w:ind w:left="0" w:right="0" w:hanging="0"/>
              <w:jc w:val="both"/>
              <w:rPr>
                <w:rFonts w:ascii="Times New Roman" w:hAnsi="Times New Roman" w:eastAsia="Calibri" w:cs=""/>
                <w:b/>
                <w:b/>
                <w:bCs/>
                <w:color w:val="FFFFFF"/>
                <w:kern w:val="2"/>
                <w:sz w:val="20"/>
                <w:szCs w:val="20"/>
                <w:lang w:val="es-MX" w:eastAsia="en-US" w:bidi="ar-SA"/>
              </w:rPr>
            </w:pPr>
            <w:r>
              <w:rPr>
                <w:rFonts w:eastAsia="Calibri" w:cs="" w:ascii="Times New Roman" w:hAnsi="Times New Roman"/>
                <w:b/>
                <w:bCs/>
                <w:color w:val="FFFFFF"/>
                <w:kern w:val="2"/>
                <w:sz w:val="20"/>
                <w:szCs w:val="20"/>
                <w:lang w:val="es-MX" w:eastAsia="en-US" w:bidi="ar-SA"/>
              </w:rPr>
            </w:r>
          </w:p>
        </w:tc>
        <w:tc>
          <w:tcPr>
            <w:tcW w:w="6280" w:type="dxa"/>
            <w:tcBorders/>
            <w:shd w:color="auto" w:fill="BDD6EE" w:themeFill="accent5" w:themeFillTint="66" w:val="clear"/>
          </w:tcPr>
          <w:p>
            <w:pPr>
              <w:pStyle w:val="Normal"/>
              <w:widowControl w:val="false"/>
              <w:bidi w:val="0"/>
              <w:spacing w:lineRule="auto" w:line="240" w:before="0" w:after="0"/>
              <w:ind w:left="0" w:right="0" w:hanging="0"/>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Al proporcionar a los estudiantes experiencia práctica en el lugar de trabajo, se busca reducir la brecha entre la teoría y la práctica, preparándolos mejor para el mundo laboral.</w:t>
            </w:r>
          </w:p>
        </w:tc>
      </w:tr>
      <w:tr>
        <w:trPr/>
        <w:tc>
          <w:tcPr>
            <w:tcW w:w="2263" w:type="dxa"/>
            <w:cnfStyle w:val="001000000000" w:firstRow="0" w:lastRow="0" w:firstColumn="1" w:lastColumn="0" w:oddVBand="0" w:evenVBand="0" w:oddHBand="0" w:evenHBand="0" w:firstRowFirstColumn="0" w:firstRowLastColumn="0" w:lastRowFirstColumn="0" w:lastRowLastColumn="0"/>
            <w:tcBorders/>
            <w:shd w:color="auto" w:fill="5B9BD5" w:themeFill="accent5" w:val="clear"/>
          </w:tcPr>
          <w:p>
            <w:pPr>
              <w:pStyle w:val="Normal"/>
              <w:widowControl w:val="false"/>
              <w:bidi w:val="0"/>
              <w:spacing w:lineRule="auto" w:line="240" w:before="0" w:after="0"/>
              <w:ind w:left="0" w:right="0" w:hanging="0"/>
              <w:jc w:val="both"/>
              <w:rPr>
                <w:rFonts w:ascii="Times New Roman" w:hAnsi="Times New Roman"/>
                <w:color w:val="FFFFFF"/>
                <w:sz w:val="20"/>
                <w:szCs w:val="20"/>
              </w:rPr>
            </w:pPr>
            <w:r>
              <w:rPr>
                <w:rFonts w:eastAsia="Calibri" w:cs="" w:ascii="Times New Roman" w:hAnsi="Times New Roman"/>
                <w:b/>
                <w:bCs/>
                <w:color w:val="FFFFFF" w:themeColor="background1"/>
                <w:kern w:val="2"/>
                <w:sz w:val="20"/>
                <w:szCs w:val="20"/>
                <w:lang w:val="es-MX" w:eastAsia="en-US" w:bidi="ar-SA"/>
              </w:rPr>
              <w:t xml:space="preserve">Incremento de la retención estudiantil </w:t>
            </w:r>
          </w:p>
          <w:p>
            <w:pPr>
              <w:pStyle w:val="Normal"/>
              <w:widowControl w:val="false"/>
              <w:bidi w:val="0"/>
              <w:spacing w:lineRule="auto" w:line="240" w:before="0" w:after="0"/>
              <w:ind w:left="0" w:right="0" w:hanging="0"/>
              <w:jc w:val="both"/>
              <w:rPr>
                <w:rFonts w:ascii="Times New Roman" w:hAnsi="Times New Roman" w:eastAsia="Calibri" w:cs=""/>
                <w:b/>
                <w:b/>
                <w:bCs/>
                <w:color w:val="FFFFFF"/>
                <w:kern w:val="2"/>
                <w:sz w:val="20"/>
                <w:szCs w:val="20"/>
                <w:lang w:val="es-MX" w:eastAsia="en-US" w:bidi="ar-SA"/>
              </w:rPr>
            </w:pPr>
            <w:r>
              <w:rPr>
                <w:rFonts w:eastAsia="Calibri" w:cs="" w:ascii="Times New Roman" w:hAnsi="Times New Roman"/>
                <w:b/>
                <w:bCs/>
                <w:color w:val="FFFFFF"/>
                <w:kern w:val="2"/>
                <w:sz w:val="20"/>
                <w:szCs w:val="20"/>
                <w:lang w:val="es-MX" w:eastAsia="en-US" w:bidi="ar-SA"/>
              </w:rPr>
            </w:r>
          </w:p>
        </w:tc>
        <w:tc>
          <w:tcPr>
            <w:tcW w:w="6280" w:type="dxa"/>
            <w:tcBorders/>
            <w:shd w:color="auto" w:fill="DEEAF6" w:themeFill="accent5" w:themeFillTint="33" w:val="clear"/>
          </w:tcPr>
          <w:p>
            <w:pPr>
              <w:pStyle w:val="Normal"/>
              <w:widowControl w:val="false"/>
              <w:bidi w:val="0"/>
              <w:spacing w:lineRule="auto" w:line="240" w:before="0" w:after="0"/>
              <w:ind w:left="0" w:right="0" w:hanging="0"/>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Ofrecer a los estudiantes experiencias prácticas relevantes puede aumentar su motivación y compromiso con sus estudios, lo que puede contribuir a una mayor retención estudiantil.</w:t>
            </w:r>
          </w:p>
        </w:tc>
      </w:tr>
      <w:tr>
        <w:trPr>
          <w:cnfStyle w:val="000000100000" w:firstRow="0" w:lastRow="0" w:firstColumn="0" w:lastColumn="0" w:oddVBand="0" w:evenVBand="0" w:oddHBand="1" w:evenHBand="0" w:firstRowFirstColumn="0" w:firstRowLastColumn="0" w:lastRowFirstColumn="0" w:lastRowLastColumn="0"/>
        </w:trPr>
        <w:tc>
          <w:tcPr>
            <w:tcW w:w="2263" w:type="dxa"/>
            <w:cnfStyle w:val="001000000000" w:firstRow="0" w:lastRow="0" w:firstColumn="1" w:lastColumn="0" w:oddVBand="0" w:evenVBand="0" w:oddHBand="0" w:evenHBand="0" w:firstRowFirstColumn="0" w:firstRowLastColumn="0" w:lastRowFirstColumn="0" w:lastRowLastColumn="0"/>
            <w:tcBorders/>
            <w:shd w:color="auto" w:fill="5B9BD5" w:themeFill="accent5" w:val="clear"/>
          </w:tcPr>
          <w:p>
            <w:pPr>
              <w:pStyle w:val="Normal"/>
              <w:widowControl w:val="false"/>
              <w:bidi w:val="0"/>
              <w:spacing w:lineRule="auto" w:line="240" w:before="0" w:after="0"/>
              <w:ind w:left="0" w:right="0" w:hanging="0"/>
              <w:jc w:val="both"/>
              <w:rPr>
                <w:rFonts w:ascii="Times New Roman" w:hAnsi="Times New Roman"/>
                <w:b w:val="false"/>
                <w:b w:val="false"/>
                <w:bCs w:val="false"/>
                <w:sz w:val="20"/>
                <w:szCs w:val="20"/>
              </w:rPr>
            </w:pPr>
            <w:r>
              <w:rPr>
                <w:rFonts w:eastAsia="Calibri" w:cs="" w:ascii="Times New Roman" w:hAnsi="Times New Roman"/>
                <w:b w:val="false"/>
                <w:bCs w:val="false"/>
                <w:color w:val="FFFFFF"/>
                <w:kern w:val="2"/>
                <w:sz w:val="20"/>
                <w:szCs w:val="20"/>
                <w:lang w:val="es-MX" w:eastAsia="en-US" w:bidi="ar-SA"/>
              </w:rPr>
              <w:t>Fomento de la innovación</w:t>
            </w:r>
          </w:p>
        </w:tc>
        <w:tc>
          <w:tcPr>
            <w:tcW w:w="6280" w:type="dxa"/>
            <w:tcBorders/>
            <w:shd w:color="auto" w:fill="BDD6EE" w:themeFill="accent5" w:themeFillTint="66" w:val="clear"/>
          </w:tcPr>
          <w:p>
            <w:pPr>
              <w:pStyle w:val="Normal"/>
              <w:widowControl w:val="false"/>
              <w:bidi w:val="0"/>
              <w:spacing w:lineRule="auto" w:line="240" w:before="0" w:after="0"/>
              <w:ind w:left="0" w:right="0" w:hanging="0"/>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 xml:space="preserve"> </w:t>
            </w:r>
            <w:r>
              <w:rPr>
                <w:rFonts w:eastAsia="Calibri" w:cs="" w:ascii="Times New Roman" w:hAnsi="Times New Roman"/>
                <w:kern w:val="2"/>
                <w:sz w:val="20"/>
                <w:szCs w:val="20"/>
                <w:lang w:val="es-MX" w:eastAsia="en-US" w:bidi="ar-SA"/>
              </w:rPr>
              <w:t>Al trabajar en proyectos reales en entornos empresariales, los estudiantes pueden contribuir a la innovación y el desarrollo de soluciones creativas para desafíos específicos de la industria.</w:t>
            </w:r>
          </w:p>
        </w:tc>
      </w:tr>
      <w:tr>
        <w:trPr/>
        <w:tc>
          <w:tcPr>
            <w:tcW w:w="2263" w:type="dxa"/>
            <w:cnfStyle w:val="001000000000" w:firstRow="0" w:lastRow="0" w:firstColumn="1" w:lastColumn="0" w:oddVBand="0" w:evenVBand="0" w:oddHBand="0" w:evenHBand="0" w:firstRowFirstColumn="0" w:firstRowLastColumn="0" w:lastRowFirstColumn="0" w:lastRowLastColumn="0"/>
            <w:tcBorders/>
            <w:shd w:color="auto" w:fill="5B9BD5" w:themeFill="accent5" w:val="clear"/>
          </w:tcPr>
          <w:p>
            <w:pPr>
              <w:pStyle w:val="Normal"/>
              <w:widowControl w:val="false"/>
              <w:bidi w:val="0"/>
              <w:spacing w:lineRule="auto" w:line="240" w:before="0" w:after="0"/>
              <w:ind w:left="0" w:right="0" w:hanging="0"/>
              <w:jc w:val="both"/>
              <w:rPr>
                <w:rFonts w:ascii="Times New Roman" w:hAnsi="Times New Roman"/>
                <w:b w:val="false"/>
                <w:b w:val="false"/>
                <w:bCs w:val="false"/>
                <w:sz w:val="20"/>
                <w:szCs w:val="20"/>
              </w:rPr>
            </w:pPr>
            <w:r>
              <w:rPr>
                <w:rFonts w:eastAsia="Calibri" w:cs="" w:ascii="Times New Roman" w:hAnsi="Times New Roman"/>
                <w:b w:val="false"/>
                <w:bCs w:val="false"/>
                <w:color w:val="FFFFFF"/>
                <w:kern w:val="2"/>
                <w:sz w:val="20"/>
                <w:szCs w:val="20"/>
                <w:lang w:val="es-MX" w:eastAsia="en-US" w:bidi="ar-SA"/>
              </w:rPr>
              <w:t>Mejora de la calidad educativa</w:t>
            </w:r>
          </w:p>
        </w:tc>
        <w:tc>
          <w:tcPr>
            <w:tcW w:w="6280" w:type="dxa"/>
            <w:tcBorders/>
            <w:shd w:color="auto" w:fill="DEEAF6" w:themeFill="accent5" w:themeFillTint="33" w:val="clear"/>
          </w:tcPr>
          <w:p>
            <w:pPr>
              <w:pStyle w:val="Normal"/>
              <w:widowControl w:val="false"/>
              <w:bidi w:val="0"/>
              <w:spacing w:lineRule="auto" w:line="240" w:before="0" w:after="0"/>
              <w:ind w:left="0" w:right="0" w:hanging="0"/>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 xml:space="preserve"> </w:t>
            </w:r>
            <w:r>
              <w:rPr>
                <w:rFonts w:eastAsia="Calibri" w:cs="" w:ascii="Times New Roman" w:hAnsi="Times New Roman"/>
                <w:kern w:val="2"/>
                <w:sz w:val="20"/>
                <w:szCs w:val="20"/>
                <w:lang w:val="es-MX" w:eastAsia="en-US" w:bidi="ar-SA"/>
              </w:rPr>
              <w:t>Integrar la formación académica con la experiencia laboral puede mejorar la calidad educativa al proporcionar un enfoque más completo y práctico para el aprendizaje.</w:t>
            </w:r>
          </w:p>
        </w:tc>
      </w:tr>
    </w:tbl>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sectPr>
          <w:headerReference w:type="even" r:id="rId8"/>
          <w:headerReference w:type="default" r:id="rId9"/>
          <w:headerReference w:type="first" r:id="rId10"/>
          <w:footerReference w:type="even" r:id="rId11"/>
          <w:footerReference w:type="default" r:id="rId12"/>
          <w:footerReference w:type="first" r:id="rId13"/>
          <w:type w:val="continuous"/>
          <w:pgSz w:w="12240" w:h="15840"/>
          <w:pgMar w:left="1417" w:right="1417" w:header="1417" w:top="2066" w:footer="1417" w:bottom="2072" w:gutter="0"/>
          <w:pgNumType w:fmt="decimal"/>
          <w:formProt w:val="false"/>
          <w:titlePg/>
          <w:textDirection w:val="lrTb"/>
          <w:docGrid w:type="default" w:linePitch="100" w:charSpace="0"/>
        </w:sectPr>
      </w:pP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La metodología institucional a seguir en el proceso que sigue el cuerpo académico de profesores de IEME para el diseño, seguimiento y conclusión del programa de educación dual son los siguientes:</w:t>
      </w:r>
    </w:p>
    <w:p>
      <w:pPr>
        <w:pStyle w:val="Normal"/>
        <w:bidi w:val="0"/>
        <w:spacing w:lineRule="auto" w:line="240" w:before="0" w:after="0"/>
        <w:ind w:left="0" w:right="0" w:hanging="0"/>
        <w:jc w:val="both"/>
        <w:rPr>
          <w:rFonts w:ascii="Times New Roman" w:hAnsi="Times New Roman"/>
          <w:b/>
          <w:b/>
          <w:bCs/>
          <w:sz w:val="20"/>
          <w:szCs w:val="20"/>
        </w:rPr>
      </w:pPr>
      <w:r>
        <w:rPr>
          <w:rFonts w:ascii="Times New Roman" w:hAnsi="Times New Roman"/>
          <w:b/>
          <w:bCs/>
          <w:sz w:val="20"/>
          <w:szCs w:val="20"/>
        </w:rPr>
      </w:r>
    </w:p>
    <w:p>
      <w:pPr>
        <w:pStyle w:val="ListParagraph"/>
        <w:numPr>
          <w:ilvl w:val="0"/>
          <w:numId w:val="1"/>
        </w:numPr>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 xml:space="preserve">Identificación de necesidades y objetivos: se realiza un análisis de las necesidades del mercado laboral y de la industria para identificar las habilidades y competencias que los estudiantes deben adquirir. También se establecen los objetivos del programa de educación dual. </w:t>
      </w:r>
    </w:p>
    <w:p>
      <w:pPr>
        <w:pStyle w:val="ListParagraph"/>
        <w:numPr>
          <w:ilvl w:val="0"/>
          <w:numId w:val="1"/>
        </w:numPr>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Identificación de empresas: se identifican las empresas interesadas en colaborar con el TecNM campus Progreso en el programa de Ingeniería Electromecánica.</w:t>
      </w:r>
    </w:p>
    <w:p>
      <w:pPr>
        <w:pStyle w:val="ListParagraph"/>
        <w:numPr>
          <w:ilvl w:val="0"/>
          <w:numId w:val="1"/>
        </w:numPr>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 xml:space="preserve">Asignación de docentes asesores: se asignan asesores internos por parte del TecNM campus Progreso según la formación técnica de cada docente. </w:t>
      </w:r>
    </w:p>
    <w:p>
      <w:pPr>
        <w:pStyle w:val="ListParagraph"/>
        <w:numPr>
          <w:ilvl w:val="0"/>
          <w:numId w:val="1"/>
        </w:numPr>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Selección de empresas colaboradoras: se establecen alianzas con empresas que estén dispuestas a colaborar en el programa proporcionando oportunidades de aprendizaje práctico a los estudiantes. Estas empresas pueden estar relacionadas con el sector industrial específico del TecNM. Cada asesor interno se pone en contacto con las empresas para concertar reuniones de trabajo y definir el proceso TecNM-E</w:t>
      </w:r>
      <w:r>
        <w:rPr>
          <w:rFonts w:eastAsia="Noto Serif CJK SC" w:cs="Lohit Devanagari" w:ascii="Times New Roman" w:hAnsi="Times New Roman"/>
          <w:color w:val="auto"/>
          <w:kern w:val="2"/>
          <w:sz w:val="20"/>
          <w:szCs w:val="20"/>
          <w:lang w:val="es-MX" w:eastAsia="zh-CN" w:bidi="hi-IN"/>
        </w:rPr>
        <w:t>mpresa</w:t>
      </w:r>
      <w:r>
        <w:rPr>
          <w:rFonts w:ascii="Times New Roman" w:hAnsi="Times New Roman"/>
          <w:sz w:val="20"/>
          <w:szCs w:val="20"/>
        </w:rPr>
        <w:t>.</w:t>
      </w:r>
    </w:p>
    <w:p>
      <w:pPr>
        <w:pStyle w:val="ListParagraph"/>
        <w:numPr>
          <w:ilvl w:val="0"/>
          <w:numId w:val="1"/>
        </w:numPr>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Diseño del currículo: se diseñan los planes de estudio que combinan la formación teórica en el aula con la experiencia práctica en el lugar de trabajo. Se establecen los contenidos académicos y las competencias laborales que los estudiantes deben desarrollar, se trabaja en conjunto con los asesores externos en las empresas.</w:t>
      </w:r>
    </w:p>
    <w:p>
      <w:pPr>
        <w:pStyle w:val="ListParagraph"/>
        <w:numPr>
          <w:ilvl w:val="0"/>
          <w:numId w:val="1"/>
        </w:numPr>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Selección de estudiantes: se establecen criterios para seleccionar a los estudiantes que participarán en el programa de educación dual. Esto puede incluir criterios académicos, de motivación y de aptitud para el trabajo en la industria.</w:t>
      </w:r>
    </w:p>
    <w:p>
      <w:pPr>
        <w:pStyle w:val="ListParagraph"/>
        <w:numPr>
          <w:ilvl w:val="0"/>
          <w:numId w:val="1"/>
        </w:numPr>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Formación y capacitación: se proporciona formación y capacitación a los estudiantes antes de que comiencen su experiencia práctica en las empresas colaboradoras. Esto puede incluir entrenamiento en habilidades específicas relacionadas con el trabajo que realizarán.</w:t>
      </w:r>
    </w:p>
    <w:p>
      <w:pPr>
        <w:pStyle w:val="ListParagraph"/>
        <w:numPr>
          <w:ilvl w:val="0"/>
          <w:numId w:val="1"/>
        </w:numPr>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Implementación del programa: los estudiantes alternan entre periodos de formación académica en el TecNM y periodos de trabajo en las empresas colaboradoras. Durante los periodos de trabajo, los estudiantes aplican los conocimientos teóricos adquiridos en el aula a situaciones reales de trabajo.</w:t>
      </w:r>
    </w:p>
    <w:p>
      <w:pPr>
        <w:pStyle w:val="ListParagraph"/>
        <w:numPr>
          <w:ilvl w:val="0"/>
          <w:numId w:val="1"/>
        </w:numPr>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Seguimiento y evaluación: se realiza un seguimiento del desempeño de los estudiantes tanto en el ámbito académico como en el laboral. Se recopilan datos sobre el progreso de los estudiantes, su rendimiento en el trabajo y su satisfacción con el programa. Esto permite identificar áreas de mejora y hacer ajustes en el programa según sea necesario.</w:t>
      </w:r>
    </w:p>
    <w:p>
      <w:pPr>
        <w:pStyle w:val="ListParagraph"/>
        <w:numPr>
          <w:ilvl w:val="0"/>
          <w:numId w:val="1"/>
        </w:numPr>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Certificación: al completar el programa de educación dual, los estudiantes pueden recibir una certificación que reconozca tanto sus logros académicos como su experiencia laboral. Esto puede aumentar su empleabilidad y prepararlos mejor para ingresar al mercado laboral</w:t>
      </w:r>
      <w:r>
        <w:rPr>
          <w:rFonts w:ascii="Times New Roman" w:hAnsi="Times New Roman"/>
          <w:b/>
          <w:bCs/>
          <w:sz w:val="20"/>
          <w:szCs w:val="20"/>
        </w:rPr>
        <w:t>.</w:t>
      </w:r>
    </w:p>
    <w:p>
      <w:pPr>
        <w:pStyle w:val="Normal"/>
        <w:bidi w:val="0"/>
        <w:spacing w:lineRule="auto" w:line="240" w:before="0" w:after="0"/>
        <w:ind w:left="0" w:right="0" w:hanging="0"/>
        <w:jc w:val="both"/>
        <w:rPr>
          <w:rFonts w:ascii="Times New Roman" w:hAnsi="Times New Roman"/>
          <w:b/>
          <w:b/>
          <w:bCs/>
          <w:sz w:val="20"/>
          <w:szCs w:val="20"/>
        </w:rPr>
      </w:pPr>
      <w:r>
        <w:rPr>
          <w:rFonts w:ascii="Times New Roman" w:hAnsi="Times New Roman"/>
          <w:b/>
          <w:bCs/>
          <w:sz w:val="20"/>
          <w:szCs w:val="20"/>
        </w:rPr>
      </w:r>
    </w:p>
    <w:p>
      <w:pPr>
        <w:pStyle w:val="Normal"/>
        <w:bidi w:val="0"/>
        <w:spacing w:lineRule="auto" w:line="240" w:before="0" w:after="0"/>
        <w:ind w:left="0" w:right="0" w:hanging="0"/>
        <w:jc w:val="both"/>
        <w:rPr>
          <w:rFonts w:ascii="Times New Roman" w:hAnsi="Times New Roman"/>
          <w:sz w:val="20"/>
          <w:szCs w:val="20"/>
        </w:rPr>
      </w:pPr>
      <w:r>
        <w:rPr>
          <w:rFonts w:eastAsia="Noto Serif CJK SC" w:cs="Lohit Devanagari" w:ascii="Times New Roman" w:hAnsi="Times New Roman"/>
          <w:color w:val="auto"/>
          <w:kern w:val="2"/>
          <w:sz w:val="20"/>
          <w:szCs w:val="20"/>
          <w:lang w:val="es-MX" w:eastAsia="zh-CN" w:bidi="hi-IN"/>
        </w:rPr>
        <w:t>El esquema de diez puntos establecido anteriormente tiene por finalidad la regulación del proceso del sistema dual para el TecNM campus Progreso, sin embargo en este trabajo se realiza un análisis cualitativo al revisar los resultados de las acciones implementadas en la primera generación de estudiantes en el programa dual.</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b/>
          <w:bCs/>
          <w:sz w:val="20"/>
          <w:szCs w:val="20"/>
        </w:rPr>
        <w:t xml:space="preserve">IV. </w:t>
      </w:r>
      <w:r>
        <w:rPr>
          <w:rFonts w:ascii="Times New Roman" w:hAnsi="Times New Roman"/>
          <w:b/>
          <w:bCs/>
          <w:sz w:val="20"/>
          <w:szCs w:val="20"/>
        </w:rPr>
        <w:t>DISCUSIÓN Y RESULTADOS</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 xml:space="preserve">En esta sección, se presentan los resultados obtenidos del programa dual realizado en el periodo Febrero-diciembre 2023. En este periodo se lograron concretar 13 proyectos duales de los cuales 11 concluyeron satisfactoriamente. </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El papel de los asesores internos es de gran importancia para la realización del proyecto dual, ya que los estudiantes que participan están iniciando el  octavo semestre de la ingeniería, y las materias que deberán de estar cursando las aplican dentro de la empresa. Los asesores internos son los encargados de orientar en las actividades realizadas por los estudiantes duales dentro de las empresas, proporcionando asesorías en temas imperativos para el desempeño en la industria. Algunas de las actividades orientadas por los asesores internos en los proyectos, se presentan a en la Tabla 2.</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En este sentido, las acciones implementadas en las asesorías fueron solicitadas previamente de manera verbal por los estudiantes al ser temas considerados técnicos que muy pocas veces se enseña en clase a no estar contemplados en las asignaturas del plan de estudios. Posteriormente, los ingenieros en formación señalaron haber tenido un mejor desempeño en su labor dentro de la empresa.</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Al ser la primera generación de estudiantes en un sistema dual, la metodología de los diez puntos no se llevó al cabo al pie de la letra, particularmente los meramente académicos, es decir, las asesorías jugaron un papel meramente remediales las cuales fueron atendidas por el personal docente. Por otro lado, las empresas donde los estudiantes realizaron su estancia se eligieron de organismos que mantuvieran convenios de vinculación con el TecNM campus Progreso, por lo que no se exploraron nuevas alternativas que pudieran ser más atractivas para el estudiantado de IEME.</w:t>
      </w:r>
    </w:p>
    <w:p>
      <w:pPr>
        <w:sectPr>
          <w:type w:val="continuous"/>
          <w:pgSz w:w="12240" w:h="15840"/>
          <w:pgMar w:left="1417" w:right="1417" w:header="1417" w:top="2066" w:footer="1417" w:bottom="2072" w:gutter="0"/>
          <w:cols w:num="2" w:space="282" w:equalWidth="true" w:sep="false"/>
          <w:formProt w:val="false"/>
          <w:textDirection w:val="lrTb"/>
          <w:docGrid w:type="default" w:linePitch="100" w:charSpace="0"/>
        </w:sectPr>
      </w:pP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center"/>
        <w:rPr>
          <w:b/>
          <w:b/>
          <w:bCs/>
        </w:rPr>
      </w:pPr>
      <w:r>
        <w:rPr>
          <w:rFonts w:ascii="Times New Roman" w:hAnsi="Times New Roman"/>
          <w:sz w:val="20"/>
          <w:szCs w:val="20"/>
        </w:rPr>
      </w:r>
    </w:p>
    <w:p>
      <w:pPr>
        <w:pStyle w:val="Normal"/>
        <w:bidi w:val="0"/>
        <w:spacing w:lineRule="auto" w:line="240" w:before="0" w:after="0"/>
        <w:ind w:left="0" w:right="0" w:hanging="0"/>
        <w:jc w:val="center"/>
        <w:rPr>
          <w:rFonts w:ascii="Times New Roman" w:hAnsi="Times New Roman"/>
          <w:sz w:val="20"/>
          <w:szCs w:val="20"/>
        </w:rPr>
      </w:pPr>
      <w:r>
        <w:rPr>
          <w:rFonts w:ascii="Times New Roman" w:hAnsi="Times New Roman"/>
          <w:b/>
          <w:bCs/>
          <w:sz w:val="20"/>
          <w:szCs w:val="20"/>
        </w:rPr>
        <w:t xml:space="preserve">Tabla 2. Temas de orientación realizadas por </w:t>
      </w:r>
    </w:p>
    <w:p>
      <w:pPr>
        <w:pStyle w:val="Normal"/>
        <w:bidi w:val="0"/>
        <w:spacing w:lineRule="auto" w:line="240" w:before="0" w:after="0"/>
        <w:ind w:left="0" w:right="0" w:hanging="0"/>
        <w:jc w:val="center"/>
        <w:rPr>
          <w:rFonts w:ascii="Times New Roman" w:hAnsi="Times New Roman"/>
          <w:sz w:val="20"/>
          <w:szCs w:val="20"/>
        </w:rPr>
      </w:pPr>
      <w:r>
        <w:rPr>
          <w:rFonts w:ascii="Times New Roman" w:hAnsi="Times New Roman"/>
          <w:b/>
          <w:bCs/>
          <w:sz w:val="20"/>
          <w:szCs w:val="20"/>
        </w:rPr>
        <w:t>asesores internos. Fuente: Elaboración propia.</w:t>
      </w:r>
    </w:p>
    <w:p>
      <w:pPr>
        <w:pStyle w:val="Normal"/>
        <w:bidi w:val="0"/>
        <w:spacing w:lineRule="auto" w:line="240" w:before="0" w:after="0"/>
        <w:ind w:left="0" w:right="0" w:hanging="0"/>
        <w:jc w:val="center"/>
        <w:rPr>
          <w:b/>
          <w:b/>
          <w:bCs/>
        </w:rPr>
      </w:pPr>
      <w:r>
        <w:rPr>
          <w:rFonts w:ascii="Times New Roman" w:hAnsi="Times New Roman"/>
          <w:sz w:val="20"/>
          <w:szCs w:val="20"/>
        </w:rPr>
      </w:r>
    </w:p>
    <w:tbl>
      <w:tblPr>
        <w:tblStyle w:val="Tablaconcuadrcula"/>
        <w:tblW w:w="8827"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413"/>
        <w:gridCol w:w="4413"/>
      </w:tblGrid>
      <w:tr>
        <w:trPr/>
        <w:tc>
          <w:tcPr>
            <w:tcW w:w="4413" w:type="dxa"/>
            <w:tcBorders/>
          </w:tcPr>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Actualización de sistemas de protección eléctrica.</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Instalación de sensores de temperatura y vibración.</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Configuración de sistemas de monitoreo remoto.</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Análisis de datos para detección temprana de problemas.</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Realización de mantenimiento preventivo según indicaciones del monitoreo.</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Sistema de monitoreo, vibración y temperatura para motores por radiofrecuencia en industria cervecera.</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Diseño e instalación de sistemas de monitoreo inalámbrico.</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Configuración de sensores de vibración y temperatura.</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Desarrollo de algoritmos para análisis de datos en tiempo real.</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Integración con sistemas de control de procesos existentes.</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Diseño e implementación de sistemas de control PLC.</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r>
          </w:p>
        </w:tc>
        <w:tc>
          <w:tcPr>
            <w:tcW w:w="4413" w:type="dxa"/>
            <w:tcBorders/>
          </w:tcPr>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Programación de interfaces de usuario para control remoto.</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Integración de sensores de posición y carga.</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Pruebas de funcionamiento y puesta en marcha.</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 xml:space="preserve">Configuración de interfaces de comunicación con dispositivos de control. </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Diagnóstico de componentes eléctricos.</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Pruebas de funcionamiento de equipos de alta tensión.</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Reemplazo de componentes defectuosos.</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Calibración de equipos de medición.</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Desarrollo de scripts para extracción y procesamiento de datos.</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Integración de datos en plataformas de análisis como Power BI.</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Creación de paneles de visualización y reportes de análisis.</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Análisis de datos históricos de mantenimiento.</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Implementación de técnicas de mantenimiento predictivo.</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Capacitación del personal en el uso de nuevas herramientas y tecnologías.</w:t>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r>
          </w:p>
          <w:p>
            <w:pPr>
              <w:pStyle w:val="Normal"/>
              <w:widowControl w:val="false"/>
              <w:bidi w:val="0"/>
              <w:spacing w:lineRule="auto" w:line="240" w:before="0" w:after="0"/>
              <w:ind w:left="0" w:right="0" w:hanging="0"/>
              <w:jc w:val="both"/>
              <w:rPr>
                <w:rFonts w:ascii="Times New Roman" w:hAnsi="Times New Roman" w:eastAsia="Calibri" w:cs=""/>
                <w:kern w:val="2"/>
                <w:sz w:val="20"/>
                <w:szCs w:val="20"/>
                <w:lang w:val="es-MX" w:eastAsia="en-US" w:bidi="ar-SA"/>
              </w:rPr>
            </w:pPr>
            <w:r>
              <w:rPr>
                <w:rFonts w:eastAsia="Calibri" w:cs="" w:ascii="Times New Roman" w:hAnsi="Times New Roman"/>
                <w:kern w:val="2"/>
                <w:sz w:val="20"/>
                <w:szCs w:val="20"/>
                <w:lang w:val="es-MX" w:eastAsia="en-US" w:bidi="ar-SA"/>
              </w:rPr>
              <w:t>Evaluación de resultados y ajuste continuo del sistema de mantenimiento</w:t>
            </w:r>
          </w:p>
        </w:tc>
      </w:tr>
    </w:tbl>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sectPr>
          <w:headerReference w:type="even" r:id="rId14"/>
          <w:headerReference w:type="default" r:id="rId15"/>
          <w:headerReference w:type="first" r:id="rId16"/>
          <w:footerReference w:type="even" r:id="rId17"/>
          <w:footerReference w:type="default" r:id="rId18"/>
          <w:footerReference w:type="first" r:id="rId19"/>
          <w:type w:val="continuous"/>
          <w:pgSz w:w="12240" w:h="15840"/>
          <w:pgMar w:left="1417" w:right="1417" w:header="1417" w:top="2066" w:footer="1417" w:bottom="2072" w:gutter="0"/>
          <w:pgNumType w:fmt="decimal"/>
          <w:formProt w:val="false"/>
          <w:titlePg/>
          <w:textDirection w:val="lrTb"/>
          <w:docGrid w:type="default" w:linePitch="100" w:charSpace="0"/>
        </w:sectPr>
      </w:pP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 xml:space="preserve">La proporción de estudiantes, Figura 1, que se inscribieron al semestre 8 de la carrera de IEME, de un total de 28, se seleccionaron para el programa dual a 13 de ellos, quienes eran estudiantes regulares al no adeudar asignaturas y cumplían con el nivel requerido del idioma inglés. De los 13 estudiantes seleccionados, 2 de ellos no concluyeron el programa y se tuvieron que restablecer al sistema escolarizado en noveno semestre. Durante su estancia en dual se les </w:t>
      </w:r>
      <w:r>
        <w:rPr>
          <w:rFonts w:eastAsia="Noto Serif CJK SC" w:cs="Lohit Devanagari" w:ascii="Times New Roman" w:hAnsi="Times New Roman"/>
          <w:color w:val="auto"/>
          <w:kern w:val="2"/>
          <w:sz w:val="20"/>
          <w:szCs w:val="20"/>
          <w:lang w:val="es-MX" w:eastAsia="zh-CN" w:bidi="hi-IN"/>
        </w:rPr>
        <w:t>hizo válido</w:t>
      </w:r>
      <w:r>
        <w:rPr>
          <w:rFonts w:ascii="Times New Roman" w:hAnsi="Times New Roman"/>
          <w:sz w:val="20"/>
          <w:szCs w:val="20"/>
        </w:rPr>
        <w:t xml:space="preserve"> el cumplimiento del requisito de servicio social y las materias de octavo semestre; teniendo que cursar los créditos de residencia y las materias de noveno semestre. </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drawing>
          <wp:anchor behindDoc="0" distT="0" distB="0" distL="0" distR="0" simplePos="0" locked="0" layoutInCell="0" allowOverlap="1" relativeHeight="2">
            <wp:simplePos x="0" y="0"/>
            <wp:positionH relativeFrom="column">
              <wp:posOffset>99695</wp:posOffset>
            </wp:positionH>
            <wp:positionV relativeFrom="paragraph">
              <wp:posOffset>110490</wp:posOffset>
            </wp:positionV>
            <wp:extent cx="2697480" cy="1604645"/>
            <wp:effectExtent l="0" t="0" r="0" b="0"/>
            <wp:wrapSquare wrapText="largest"/>
            <wp:docPr id="4"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1" descr=""/>
                    <pic:cNvPicPr>
                      <a:picLocks noChangeAspect="1" noChangeArrowheads="1"/>
                    </pic:cNvPicPr>
                  </pic:nvPicPr>
                  <pic:blipFill>
                    <a:blip r:embed="rId20"/>
                    <a:stretch>
                      <a:fillRect/>
                    </a:stretch>
                  </pic:blipFill>
                  <pic:spPr bwMode="auto">
                    <a:xfrm>
                      <a:off x="0" y="0"/>
                      <a:ext cx="2697480" cy="1604645"/>
                    </a:xfrm>
                    <a:prstGeom prst="rect">
                      <a:avLst/>
                    </a:prstGeom>
                  </pic:spPr>
                </pic:pic>
              </a:graphicData>
            </a:graphic>
          </wp:anchor>
        </w:drawing>
      </w:r>
    </w:p>
    <w:p>
      <w:pPr>
        <w:pStyle w:val="Normal"/>
        <w:bidi w:val="0"/>
        <w:spacing w:lineRule="auto" w:line="240" w:before="0" w:after="0"/>
        <w:ind w:left="0" w:right="0" w:hanging="0"/>
        <w:jc w:val="center"/>
        <w:rPr>
          <w:rFonts w:ascii="Times New Roman" w:hAnsi="Times New Roman"/>
          <w:sz w:val="20"/>
          <w:szCs w:val="20"/>
        </w:rPr>
      </w:pPr>
      <w:r>
        <w:rPr>
          <w:rFonts w:ascii="Times New Roman" w:hAnsi="Times New Roman"/>
          <w:i/>
          <w:iCs/>
          <w:sz w:val="20"/>
          <w:szCs w:val="20"/>
        </w:rPr>
        <w:t>Figura 1. Proporción de estudiantes en el programa dual. Fuente: Elaboración propia.</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 xml:space="preserve">Como resultado más importante del programa dual, el 100 % de los estudiantes que concluyeron su proyecto se lograron colocar en empleos relacionados con su práctica en este programa, las empresas son: Sistemas de Control y Automatización SCA, Maxing, Multisur, Gabar Instalaciones Eléctricas, ENSO Departament, Gonce, METALTEC, CICY, Instalaciones Electricas DCA Constructora. Estos resultados son similares a los reportados en trabajos sejemantes por Moreno, Alvarado y Bizarrón (2021); Bautista </w:t>
      </w:r>
      <w:r>
        <w:rPr>
          <w:rFonts w:ascii="Times New Roman" w:hAnsi="Times New Roman"/>
          <w:i/>
          <w:iCs/>
          <w:sz w:val="20"/>
          <w:szCs w:val="20"/>
        </w:rPr>
        <w:t>et al.</w:t>
      </w:r>
      <w:r>
        <w:rPr>
          <w:rFonts w:ascii="Times New Roman" w:hAnsi="Times New Roman"/>
          <w:sz w:val="20"/>
          <w:szCs w:val="20"/>
        </w:rPr>
        <w:t xml:space="preserve"> (2020) y Guzmán y Pluma (2022).</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Un punto no abordado en este trabajo, es la necesidad de capacitación docente constante en temáticas exigidas en la industria, las cuales generalmente tienen a ser más vanguardistas que las que se cubren en el aula. Además, no se explorá el carácter holístico que debiera tener una evaluación desde el punto de vista del asesor externo desde la empresa y el asesor interno en el TecNM campus Progreso.</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b/>
          <w:bCs/>
          <w:sz w:val="20"/>
          <w:szCs w:val="20"/>
        </w:rPr>
        <w:t xml:space="preserve">V. </w:t>
      </w:r>
      <w:r>
        <w:rPr>
          <w:rFonts w:ascii="Times New Roman" w:hAnsi="Times New Roman"/>
          <w:b/>
          <w:bCs/>
          <w:sz w:val="20"/>
          <w:szCs w:val="20"/>
        </w:rPr>
        <w:t>CONCLUSIONES</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El programa dual ofrece una opción para los estudiantes con conocimientos teóricos a demostrar su aplicación, por medio de las destrezas y habilidades que pueden adquirir en las empresas públicas o privadas de su región. Se vuelve una experiencia de aprendizaje continuo, significativo y aplicado a la vida laboral del ingeniero en formación.</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La puesta en marcha de los proyectos duales para una primera generación se consideró un éxito. Aunque se observaron áreas de oportunidad, como es el compromiso de apoyo dentro de la empresa y la búsqueda de convenios con el sector productivo. No es un modelo sencillo de aplicar, requiere mucho esfuerzo, disciplina y motivación por parte del estudiante, así como una planeación académica que contemple un esquema que resulte práctico en la relación con las empresas. El modelo educativo dual no resuelve la falta de empleo para los jóvenes egresados, pero si le otorga herramientas para lograr su inserción al ámbito laboral.</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Por otro lado, la implementación del sistema dual en el campus Progreso, hace notar la necesidad de una capacitación constante para el profesorado, así como un seguimiento institucional más puntual que pueda solventar los requerimientos académicos y de gestión de la vinculación.</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b/>
          <w:bCs/>
          <w:sz w:val="20"/>
          <w:szCs w:val="20"/>
        </w:rPr>
        <w:t>REFERENCIAS</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 xml:space="preserve">Ayón, S. E. H., Valdez, G. C. F., &amp; Silva, A. M. (2022). ANÁLISIS DE PARTICIPACIÓN DE ESTUDIANTES DE EDUCACIÓN DUAL EN LA CIUDAD DE ENSENADA, BC. </w:t>
      </w:r>
      <w:r>
        <w:rPr>
          <w:rFonts w:ascii="Times New Roman" w:hAnsi="Times New Roman"/>
          <w:i/>
          <w:sz w:val="20"/>
          <w:szCs w:val="20"/>
        </w:rPr>
        <w:t>ANFEI Digital</w:t>
      </w:r>
      <w:r>
        <w:rPr>
          <w:rFonts w:ascii="Times New Roman" w:hAnsi="Times New Roman"/>
          <w:sz w:val="20"/>
          <w:szCs w:val="20"/>
        </w:rPr>
        <w:t>, (14).</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 xml:space="preserve">Bautista, M. Á. R., Vargas, O. B., Cuevas, A. R., &amp; Cárdenaz, R. C. (2020). Evaluación de las competencias genéricas en el modelo dual del instituto tecnológico de Lázaro Cárdenas. </w:t>
      </w:r>
      <w:r>
        <w:rPr>
          <w:rFonts w:ascii="Times New Roman" w:hAnsi="Times New Roman"/>
          <w:i/>
          <w:sz w:val="20"/>
          <w:szCs w:val="20"/>
        </w:rPr>
        <w:t>Multidisciplinas de la Ingeniería</w:t>
      </w:r>
      <w:r>
        <w:rPr>
          <w:rFonts w:ascii="Times New Roman" w:hAnsi="Times New Roman"/>
          <w:sz w:val="20"/>
          <w:szCs w:val="20"/>
        </w:rPr>
        <w:t xml:space="preserve">, </w:t>
      </w:r>
      <w:r>
        <w:rPr>
          <w:rFonts w:ascii="Times New Roman" w:hAnsi="Times New Roman"/>
          <w:i/>
          <w:sz w:val="20"/>
          <w:szCs w:val="20"/>
        </w:rPr>
        <w:t>8</w:t>
      </w:r>
      <w:r>
        <w:rPr>
          <w:rFonts w:ascii="Times New Roman" w:hAnsi="Times New Roman"/>
          <w:sz w:val="20"/>
          <w:szCs w:val="20"/>
        </w:rPr>
        <w:t>(12), 95-109.</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 xml:space="preserve">Espín, M. A. R., Reyes, T. R., Esquivel, R. M., Soberanez, C. I. M., &amp; Tosca, D. R. O. (2023). CONTEXTO DE LA EDUCACIÓN DUAL EN LA EDUCACIÓN SUPERIOR TECNOLÓGICA EN PANDEMIA Y POSTPANDEMIA. </w:t>
      </w:r>
      <w:r>
        <w:rPr>
          <w:rFonts w:ascii="Times New Roman" w:hAnsi="Times New Roman"/>
          <w:i/>
          <w:sz w:val="20"/>
          <w:szCs w:val="20"/>
        </w:rPr>
        <w:t>Revista IPSUMTEC</w:t>
      </w:r>
      <w:r>
        <w:rPr>
          <w:rFonts w:ascii="Times New Roman" w:hAnsi="Times New Roman"/>
          <w:sz w:val="20"/>
          <w:szCs w:val="20"/>
        </w:rPr>
        <w:t xml:space="preserve">, </w:t>
      </w:r>
      <w:r>
        <w:rPr>
          <w:rFonts w:ascii="Times New Roman" w:hAnsi="Times New Roman"/>
          <w:i/>
          <w:sz w:val="20"/>
          <w:szCs w:val="20"/>
        </w:rPr>
        <w:t>6</w:t>
      </w:r>
      <w:r>
        <w:rPr>
          <w:rFonts w:ascii="Times New Roman" w:hAnsi="Times New Roman"/>
          <w:sz w:val="20"/>
          <w:szCs w:val="20"/>
        </w:rPr>
        <w:t>(4), 64-73.</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 xml:space="preserve">Guzmán, G. V., &amp; Pluma, D. A. (2022) Incidencia de la pandemia por Covid-19 en el área de enseñanza de la Ingeniería, caso de estudio: Instituto Tecnológico Superior de Abasolo e Instituto Tecnológico Superior de Irapuato, Guanajuato, México. </w:t>
      </w:r>
      <w:r>
        <w:rPr>
          <w:rFonts w:ascii="Times New Roman" w:hAnsi="Times New Roman"/>
          <w:i/>
          <w:sz w:val="20"/>
          <w:szCs w:val="20"/>
        </w:rPr>
        <w:t>Covid-19 Enseñanzas y tareas pendientes</w:t>
      </w:r>
      <w:r>
        <w:rPr>
          <w:rFonts w:ascii="Times New Roman" w:hAnsi="Times New Roman"/>
          <w:sz w:val="20"/>
          <w:szCs w:val="20"/>
        </w:rPr>
        <w:t>, 109.</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 xml:space="preserve">Lozano, A. M., Munguia, I. A. C., &amp; Carrillo, Á. M. (2020). Implementación y seguimiento del sistema dual de aprendizaje en la carrera de ingeniería electromecánica: Implementation and monitoring of dual vocational education and training in electromechanical engineering. </w:t>
      </w:r>
      <w:r>
        <w:rPr>
          <w:rFonts w:ascii="Times New Roman" w:hAnsi="Times New Roman"/>
          <w:i/>
          <w:sz w:val="20"/>
          <w:szCs w:val="20"/>
        </w:rPr>
        <w:t>Revista RELEP-Educación y Pedagogía en Latinoamérica</w:t>
      </w:r>
      <w:r>
        <w:rPr>
          <w:rFonts w:ascii="Times New Roman" w:hAnsi="Times New Roman"/>
          <w:sz w:val="20"/>
          <w:szCs w:val="20"/>
        </w:rPr>
        <w:t xml:space="preserve">, </w:t>
      </w:r>
      <w:r>
        <w:rPr>
          <w:rFonts w:ascii="Times New Roman" w:hAnsi="Times New Roman"/>
          <w:i/>
          <w:sz w:val="20"/>
          <w:szCs w:val="20"/>
        </w:rPr>
        <w:t>2</w:t>
      </w:r>
      <w:r>
        <w:rPr>
          <w:rFonts w:ascii="Times New Roman" w:hAnsi="Times New Roman"/>
          <w:sz w:val="20"/>
          <w:szCs w:val="20"/>
        </w:rPr>
        <w:t>(2), 7-27.</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 xml:space="preserve">May-Cen, I. D. J., Martínez, R. S. M., Loeza, E. D. J. T., &amp; Cetina, E. N. (2019). Aportes de la residencia profesional en la formación de ingenieros. </w:t>
      </w:r>
      <w:r>
        <w:rPr>
          <w:rFonts w:ascii="Times New Roman" w:hAnsi="Times New Roman"/>
          <w:i/>
          <w:sz w:val="20"/>
          <w:szCs w:val="20"/>
        </w:rPr>
        <w:t>ANFEI Digital</w:t>
      </w:r>
      <w:r>
        <w:rPr>
          <w:rFonts w:ascii="Times New Roman" w:hAnsi="Times New Roman"/>
          <w:sz w:val="20"/>
          <w:szCs w:val="20"/>
        </w:rPr>
        <w:t>, (11).</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 xml:space="preserve">Moreno, C. D. G., Alvarado, A. N., &amp; Bizarrón, L. I. B. (2021). Análisis preliminar sobre la especialidad dual en el IT Mario Molina de la carrera ingeniería en gestión empresarial. </w:t>
      </w:r>
      <w:r>
        <w:rPr>
          <w:rFonts w:ascii="Times New Roman" w:hAnsi="Times New Roman"/>
          <w:i/>
          <w:sz w:val="20"/>
          <w:szCs w:val="20"/>
        </w:rPr>
        <w:t>Vinculatégica EFAN</w:t>
      </w:r>
      <w:r>
        <w:rPr>
          <w:rFonts w:ascii="Times New Roman" w:hAnsi="Times New Roman"/>
          <w:sz w:val="20"/>
          <w:szCs w:val="20"/>
        </w:rPr>
        <w:t xml:space="preserve">, </w:t>
      </w:r>
      <w:r>
        <w:rPr>
          <w:rFonts w:ascii="Times New Roman" w:hAnsi="Times New Roman"/>
          <w:i/>
          <w:sz w:val="20"/>
          <w:szCs w:val="20"/>
        </w:rPr>
        <w:t>7</w:t>
      </w:r>
      <w:r>
        <w:rPr>
          <w:rFonts w:ascii="Times New Roman" w:hAnsi="Times New Roman"/>
          <w:sz w:val="20"/>
          <w:szCs w:val="20"/>
        </w:rPr>
        <w:t>(2), 1183-1198.</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 xml:space="preserve">Tecnológico Nacional de México, (mayo 2022). </w:t>
      </w:r>
      <w:r>
        <w:rPr>
          <w:rFonts w:ascii="Times New Roman" w:hAnsi="Times New Roman"/>
          <w:i/>
          <w:iCs/>
          <w:sz w:val="20"/>
          <w:szCs w:val="20"/>
        </w:rPr>
        <w:t>Modelo de Educación Dual del Tecnológico Nacional de México para Nivel Licenciatura</w:t>
      </w:r>
      <w:r>
        <w:rPr>
          <w:rFonts w:ascii="Times New Roman" w:hAnsi="Times New Roman"/>
          <w:sz w:val="20"/>
          <w:szCs w:val="20"/>
        </w:rPr>
        <w:t xml:space="preserve"> (MEDTecNM 2022), https://acapulco.tecnm.mx/wp-</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content/uploads/2022/05/MEDTecNM_2022.pdf [en línea].</w:t>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t xml:space="preserve">Valenzuela-Gómez, S. A., &amp; Durazo, I. A. S. (2024). Formación dual en México: potencialidades para las ingenierías. </w:t>
      </w:r>
      <w:r>
        <w:rPr>
          <w:rFonts w:ascii="Times New Roman" w:hAnsi="Times New Roman"/>
          <w:i/>
          <w:sz w:val="20"/>
          <w:szCs w:val="20"/>
        </w:rPr>
        <w:t>Revista Educación en Ingeniería</w:t>
      </w:r>
      <w:r>
        <w:rPr>
          <w:rFonts w:ascii="Times New Roman" w:hAnsi="Times New Roman"/>
          <w:sz w:val="20"/>
          <w:szCs w:val="20"/>
        </w:rPr>
        <w:t xml:space="preserve">, </w:t>
      </w:r>
      <w:r>
        <w:rPr>
          <w:rFonts w:ascii="Times New Roman" w:hAnsi="Times New Roman"/>
          <w:i/>
          <w:sz w:val="20"/>
          <w:szCs w:val="20"/>
        </w:rPr>
        <w:t>19</w:t>
      </w:r>
      <w:r>
        <w:rPr>
          <w:rFonts w:ascii="Times New Roman" w:hAnsi="Times New Roman"/>
          <w:sz w:val="20"/>
          <w:szCs w:val="20"/>
        </w:rPr>
        <w:t>(37), 1-9.</w:t>
      </w:r>
    </w:p>
    <w:p>
      <w:pPr>
        <w:sectPr>
          <w:type w:val="continuous"/>
          <w:pgSz w:w="12240" w:h="15840"/>
          <w:pgMar w:left="1417" w:right="1417" w:header="1417" w:top="2066" w:footer="1417" w:bottom="2072" w:gutter="0"/>
          <w:cols w:num="2" w:space="282" w:equalWidth="true" w:sep="false"/>
          <w:formProt w:val="false"/>
          <w:textDirection w:val="lrTb"/>
          <w:docGrid w:type="default" w:linePitch="100" w:charSpace="0"/>
        </w:sectPr>
      </w:pP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p>
      <w:pPr>
        <w:pStyle w:val="Normal"/>
        <w:bidi w:val="0"/>
        <w:spacing w:lineRule="auto" w:line="240" w:before="0" w:after="0"/>
        <w:ind w:left="0" w:right="0" w:hanging="0"/>
        <w:jc w:val="both"/>
        <w:rPr>
          <w:rFonts w:ascii="Times New Roman" w:hAnsi="Times New Roman"/>
          <w:sz w:val="20"/>
          <w:szCs w:val="20"/>
        </w:rPr>
      </w:pPr>
      <w:r>
        <w:rPr>
          <w:rFonts w:ascii="Times New Roman" w:hAnsi="Times New Roman"/>
          <w:sz w:val="20"/>
          <w:szCs w:val="20"/>
        </w:rPr>
      </w:r>
    </w:p>
    <w:sectPr>
      <w:headerReference w:type="even" r:id="rId21"/>
      <w:headerReference w:type="default" r:id="rId22"/>
      <w:headerReference w:type="first" r:id="rId23"/>
      <w:footerReference w:type="even" r:id="rId24"/>
      <w:footerReference w:type="default" r:id="rId25"/>
      <w:footerReference w:type="first" r:id="rId26"/>
      <w:type w:val="continuous"/>
      <w:pgSz w:w="12240" w:h="15840"/>
      <w:pgMar w:left="1417" w:right="1417" w:header="1417" w:top="2066" w:footer="1417" w:bottom="2072" w:gutter="0"/>
      <w:pgNumType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roman"/>
    <w:pitch w:val="variable"/>
  </w:font>
  <w:font w:name="Liberation Mono">
    <w:altName w:val="Courier New"/>
    <w:charset w:val="01"/>
    <w:family w:val="roman"/>
    <w:pitch w:val="variable"/>
  </w:font>
  <w:font w:name="Times New Roman">
    <w:charset w:val="01"/>
    <w:family w:val="roman"/>
    <w:pitch w:val="variable"/>
  </w:font>
  <w:font w:name="Times new roman">
    <w:charset w:val="01"/>
    <w:family w:val="roman"/>
    <w:pitch w:val="variable"/>
  </w:font>
  <w:font w:name="Cantarell">
    <w:charset w:val="01"/>
    <w:family w:val="roman"/>
    <w:pitch w:val="variable"/>
  </w:font>
  <w:font w:name="Courier New">
    <w:charset w:val="01"/>
    <w:family w:val="auto"/>
    <w:pitch w:val="fixed"/>
  </w:font>
  <w:font w:name="Wingdings">
    <w:charset w:val="02"/>
    <w:family w:val="auto"/>
    <w:pitch w:val="default"/>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nidodelatabla"/>
      <w:bidi w:val="0"/>
      <w:spacing w:before="120" w:after="60"/>
      <w:ind w:hanging="0"/>
      <w:jc w:val="center"/>
      <w:rPr/>
    </w:pPr>
    <w:r>
      <w:rPr>
        <w:rFonts w:eastAsia="Arial" w:cs="Arial" w:ascii="Cantarell" w:hAnsi="Cantarell"/>
        <w:sz w:val="16"/>
        <w:szCs w:val="16"/>
      </w:rPr>
      <w:t xml:space="preserve">© </w:t>
    </w:r>
    <w:r>
      <w:rPr>
        <w:rFonts w:ascii="Times new roman" w:hAnsi="Times new roman"/>
        <w:sz w:val="16"/>
        <w:szCs w:val="16"/>
      </w:rPr>
      <w:t>TecNM – Instituto Tecnológico Superior Progreso</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nidodelatabla"/>
      <w:bidi w:val="0"/>
      <w:spacing w:before="120" w:after="60"/>
      <w:ind w:hanging="0"/>
      <w:jc w:val="center"/>
      <w:rPr/>
    </w:pPr>
    <w:r>
      <w:rPr>
        <w:rFonts w:eastAsia="Arial" w:cs="Arial" w:ascii="Cantarell" w:hAnsi="Cantarell"/>
        <w:sz w:val="16"/>
        <w:szCs w:val="16"/>
      </w:rPr>
      <w:t xml:space="preserve">© </w:t>
    </w:r>
    <w:r>
      <w:rPr>
        <w:rFonts w:ascii="Times new roman" w:hAnsi="Times new roman"/>
        <w:sz w:val="16"/>
        <w:szCs w:val="16"/>
      </w:rPr>
      <w:t>TecNM – Instituto Tecnológico Superior Progreso</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405" w:type="dxa"/>
      <w:jc w:val="left"/>
      <w:tblInd w:w="55" w:type="dxa"/>
      <w:tblLayout w:type="fixed"/>
      <w:tblCellMar>
        <w:top w:w="55" w:type="dxa"/>
        <w:left w:w="55" w:type="dxa"/>
        <w:bottom w:w="55" w:type="dxa"/>
        <w:right w:w="55" w:type="dxa"/>
      </w:tblCellMar>
    </w:tblPr>
    <w:tblGrid>
      <w:gridCol w:w="2481"/>
      <w:gridCol w:w="4142"/>
      <w:gridCol w:w="2782"/>
    </w:tblGrid>
    <w:tr>
      <w:trPr/>
      <w:tc>
        <w:tcPr>
          <w:tcW w:w="2481" w:type="dxa"/>
          <w:tcBorders/>
          <w:shd w:fill="auto" w:val="clear"/>
        </w:tcPr>
        <w:p>
          <w:pPr>
            <w:pStyle w:val="Contenidodelatabla"/>
            <w:widowControl w:val="false"/>
            <w:bidi w:val="0"/>
            <w:spacing w:before="0" w:after="0"/>
            <w:ind w:hanging="0"/>
            <w:jc w:val="left"/>
            <w:rPr/>
          </w:pPr>
          <w:r>
            <w:rPr>
              <w:rFonts w:ascii="Times new roman" w:hAnsi="Times new roman"/>
              <w:sz w:val="16"/>
              <w:szCs w:val="16"/>
            </w:rPr>
            <w:t>Recibido: 0</w:t>
          </w:r>
          <w:r>
            <w:rPr>
              <w:rFonts w:ascii="Times new roman" w:hAnsi="Times new roman"/>
              <w:sz w:val="16"/>
              <w:szCs w:val="16"/>
            </w:rPr>
            <w:t>4</w:t>
          </w:r>
          <w:r>
            <w:rPr>
              <w:rFonts w:ascii="Times new roman" w:hAnsi="Times new roman"/>
              <w:sz w:val="16"/>
              <w:szCs w:val="16"/>
            </w:rPr>
            <w:t>/Mayo/2024</w:t>
          </w:r>
        </w:p>
        <w:p>
          <w:pPr>
            <w:pStyle w:val="Contenidodelatabla"/>
            <w:widowControl w:val="false"/>
            <w:bidi w:val="0"/>
            <w:spacing w:before="0" w:after="0"/>
            <w:ind w:hanging="0"/>
            <w:jc w:val="left"/>
            <w:rPr/>
          </w:pPr>
          <w:r>
            <w:rPr>
              <w:rFonts w:ascii="Times new roman" w:hAnsi="Times new roman"/>
              <w:sz w:val="16"/>
              <w:szCs w:val="16"/>
            </w:rPr>
            <w:t xml:space="preserve">Aceptado: </w:t>
          </w:r>
          <w:r>
            <w:rPr>
              <w:rFonts w:ascii="Times new roman" w:hAnsi="Times new roman"/>
              <w:sz w:val="16"/>
              <w:szCs w:val="16"/>
            </w:rPr>
            <w:t>29</w:t>
          </w:r>
          <w:r>
            <w:rPr>
              <w:rFonts w:ascii="Times new roman" w:hAnsi="Times new roman"/>
              <w:sz w:val="16"/>
              <w:szCs w:val="16"/>
            </w:rPr>
            <w:t>/</w:t>
          </w:r>
          <w:r>
            <w:rPr>
              <w:rFonts w:ascii="Times new roman" w:hAnsi="Times new roman"/>
              <w:sz w:val="16"/>
              <w:szCs w:val="16"/>
            </w:rPr>
            <w:t>May</w:t>
          </w:r>
          <w:r>
            <w:rPr>
              <w:rFonts w:ascii="Times new roman" w:hAnsi="Times new roman"/>
              <w:sz w:val="16"/>
              <w:szCs w:val="16"/>
            </w:rPr>
            <w:t>o/2024</w:t>
          </w:r>
        </w:p>
      </w:tc>
      <w:tc>
        <w:tcPr>
          <w:tcW w:w="4142" w:type="dxa"/>
          <w:tcBorders/>
          <w:shd w:fill="auto" w:val="clear"/>
        </w:tcPr>
        <w:p>
          <w:pPr>
            <w:pStyle w:val="Contenidodelatabla"/>
            <w:widowControl w:val="false"/>
            <w:bidi w:val="0"/>
            <w:spacing w:before="120" w:after="60"/>
            <w:ind w:hanging="0"/>
            <w:jc w:val="center"/>
            <w:rPr/>
          </w:pPr>
          <w:r>
            <w:rPr>
              <w:rFonts w:eastAsia="Arial" w:cs="Arial" w:ascii="Cantarell" w:hAnsi="Cantarell"/>
              <w:sz w:val="16"/>
              <w:szCs w:val="16"/>
            </w:rPr>
            <w:t xml:space="preserve">© </w:t>
          </w:r>
          <w:r>
            <w:rPr>
              <w:rFonts w:ascii="Times new roman" w:hAnsi="Times new roman"/>
              <w:sz w:val="16"/>
              <w:szCs w:val="16"/>
            </w:rPr>
            <w:t>TecNM – Instituto Tecnológico Superior Progreso</w:t>
          </w:r>
        </w:p>
      </w:tc>
      <w:tc>
        <w:tcPr>
          <w:tcW w:w="2782" w:type="dxa"/>
          <w:tcBorders/>
          <w:shd w:fill="auto" w:val="clear"/>
        </w:tcPr>
        <w:p>
          <w:pPr>
            <w:pStyle w:val="Contenidodelatabla"/>
            <w:widowControl w:val="false"/>
            <w:bidi w:val="0"/>
            <w:spacing w:before="120" w:after="60"/>
            <w:jc w:val="left"/>
            <w:rPr/>
          </w:pPr>
          <w:r>
            <w:rPr/>
          </w:r>
        </w:p>
      </w:tc>
    </w:tr>
  </w:tbl>
  <w:p>
    <w:pPr>
      <w:pStyle w:val="Normal"/>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nidodelatabla"/>
      <w:bidi w:val="0"/>
      <w:spacing w:before="120" w:after="60"/>
      <w:ind w:hanging="0"/>
      <w:jc w:val="center"/>
      <w:rPr/>
    </w:pPr>
    <w:r>
      <w:rPr>
        <w:rFonts w:eastAsia="Arial" w:cs="Arial" w:ascii="Cantarell" w:hAnsi="Cantarell"/>
        <w:sz w:val="16"/>
        <w:szCs w:val="16"/>
      </w:rPr>
      <w:t xml:space="preserve">© </w:t>
    </w:r>
    <w:r>
      <w:rPr>
        <w:rFonts w:ascii="Times new roman" w:hAnsi="Times new roman"/>
        <w:sz w:val="16"/>
        <w:szCs w:val="16"/>
      </w:rPr>
      <w:t>TecNM – Instituto Tecnológico Superior Progreso</w: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nidodelatabla"/>
      <w:bidi w:val="0"/>
      <w:spacing w:before="120" w:after="60"/>
      <w:ind w:hanging="0"/>
      <w:jc w:val="center"/>
      <w:rPr/>
    </w:pPr>
    <w:r>
      <w:rPr>
        <w:rFonts w:eastAsia="Arial" w:cs="Arial" w:ascii="Cantarell" w:hAnsi="Cantarell"/>
        <w:sz w:val="16"/>
        <w:szCs w:val="16"/>
      </w:rPr>
      <w:t xml:space="preserve">© </w:t>
    </w:r>
    <w:r>
      <w:rPr>
        <w:rFonts w:ascii="Times new roman" w:hAnsi="Times new roman"/>
        <w:sz w:val="16"/>
        <w:szCs w:val="16"/>
      </w:rPr>
      <w:t>TecNM – Instituto Tecnológico Superior Progreso</w: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405" w:type="dxa"/>
      <w:jc w:val="left"/>
      <w:tblInd w:w="55" w:type="dxa"/>
      <w:tblLayout w:type="fixed"/>
      <w:tblCellMar>
        <w:top w:w="55" w:type="dxa"/>
        <w:left w:w="55" w:type="dxa"/>
        <w:bottom w:w="55" w:type="dxa"/>
        <w:right w:w="55" w:type="dxa"/>
      </w:tblCellMar>
    </w:tblPr>
    <w:tblGrid>
      <w:gridCol w:w="2481"/>
      <w:gridCol w:w="4142"/>
      <w:gridCol w:w="2782"/>
    </w:tblGrid>
    <w:tr>
      <w:trPr/>
      <w:tc>
        <w:tcPr>
          <w:tcW w:w="2481" w:type="dxa"/>
          <w:tcBorders/>
          <w:shd w:fill="auto" w:val="clear"/>
        </w:tcPr>
        <w:p>
          <w:pPr>
            <w:pStyle w:val="Contenidodelatabla"/>
            <w:widowControl w:val="false"/>
            <w:bidi w:val="0"/>
            <w:spacing w:before="0" w:after="0"/>
            <w:ind w:hanging="0"/>
            <w:jc w:val="left"/>
            <w:rPr/>
          </w:pPr>
          <w:r>
            <w:rPr>
              <w:rFonts w:ascii="Times new roman" w:hAnsi="Times new roman"/>
              <w:sz w:val="16"/>
              <w:szCs w:val="16"/>
            </w:rPr>
            <w:t>Recibido: 0</w:t>
          </w:r>
          <w:r>
            <w:rPr>
              <w:rFonts w:ascii="Times new roman" w:hAnsi="Times new roman"/>
              <w:sz w:val="16"/>
              <w:szCs w:val="16"/>
            </w:rPr>
            <w:t>4</w:t>
          </w:r>
          <w:r>
            <w:rPr>
              <w:rFonts w:ascii="Times new roman" w:hAnsi="Times new roman"/>
              <w:sz w:val="16"/>
              <w:szCs w:val="16"/>
            </w:rPr>
            <w:t>/Mayo/2024</w:t>
          </w:r>
        </w:p>
        <w:p>
          <w:pPr>
            <w:pStyle w:val="Contenidodelatabla"/>
            <w:widowControl w:val="false"/>
            <w:bidi w:val="0"/>
            <w:spacing w:before="0" w:after="0"/>
            <w:ind w:hanging="0"/>
            <w:jc w:val="left"/>
            <w:rPr/>
          </w:pPr>
          <w:r>
            <w:rPr>
              <w:rFonts w:ascii="Times new roman" w:hAnsi="Times new roman"/>
              <w:sz w:val="16"/>
              <w:szCs w:val="16"/>
            </w:rPr>
            <w:t xml:space="preserve">Aceptado: </w:t>
          </w:r>
          <w:r>
            <w:rPr>
              <w:rFonts w:ascii="Times new roman" w:hAnsi="Times new roman"/>
              <w:sz w:val="16"/>
              <w:szCs w:val="16"/>
            </w:rPr>
            <w:t>29</w:t>
          </w:r>
          <w:r>
            <w:rPr>
              <w:rFonts w:ascii="Times new roman" w:hAnsi="Times new roman"/>
              <w:sz w:val="16"/>
              <w:szCs w:val="16"/>
            </w:rPr>
            <w:t>/</w:t>
          </w:r>
          <w:r>
            <w:rPr>
              <w:rFonts w:ascii="Times new roman" w:hAnsi="Times new roman"/>
              <w:sz w:val="16"/>
              <w:szCs w:val="16"/>
            </w:rPr>
            <w:t>May</w:t>
          </w:r>
          <w:r>
            <w:rPr>
              <w:rFonts w:ascii="Times new roman" w:hAnsi="Times new roman"/>
              <w:sz w:val="16"/>
              <w:szCs w:val="16"/>
            </w:rPr>
            <w:t>o/2024</w:t>
          </w:r>
        </w:p>
      </w:tc>
      <w:tc>
        <w:tcPr>
          <w:tcW w:w="4142" w:type="dxa"/>
          <w:tcBorders/>
          <w:shd w:fill="auto" w:val="clear"/>
        </w:tcPr>
        <w:p>
          <w:pPr>
            <w:pStyle w:val="Contenidodelatabla"/>
            <w:widowControl w:val="false"/>
            <w:bidi w:val="0"/>
            <w:spacing w:before="120" w:after="60"/>
            <w:ind w:hanging="0"/>
            <w:jc w:val="center"/>
            <w:rPr/>
          </w:pPr>
          <w:r>
            <w:rPr>
              <w:rFonts w:eastAsia="Arial" w:cs="Arial" w:ascii="Cantarell" w:hAnsi="Cantarell"/>
              <w:sz w:val="16"/>
              <w:szCs w:val="16"/>
            </w:rPr>
            <w:t xml:space="preserve">© </w:t>
          </w:r>
          <w:r>
            <w:rPr>
              <w:rFonts w:ascii="Times new roman" w:hAnsi="Times new roman"/>
              <w:sz w:val="16"/>
              <w:szCs w:val="16"/>
            </w:rPr>
            <w:t>TecNM – Instituto Tecnológico Superior Progreso</w:t>
          </w:r>
        </w:p>
      </w:tc>
      <w:tc>
        <w:tcPr>
          <w:tcW w:w="2782" w:type="dxa"/>
          <w:tcBorders/>
          <w:shd w:fill="auto" w:val="clear"/>
        </w:tcPr>
        <w:p>
          <w:pPr>
            <w:pStyle w:val="Contenidodelatabla"/>
            <w:widowControl w:val="false"/>
            <w:bidi w:val="0"/>
            <w:spacing w:before="120" w:after="60"/>
            <w:jc w:val="left"/>
            <w:rPr/>
          </w:pPr>
          <w:r>
            <w:rPr/>
          </w:r>
        </w:p>
      </w:tc>
    </w:tr>
  </w:tbl>
  <w:p>
    <w:pPr>
      <w:pStyle w:val="Normal"/>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nidodelatabla"/>
      <w:bidi w:val="0"/>
      <w:spacing w:before="120" w:after="60"/>
      <w:ind w:hanging="0"/>
      <w:jc w:val="center"/>
      <w:rPr/>
    </w:pPr>
    <w:r>
      <w:rPr>
        <w:rFonts w:eastAsia="Arial" w:cs="Arial" w:ascii="Cantarell" w:hAnsi="Cantarell"/>
        <w:sz w:val="16"/>
        <w:szCs w:val="16"/>
      </w:rPr>
      <w:t xml:space="preserve">© </w:t>
    </w:r>
    <w:r>
      <w:rPr>
        <w:rFonts w:ascii="Times new roman" w:hAnsi="Times new roman"/>
        <w:sz w:val="16"/>
        <w:szCs w:val="16"/>
      </w:rPr>
      <w:t>TecNM – Instituto Tecnológico Superior Progreso</w:t>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nidodelatabla"/>
      <w:bidi w:val="0"/>
      <w:spacing w:before="120" w:after="60"/>
      <w:ind w:hanging="0"/>
      <w:jc w:val="center"/>
      <w:rPr/>
    </w:pPr>
    <w:r>
      <w:rPr>
        <w:rFonts w:eastAsia="Arial" w:cs="Arial" w:ascii="Cantarell" w:hAnsi="Cantarell"/>
        <w:sz w:val="16"/>
        <w:szCs w:val="16"/>
      </w:rPr>
      <w:t xml:space="preserve">© </w:t>
    </w:r>
    <w:r>
      <w:rPr>
        <w:rFonts w:ascii="Times new roman" w:hAnsi="Times new roman"/>
        <w:sz w:val="16"/>
        <w:szCs w:val="16"/>
      </w:rPr>
      <w:t>TecNM – Instituto Tecnológico Superior Progreso</w: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405" w:type="dxa"/>
      <w:jc w:val="left"/>
      <w:tblInd w:w="55" w:type="dxa"/>
      <w:tblLayout w:type="fixed"/>
      <w:tblCellMar>
        <w:top w:w="55" w:type="dxa"/>
        <w:left w:w="55" w:type="dxa"/>
        <w:bottom w:w="55" w:type="dxa"/>
        <w:right w:w="55" w:type="dxa"/>
      </w:tblCellMar>
    </w:tblPr>
    <w:tblGrid>
      <w:gridCol w:w="2481"/>
      <w:gridCol w:w="4142"/>
      <w:gridCol w:w="2782"/>
    </w:tblGrid>
    <w:tr>
      <w:trPr/>
      <w:tc>
        <w:tcPr>
          <w:tcW w:w="2481" w:type="dxa"/>
          <w:tcBorders/>
          <w:shd w:fill="auto" w:val="clear"/>
        </w:tcPr>
        <w:p>
          <w:pPr>
            <w:pStyle w:val="Contenidodelatabla"/>
            <w:widowControl w:val="false"/>
            <w:bidi w:val="0"/>
            <w:spacing w:before="0" w:after="0"/>
            <w:ind w:hanging="0"/>
            <w:jc w:val="left"/>
            <w:rPr/>
          </w:pPr>
          <w:r>
            <w:rPr>
              <w:rFonts w:ascii="Times new roman" w:hAnsi="Times new roman"/>
              <w:sz w:val="16"/>
              <w:szCs w:val="16"/>
            </w:rPr>
            <w:t>Recibido: 0</w:t>
          </w:r>
          <w:r>
            <w:rPr>
              <w:rFonts w:ascii="Times new roman" w:hAnsi="Times new roman"/>
              <w:sz w:val="16"/>
              <w:szCs w:val="16"/>
            </w:rPr>
            <w:t>4</w:t>
          </w:r>
          <w:r>
            <w:rPr>
              <w:rFonts w:ascii="Times new roman" w:hAnsi="Times new roman"/>
              <w:sz w:val="16"/>
              <w:szCs w:val="16"/>
            </w:rPr>
            <w:t>/Mayo/2024</w:t>
          </w:r>
        </w:p>
        <w:p>
          <w:pPr>
            <w:pStyle w:val="Contenidodelatabla"/>
            <w:widowControl w:val="false"/>
            <w:bidi w:val="0"/>
            <w:spacing w:before="0" w:after="0"/>
            <w:ind w:hanging="0"/>
            <w:jc w:val="left"/>
            <w:rPr/>
          </w:pPr>
          <w:r>
            <w:rPr>
              <w:rFonts w:ascii="Times new roman" w:hAnsi="Times new roman"/>
              <w:sz w:val="16"/>
              <w:szCs w:val="16"/>
            </w:rPr>
            <w:t xml:space="preserve">Aceptado: </w:t>
          </w:r>
          <w:r>
            <w:rPr>
              <w:rFonts w:ascii="Times new roman" w:hAnsi="Times new roman"/>
              <w:sz w:val="16"/>
              <w:szCs w:val="16"/>
            </w:rPr>
            <w:t>29</w:t>
          </w:r>
          <w:r>
            <w:rPr>
              <w:rFonts w:ascii="Times new roman" w:hAnsi="Times new roman"/>
              <w:sz w:val="16"/>
              <w:szCs w:val="16"/>
            </w:rPr>
            <w:t>/</w:t>
          </w:r>
          <w:r>
            <w:rPr>
              <w:rFonts w:ascii="Times new roman" w:hAnsi="Times new roman"/>
              <w:sz w:val="16"/>
              <w:szCs w:val="16"/>
            </w:rPr>
            <w:t>May</w:t>
          </w:r>
          <w:r>
            <w:rPr>
              <w:rFonts w:ascii="Times new roman" w:hAnsi="Times new roman"/>
              <w:sz w:val="16"/>
              <w:szCs w:val="16"/>
            </w:rPr>
            <w:t>o/2024</w:t>
          </w:r>
        </w:p>
      </w:tc>
      <w:tc>
        <w:tcPr>
          <w:tcW w:w="4142" w:type="dxa"/>
          <w:tcBorders/>
          <w:shd w:fill="auto" w:val="clear"/>
        </w:tcPr>
        <w:p>
          <w:pPr>
            <w:pStyle w:val="Contenidodelatabla"/>
            <w:widowControl w:val="false"/>
            <w:bidi w:val="0"/>
            <w:spacing w:before="120" w:after="60"/>
            <w:ind w:hanging="0"/>
            <w:jc w:val="center"/>
            <w:rPr/>
          </w:pPr>
          <w:r>
            <w:rPr>
              <w:rFonts w:eastAsia="Arial" w:cs="Arial" w:ascii="Cantarell" w:hAnsi="Cantarell"/>
              <w:sz w:val="16"/>
              <w:szCs w:val="16"/>
            </w:rPr>
            <w:t xml:space="preserve">© </w:t>
          </w:r>
          <w:r>
            <w:rPr>
              <w:rFonts w:ascii="Times new roman" w:hAnsi="Times new roman"/>
              <w:sz w:val="16"/>
              <w:szCs w:val="16"/>
            </w:rPr>
            <w:t>TecNM – Instituto Tecnológico Superior Progreso</w:t>
          </w:r>
        </w:p>
      </w:tc>
      <w:tc>
        <w:tcPr>
          <w:tcW w:w="2782" w:type="dxa"/>
          <w:tcBorders/>
          <w:shd w:fill="auto" w:val="clear"/>
        </w:tcPr>
        <w:p>
          <w:pPr>
            <w:pStyle w:val="Contenidodelatabla"/>
            <w:widowControl w:val="false"/>
            <w:bidi w:val="0"/>
            <w:spacing w:before="120" w:after="60"/>
            <w:jc w:val="left"/>
            <w:rPr/>
          </w:pPr>
          <w:r>
            <w:rPr/>
          </w:r>
        </w:p>
      </w:tc>
    </w:tr>
  </w:tbl>
  <w:p>
    <w:pPr>
      <w:pStyle w:val="Normal"/>
      <w:rPr/>
    </w:pPr>
    <w:r>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nidodelatabla"/>
      <w:bidi w:val="0"/>
      <w:spacing w:before="120" w:after="60"/>
      <w:ind w:hanging="0"/>
      <w:jc w:val="center"/>
      <w:rPr/>
    </w:pPr>
    <w:r>
      <w:rPr>
        <w:rFonts w:eastAsia="Arial" w:cs="Arial" w:ascii="Cantarell" w:hAnsi="Cantarell"/>
        <w:sz w:val="16"/>
        <w:szCs w:val="16"/>
      </w:rPr>
      <w:t xml:space="preserve">© </w:t>
    </w:r>
    <w:r>
      <w:rPr>
        <w:rFonts w:ascii="Times new roman" w:hAnsi="Times new roman"/>
        <w:sz w:val="16"/>
        <w:szCs w:val="16"/>
      </w:rPr>
      <w:t>TecNM – Instituto Tecnológico Superior Progreso</w:t>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nidodelatabla"/>
      <w:bidi w:val="0"/>
      <w:spacing w:before="120" w:after="60"/>
      <w:ind w:hanging="0"/>
      <w:jc w:val="center"/>
      <w:rPr/>
    </w:pPr>
    <w:r>
      <w:rPr>
        <w:rFonts w:eastAsia="Arial" w:cs="Arial" w:ascii="Cantarell" w:hAnsi="Cantarell"/>
        <w:sz w:val="16"/>
        <w:szCs w:val="16"/>
      </w:rPr>
      <w:t xml:space="preserve">© </w:t>
    </w:r>
    <w:r>
      <w:rPr>
        <w:rFonts w:ascii="Times new roman" w:hAnsi="Times new roman"/>
        <w:sz w:val="16"/>
        <w:szCs w:val="16"/>
      </w:rPr>
      <w:t>TecNM – Instituto Tecnológico Superior Progreso</w:t>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405" w:type="dxa"/>
      <w:jc w:val="left"/>
      <w:tblInd w:w="55" w:type="dxa"/>
      <w:tblLayout w:type="fixed"/>
      <w:tblCellMar>
        <w:top w:w="55" w:type="dxa"/>
        <w:left w:w="55" w:type="dxa"/>
        <w:bottom w:w="55" w:type="dxa"/>
        <w:right w:w="55" w:type="dxa"/>
      </w:tblCellMar>
    </w:tblPr>
    <w:tblGrid>
      <w:gridCol w:w="2481"/>
      <w:gridCol w:w="4142"/>
      <w:gridCol w:w="2782"/>
    </w:tblGrid>
    <w:tr>
      <w:trPr/>
      <w:tc>
        <w:tcPr>
          <w:tcW w:w="2481" w:type="dxa"/>
          <w:tcBorders/>
          <w:shd w:fill="auto" w:val="clear"/>
        </w:tcPr>
        <w:p>
          <w:pPr>
            <w:pStyle w:val="Contenidodelatabla"/>
            <w:widowControl w:val="false"/>
            <w:bidi w:val="0"/>
            <w:spacing w:before="0" w:after="0"/>
            <w:ind w:hanging="0"/>
            <w:jc w:val="left"/>
            <w:rPr/>
          </w:pPr>
          <w:r>
            <w:rPr>
              <w:rFonts w:ascii="Times new roman" w:hAnsi="Times new roman"/>
              <w:sz w:val="16"/>
              <w:szCs w:val="16"/>
            </w:rPr>
            <w:t>Recibido: 0</w:t>
          </w:r>
          <w:r>
            <w:rPr>
              <w:rFonts w:ascii="Times new roman" w:hAnsi="Times new roman"/>
              <w:sz w:val="16"/>
              <w:szCs w:val="16"/>
            </w:rPr>
            <w:t>4</w:t>
          </w:r>
          <w:r>
            <w:rPr>
              <w:rFonts w:ascii="Times new roman" w:hAnsi="Times new roman"/>
              <w:sz w:val="16"/>
              <w:szCs w:val="16"/>
            </w:rPr>
            <w:t>/Mayo/2024</w:t>
          </w:r>
        </w:p>
        <w:p>
          <w:pPr>
            <w:pStyle w:val="Contenidodelatabla"/>
            <w:widowControl w:val="false"/>
            <w:bidi w:val="0"/>
            <w:spacing w:before="0" w:after="0"/>
            <w:ind w:hanging="0"/>
            <w:jc w:val="left"/>
            <w:rPr/>
          </w:pPr>
          <w:r>
            <w:rPr>
              <w:rFonts w:ascii="Times new roman" w:hAnsi="Times new roman"/>
              <w:sz w:val="16"/>
              <w:szCs w:val="16"/>
            </w:rPr>
            <w:t xml:space="preserve">Aceptado: </w:t>
          </w:r>
          <w:r>
            <w:rPr>
              <w:rFonts w:ascii="Times new roman" w:hAnsi="Times new roman"/>
              <w:sz w:val="16"/>
              <w:szCs w:val="16"/>
            </w:rPr>
            <w:t>29</w:t>
          </w:r>
          <w:r>
            <w:rPr>
              <w:rFonts w:ascii="Times new roman" w:hAnsi="Times new roman"/>
              <w:sz w:val="16"/>
              <w:szCs w:val="16"/>
            </w:rPr>
            <w:t>/</w:t>
          </w:r>
          <w:r>
            <w:rPr>
              <w:rFonts w:ascii="Times new roman" w:hAnsi="Times new roman"/>
              <w:sz w:val="16"/>
              <w:szCs w:val="16"/>
            </w:rPr>
            <w:t>May</w:t>
          </w:r>
          <w:r>
            <w:rPr>
              <w:rFonts w:ascii="Times new roman" w:hAnsi="Times new roman"/>
              <w:sz w:val="16"/>
              <w:szCs w:val="16"/>
            </w:rPr>
            <w:t>o/2024</w:t>
          </w:r>
        </w:p>
      </w:tc>
      <w:tc>
        <w:tcPr>
          <w:tcW w:w="4142" w:type="dxa"/>
          <w:tcBorders/>
          <w:shd w:fill="auto" w:val="clear"/>
        </w:tcPr>
        <w:p>
          <w:pPr>
            <w:pStyle w:val="Contenidodelatabla"/>
            <w:widowControl w:val="false"/>
            <w:bidi w:val="0"/>
            <w:spacing w:before="120" w:after="60"/>
            <w:ind w:hanging="0"/>
            <w:jc w:val="center"/>
            <w:rPr/>
          </w:pPr>
          <w:r>
            <w:rPr>
              <w:rFonts w:eastAsia="Arial" w:cs="Arial" w:ascii="Cantarell" w:hAnsi="Cantarell"/>
              <w:sz w:val="16"/>
              <w:szCs w:val="16"/>
            </w:rPr>
            <w:t xml:space="preserve">© </w:t>
          </w:r>
          <w:r>
            <w:rPr>
              <w:rFonts w:ascii="Times new roman" w:hAnsi="Times new roman"/>
              <w:sz w:val="16"/>
              <w:szCs w:val="16"/>
            </w:rPr>
            <w:t>TecNM – Instituto Tecnológico Superior Progreso</w:t>
          </w:r>
        </w:p>
      </w:tc>
      <w:tc>
        <w:tcPr>
          <w:tcW w:w="2782" w:type="dxa"/>
          <w:tcBorders/>
          <w:shd w:fill="auto" w:val="clear"/>
        </w:tcPr>
        <w:p>
          <w:pPr>
            <w:pStyle w:val="Contenidodelatabla"/>
            <w:widowControl w:val="false"/>
            <w:bidi w:val="0"/>
            <w:spacing w:before="120" w:after="60"/>
            <w:jc w:val="left"/>
            <w:rPr/>
          </w:pPr>
          <w:r>
            <w:rPr/>
          </w:r>
        </w:p>
      </w:tc>
    </w:tr>
  </w:tbl>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widowControl/>
      <w:bidi w:val="0"/>
      <w:spacing w:lineRule="auto" w:line="259" w:before="0" w:after="160"/>
      <w:ind w:left="0" w:right="0" w:hanging="0"/>
      <w:jc w:val="center"/>
      <w:rPr/>
    </w:pPr>
    <w:r>
      <w:rPr>
        <w:rFonts w:ascii="Times new roman" w:hAnsi="Times new roman"/>
        <w:b w:val="false"/>
        <w:i/>
        <w:iCs/>
        <w:caps w:val="false"/>
        <w:smallCaps w:val="false"/>
        <w:spacing w:val="0"/>
        <w:sz w:val="16"/>
        <w:szCs w:val="16"/>
      </w:rPr>
      <w:t xml:space="preserve">Advances in Engineering and Innovation Vol. 9, No. 20, pp. </w:t>
    </w:r>
    <w:r>
      <w:rPr>
        <w:rFonts w:ascii="Times new roman" w:hAnsi="Times new roman"/>
        <w:b w:val="false"/>
        <w:i/>
        <w:iCs/>
        <w:caps w:val="false"/>
        <w:smallCaps w:val="false"/>
        <w:spacing w:val="0"/>
        <w:sz w:val="16"/>
        <w:szCs w:val="16"/>
      </w:rPr>
      <w:t>202</w:t>
    </w:r>
    <w:r>
      <w:rPr>
        <w:rFonts w:ascii="Times new roman" w:hAnsi="Times new roman"/>
        <w:b w:val="false"/>
        <w:i/>
        <w:iCs/>
        <w:caps w:val="false"/>
        <w:smallCaps w:val="false"/>
        <w:spacing w:val="0"/>
        <w:sz w:val="16"/>
        <w:szCs w:val="16"/>
      </w:rPr>
      <w:t>-</w:t>
    </w:r>
    <w:r>
      <w:rPr>
        <w:rFonts w:ascii="Times new roman" w:hAnsi="Times new roman"/>
        <w:b w:val="false"/>
        <w:i/>
        <w:iCs/>
        <w:caps w:val="false"/>
        <w:smallCaps w:val="false"/>
        <w:spacing w:val="0"/>
        <w:sz w:val="16"/>
        <w:szCs w:val="16"/>
      </w:rPr>
      <w:t>20</w:t>
    </w:r>
    <w:r>
      <w:rPr>
        <w:rFonts w:ascii="Times new roman" w:hAnsi="Times new roman"/>
        <w:b w:val="false"/>
        <w:i/>
        <w:iCs/>
        <w:caps w:val="false"/>
        <w:smallCaps w:val="false"/>
        <w:spacing w:val="0"/>
        <w:sz w:val="16"/>
        <w:szCs w:val="16"/>
      </w:rPr>
      <w:t>8</w:t>
    </w:r>
    <w:r>
      <w:rPr>
        <w:rFonts w:ascii="Times new roman" w:hAnsi="Times new roman"/>
        <w:b w:val="false"/>
        <w:i/>
        <w:iCs/>
        <w:caps w:val="false"/>
        <w:smallCaps w:val="false"/>
        <w:spacing w:val="0"/>
        <w:sz w:val="16"/>
        <w:szCs w:val="16"/>
      </w:rPr>
      <w:t>, Julio - Diciembre 2024</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widowControl/>
      <w:bidi w:val="0"/>
      <w:spacing w:lineRule="auto" w:line="259" w:before="0" w:after="160"/>
      <w:ind w:left="0" w:right="0" w:hanging="0"/>
      <w:jc w:val="center"/>
      <w:rPr/>
    </w:pPr>
    <w:r>
      <w:rPr>
        <w:rFonts w:ascii="Times new roman" w:hAnsi="Times new roman"/>
        <w:b w:val="false"/>
        <w:i/>
        <w:iCs/>
        <w:caps w:val="false"/>
        <w:smallCaps w:val="false"/>
        <w:spacing w:val="0"/>
        <w:sz w:val="16"/>
        <w:szCs w:val="16"/>
      </w:rPr>
      <w:t xml:space="preserve">Advances in Engineering and Innovation Vol. 9, No. 20, pp. </w:t>
    </w:r>
    <w:r>
      <w:rPr>
        <w:rFonts w:ascii="Times new roman" w:hAnsi="Times new roman"/>
        <w:b w:val="false"/>
        <w:i/>
        <w:iCs/>
        <w:caps w:val="false"/>
        <w:smallCaps w:val="false"/>
        <w:spacing w:val="0"/>
        <w:sz w:val="16"/>
        <w:szCs w:val="16"/>
      </w:rPr>
      <w:t>202</w:t>
    </w:r>
    <w:r>
      <w:rPr>
        <w:rFonts w:ascii="Times new roman" w:hAnsi="Times new roman"/>
        <w:b w:val="false"/>
        <w:i/>
        <w:iCs/>
        <w:caps w:val="false"/>
        <w:smallCaps w:val="false"/>
        <w:spacing w:val="0"/>
        <w:sz w:val="16"/>
        <w:szCs w:val="16"/>
      </w:rPr>
      <w:t>-</w:t>
    </w:r>
    <w:r>
      <w:rPr>
        <w:rFonts w:ascii="Times new roman" w:hAnsi="Times new roman"/>
        <w:b w:val="false"/>
        <w:i/>
        <w:iCs/>
        <w:caps w:val="false"/>
        <w:smallCaps w:val="false"/>
        <w:spacing w:val="0"/>
        <w:sz w:val="16"/>
        <w:szCs w:val="16"/>
      </w:rPr>
      <w:t>20</w:t>
    </w:r>
    <w:r>
      <w:rPr>
        <w:rFonts w:ascii="Times new roman" w:hAnsi="Times new roman"/>
        <w:b w:val="false"/>
        <w:i/>
        <w:iCs/>
        <w:caps w:val="false"/>
        <w:smallCaps w:val="false"/>
        <w:spacing w:val="0"/>
        <w:sz w:val="16"/>
        <w:szCs w:val="16"/>
      </w:rPr>
      <w:t>8</w:t>
    </w:r>
    <w:r>
      <w:rPr>
        <w:rFonts w:ascii="Times new roman" w:hAnsi="Times new roman"/>
        <w:b w:val="false"/>
        <w:i/>
        <w:iCs/>
        <w:caps w:val="false"/>
        <w:smallCaps w:val="false"/>
        <w:spacing w:val="0"/>
        <w:sz w:val="16"/>
        <w:szCs w:val="16"/>
      </w:rPr>
      <w:t>, Julio - Diciembre 2024</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a"/>
      <w:tblW w:w="11131" w:type="dxa"/>
      <w:jc w:val="left"/>
      <w:tblInd w:w="-833" w:type="dxa"/>
      <w:tblLayout w:type="fixed"/>
      <w:tblCellMar>
        <w:top w:w="100" w:type="dxa"/>
        <w:left w:w="100" w:type="dxa"/>
        <w:bottom w:w="100" w:type="dxa"/>
        <w:right w:w="100" w:type="dxa"/>
      </w:tblCellMar>
      <w:tblLook w:val="0600" w:noHBand="1" w:noVBand="1" w:firstColumn="0" w:lastRow="0" w:lastColumn="0" w:firstRow="0"/>
    </w:tblPr>
    <w:tblGrid>
      <w:gridCol w:w="3331"/>
      <w:gridCol w:w="4111"/>
      <w:gridCol w:w="3689"/>
    </w:tblGrid>
    <w:tr>
      <w:trPr>
        <w:trHeight w:val="420" w:hRule="atLeast"/>
      </w:trPr>
      <w:tc>
        <w:tcPr>
          <w:tcW w:w="3331" w:type="dxa"/>
          <w:tcBorders/>
          <w:shd w:fill="auto" w:val="clear"/>
        </w:tcPr>
        <w:p>
          <w:pPr>
            <w:pStyle w:val="Normal"/>
            <w:widowControl w:val="false"/>
            <w:bidi w:val="0"/>
            <w:spacing w:lineRule="auto" w:line="240" w:before="0" w:after="0"/>
            <w:ind w:left="0" w:right="0" w:hanging="0"/>
            <w:jc w:val="center"/>
            <w:rPr/>
          </w:pPr>
          <w:r>
            <w:rPr/>
            <w:drawing>
              <wp:inline distT="0" distB="0" distL="0" distR="0">
                <wp:extent cx="1685925" cy="800100"/>
                <wp:effectExtent l="0" t="0" r="0" b="0"/>
                <wp:docPr id="1" name="Imagen9" descr="AEI_ti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9" descr="AEI_time.png"/>
                        <pic:cNvPicPr>
                          <a:picLocks noChangeAspect="1" noChangeArrowheads="1"/>
                        </pic:cNvPicPr>
                      </pic:nvPicPr>
                      <pic:blipFill>
                        <a:blip r:embed="rId1"/>
                        <a:stretch>
                          <a:fillRect/>
                        </a:stretch>
                      </pic:blipFill>
                      <pic:spPr bwMode="auto">
                        <a:xfrm>
                          <a:off x="0" y="0"/>
                          <a:ext cx="1685925" cy="800100"/>
                        </a:xfrm>
                        <a:prstGeom prst="rect">
                          <a:avLst/>
                        </a:prstGeom>
                      </pic:spPr>
                    </pic:pic>
                  </a:graphicData>
                </a:graphic>
              </wp:inline>
            </w:drawing>
          </w:r>
        </w:p>
      </w:tc>
      <w:tc>
        <w:tcPr>
          <w:tcW w:w="4111" w:type="dxa"/>
          <w:tcBorders/>
          <w:shd w:fill="auto" w:val="clear"/>
        </w:tcPr>
        <w:p>
          <w:pPr>
            <w:pStyle w:val="Normal"/>
            <w:widowControl w:val="false"/>
            <w:tabs>
              <w:tab w:val="clear" w:pos="709"/>
              <w:tab w:val="center" w:pos="4419" w:leader="none"/>
              <w:tab w:val="right" w:pos="8838" w:leader="none"/>
            </w:tabs>
            <w:bidi w:val="0"/>
            <w:spacing w:lineRule="auto" w:line="240" w:before="0" w:after="0"/>
            <w:ind w:left="0" w:right="0" w:hanging="0"/>
            <w:jc w:val="center"/>
            <w:rPr>
              <w:rFonts w:ascii="Times new roman" w:hAnsi="Times new roman"/>
              <w:sz w:val="20"/>
              <w:szCs w:val="20"/>
            </w:rPr>
          </w:pPr>
          <w:r>
            <w:rPr>
              <w:rFonts w:ascii="Times new roman" w:hAnsi="Times new roman"/>
              <w:sz w:val="20"/>
              <w:szCs w:val="20"/>
            </w:rPr>
          </w:r>
        </w:p>
        <w:p>
          <w:pPr>
            <w:pStyle w:val="Normal"/>
            <w:widowControl w:val="false"/>
            <w:tabs>
              <w:tab w:val="clear" w:pos="709"/>
              <w:tab w:val="center" w:pos="4419" w:leader="none"/>
              <w:tab w:val="right" w:pos="8838" w:leader="none"/>
            </w:tabs>
            <w:bidi w:val="0"/>
            <w:spacing w:lineRule="auto" w:line="240" w:before="0" w:after="0"/>
            <w:ind w:left="0" w:right="0" w:hanging="0"/>
            <w:jc w:val="center"/>
            <w:rPr/>
          </w:pPr>
          <w:r>
            <w:rPr>
              <w:rFonts w:eastAsia="Times New Roman" w:cs="Times New Roman" w:ascii="Times new roman" w:hAnsi="Times new roman"/>
              <w:sz w:val="20"/>
              <w:szCs w:val="20"/>
            </w:rPr>
            <w:t>Advances in Engineering and Innovation</w:t>
          </w:r>
        </w:p>
        <w:p>
          <w:pPr>
            <w:pStyle w:val="Normal"/>
            <w:widowControl w:val="false"/>
            <w:tabs>
              <w:tab w:val="clear" w:pos="709"/>
              <w:tab w:val="center" w:pos="4419" w:leader="none"/>
              <w:tab w:val="right" w:pos="8838" w:leader="none"/>
            </w:tabs>
            <w:bidi w:val="0"/>
            <w:spacing w:lineRule="auto" w:line="240" w:before="0" w:after="0"/>
            <w:ind w:left="0" w:right="0" w:hanging="0"/>
            <w:jc w:val="center"/>
            <w:rPr/>
          </w:pPr>
          <w:r>
            <w:rPr>
              <w:rFonts w:eastAsia="Times New Roman" w:cs="Times New Roman" w:ascii="Times new roman" w:hAnsi="Times new roman"/>
              <w:sz w:val="20"/>
              <w:szCs w:val="20"/>
            </w:rPr>
            <w:t xml:space="preserve">Vol. 9, No. 20, pp. </w:t>
          </w:r>
          <w:r>
            <w:rPr>
              <w:rFonts w:eastAsia="Times New Roman" w:cs="Times New Roman" w:ascii="Times new roman" w:hAnsi="Times new roman"/>
              <w:sz w:val="20"/>
              <w:szCs w:val="20"/>
            </w:rPr>
            <w:t>202</w:t>
          </w:r>
          <w:r>
            <w:rPr>
              <w:rFonts w:eastAsia="Times New Roman" w:cs="Times New Roman" w:ascii="Times new roman" w:hAnsi="Times new roman"/>
              <w:sz w:val="20"/>
              <w:szCs w:val="20"/>
            </w:rPr>
            <w:t>-</w:t>
          </w:r>
          <w:r>
            <w:rPr>
              <w:rFonts w:eastAsia="Times New Roman" w:cs="Times New Roman" w:ascii="Times new roman" w:hAnsi="Times new roman"/>
              <w:sz w:val="20"/>
              <w:szCs w:val="20"/>
            </w:rPr>
            <w:t>20</w:t>
          </w:r>
          <w:r>
            <w:rPr>
              <w:rFonts w:eastAsia="Times New Roman" w:cs="Times New Roman" w:ascii="Times new roman" w:hAnsi="Times new roman"/>
              <w:sz w:val="20"/>
              <w:szCs w:val="20"/>
            </w:rPr>
            <w:t>8</w:t>
          </w:r>
        </w:p>
        <w:p>
          <w:pPr>
            <w:pStyle w:val="Normal"/>
            <w:widowControl w:val="false"/>
            <w:tabs>
              <w:tab w:val="clear" w:pos="709"/>
              <w:tab w:val="center" w:pos="4419" w:leader="none"/>
              <w:tab w:val="right" w:pos="8838" w:leader="none"/>
            </w:tabs>
            <w:bidi w:val="0"/>
            <w:spacing w:lineRule="auto" w:line="240" w:before="0" w:after="0"/>
            <w:ind w:left="0" w:right="0" w:hanging="0"/>
            <w:jc w:val="center"/>
            <w:rPr/>
          </w:pPr>
          <w:r>
            <w:rPr>
              <w:rFonts w:eastAsia="Times New Roman" w:cs="Times New Roman" w:ascii="Times new roman" w:hAnsi="Times new roman"/>
              <w:sz w:val="20"/>
              <w:szCs w:val="20"/>
            </w:rPr>
            <w:t>Julio - Diciembre 2024</w:t>
          </w:r>
        </w:p>
      </w:tc>
      <w:tc>
        <w:tcPr>
          <w:tcW w:w="3689" w:type="dxa"/>
          <w:tcBorders/>
          <w:shd w:fill="auto" w:val="clear"/>
        </w:tcPr>
        <w:p>
          <w:pPr>
            <w:pStyle w:val="Normal"/>
            <w:widowControl w:val="false"/>
            <w:tabs>
              <w:tab w:val="clear" w:pos="709"/>
              <w:tab w:val="center" w:pos="4419" w:leader="none"/>
              <w:tab w:val="right" w:pos="8838" w:leader="none"/>
            </w:tabs>
            <w:bidi w:val="0"/>
            <w:spacing w:lineRule="auto" w:line="240" w:before="0" w:after="0"/>
            <w:ind w:left="0" w:right="0" w:hanging="0"/>
            <w:jc w:val="right"/>
            <w:rPr>
              <w:rFonts w:ascii="Times new roman" w:hAnsi="Times new roman"/>
            </w:rPr>
          </w:pPr>
          <w:r>
            <w:rPr>
              <w:rFonts w:ascii="Times new roman" w:hAnsi="Times new roman"/>
            </w:rPr>
          </w:r>
        </w:p>
        <w:p>
          <w:pPr>
            <w:pStyle w:val="Normal"/>
            <w:widowControl w:val="false"/>
            <w:tabs>
              <w:tab w:val="clear" w:pos="709"/>
              <w:tab w:val="center" w:pos="4419" w:leader="none"/>
              <w:tab w:val="right" w:pos="8838" w:leader="none"/>
            </w:tabs>
            <w:bidi w:val="0"/>
            <w:spacing w:lineRule="auto" w:line="240" w:before="0" w:after="0"/>
            <w:ind w:left="0" w:right="0" w:hanging="0"/>
            <w:jc w:val="right"/>
            <w:rPr/>
          </w:pPr>
          <w:r>
            <w:rPr>
              <w:rStyle w:val="EnlacedeInternet"/>
              <w:rFonts w:eastAsia="Times New Roman" w:cs="Times New Roman" w:ascii="Times new roman" w:hAnsi="Times new roman"/>
              <w:color w:val="000000"/>
              <w:sz w:val="20"/>
              <w:szCs w:val="20"/>
              <w:u w:val="none"/>
            </w:rPr>
            <w:t>www.progreso.tecnm.mx/revistaAEI</w:t>
          </w:r>
        </w:p>
        <w:p>
          <w:pPr>
            <w:pStyle w:val="Normal"/>
            <w:widowControl w:val="false"/>
            <w:tabs>
              <w:tab w:val="clear" w:pos="709"/>
              <w:tab w:val="center" w:pos="4419" w:leader="none"/>
              <w:tab w:val="right" w:pos="8838" w:leader="none"/>
            </w:tabs>
            <w:bidi w:val="0"/>
            <w:spacing w:lineRule="auto" w:line="240" w:before="0" w:after="0"/>
            <w:ind w:left="0" w:right="0" w:hanging="0"/>
            <w:jc w:val="right"/>
            <w:rPr/>
          </w:pPr>
          <w:r>
            <w:rPr>
              <w:rFonts w:eastAsia="Times New Roman" w:cs="Times New Roman" w:ascii="Times new roman" w:hAnsi="Times new roman"/>
              <w:sz w:val="20"/>
              <w:szCs w:val="20"/>
            </w:rPr>
            <w:t>ISSN: 2448-685X</w:t>
          </w:r>
        </w:p>
      </w:tc>
    </w:tr>
  </w:tbl>
  <w:p>
    <w:pPr>
      <w:pStyle w:val="Normal"/>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widowControl/>
      <w:bidi w:val="0"/>
      <w:spacing w:lineRule="auto" w:line="259" w:before="0" w:after="160"/>
      <w:ind w:left="0" w:right="0" w:hanging="0"/>
      <w:jc w:val="center"/>
      <w:rPr/>
    </w:pPr>
    <w:r>
      <w:rPr>
        <w:rFonts w:ascii="Times new roman" w:hAnsi="Times new roman"/>
        <w:b w:val="false"/>
        <w:i/>
        <w:iCs/>
        <w:caps w:val="false"/>
        <w:smallCaps w:val="false"/>
        <w:spacing w:val="0"/>
        <w:sz w:val="16"/>
        <w:szCs w:val="16"/>
      </w:rPr>
      <w:t xml:space="preserve">Advances in Engineering and Innovation Vol. 9, No. 20, pp. </w:t>
    </w:r>
    <w:r>
      <w:rPr>
        <w:rFonts w:ascii="Times new roman" w:hAnsi="Times new roman"/>
        <w:b w:val="false"/>
        <w:i/>
        <w:iCs/>
        <w:caps w:val="false"/>
        <w:smallCaps w:val="false"/>
        <w:spacing w:val="0"/>
        <w:sz w:val="16"/>
        <w:szCs w:val="16"/>
      </w:rPr>
      <w:t>202</w:t>
    </w:r>
    <w:r>
      <w:rPr>
        <w:rFonts w:ascii="Times new roman" w:hAnsi="Times new roman"/>
        <w:b w:val="false"/>
        <w:i/>
        <w:iCs/>
        <w:caps w:val="false"/>
        <w:smallCaps w:val="false"/>
        <w:spacing w:val="0"/>
        <w:sz w:val="16"/>
        <w:szCs w:val="16"/>
      </w:rPr>
      <w:t>-</w:t>
    </w:r>
    <w:r>
      <w:rPr>
        <w:rFonts w:ascii="Times new roman" w:hAnsi="Times new roman"/>
        <w:b w:val="false"/>
        <w:i/>
        <w:iCs/>
        <w:caps w:val="false"/>
        <w:smallCaps w:val="false"/>
        <w:spacing w:val="0"/>
        <w:sz w:val="16"/>
        <w:szCs w:val="16"/>
      </w:rPr>
      <w:t>20</w:t>
    </w:r>
    <w:r>
      <w:rPr>
        <w:rFonts w:ascii="Times new roman" w:hAnsi="Times new roman"/>
        <w:b w:val="false"/>
        <w:i/>
        <w:iCs/>
        <w:caps w:val="false"/>
        <w:smallCaps w:val="false"/>
        <w:spacing w:val="0"/>
        <w:sz w:val="16"/>
        <w:szCs w:val="16"/>
      </w:rPr>
      <w:t>8</w:t>
    </w:r>
    <w:r>
      <w:rPr>
        <w:rFonts w:ascii="Times new roman" w:hAnsi="Times new roman"/>
        <w:b w:val="false"/>
        <w:i/>
        <w:iCs/>
        <w:caps w:val="false"/>
        <w:smallCaps w:val="false"/>
        <w:spacing w:val="0"/>
        <w:sz w:val="16"/>
        <w:szCs w:val="16"/>
      </w:rPr>
      <w:t>, Julio - Diciembre 2024</w: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widowControl/>
      <w:bidi w:val="0"/>
      <w:spacing w:lineRule="auto" w:line="259" w:before="0" w:after="160"/>
      <w:ind w:left="0" w:right="0" w:hanging="0"/>
      <w:jc w:val="center"/>
      <w:rPr/>
    </w:pPr>
    <w:r>
      <w:rPr>
        <w:rFonts w:ascii="Times new roman" w:hAnsi="Times new roman"/>
        <w:b w:val="false"/>
        <w:i/>
        <w:iCs/>
        <w:caps w:val="false"/>
        <w:smallCaps w:val="false"/>
        <w:spacing w:val="0"/>
        <w:sz w:val="16"/>
        <w:szCs w:val="16"/>
      </w:rPr>
      <w:t xml:space="preserve">Advances in Engineering and Innovation Vol. 9, No. 20, pp. </w:t>
    </w:r>
    <w:r>
      <w:rPr>
        <w:rFonts w:ascii="Times new roman" w:hAnsi="Times new roman"/>
        <w:b w:val="false"/>
        <w:i/>
        <w:iCs/>
        <w:caps w:val="false"/>
        <w:smallCaps w:val="false"/>
        <w:spacing w:val="0"/>
        <w:sz w:val="16"/>
        <w:szCs w:val="16"/>
      </w:rPr>
      <w:t>202</w:t>
    </w:r>
    <w:r>
      <w:rPr>
        <w:rFonts w:ascii="Times new roman" w:hAnsi="Times new roman"/>
        <w:b w:val="false"/>
        <w:i/>
        <w:iCs/>
        <w:caps w:val="false"/>
        <w:smallCaps w:val="false"/>
        <w:spacing w:val="0"/>
        <w:sz w:val="16"/>
        <w:szCs w:val="16"/>
      </w:rPr>
      <w:t>-</w:t>
    </w:r>
    <w:r>
      <w:rPr>
        <w:rFonts w:ascii="Times new roman" w:hAnsi="Times new roman"/>
        <w:b w:val="false"/>
        <w:i/>
        <w:iCs/>
        <w:caps w:val="false"/>
        <w:smallCaps w:val="false"/>
        <w:spacing w:val="0"/>
        <w:sz w:val="16"/>
        <w:szCs w:val="16"/>
      </w:rPr>
      <w:t>20</w:t>
    </w:r>
    <w:r>
      <w:rPr>
        <w:rFonts w:ascii="Times new roman" w:hAnsi="Times new roman"/>
        <w:b w:val="false"/>
        <w:i/>
        <w:iCs/>
        <w:caps w:val="false"/>
        <w:smallCaps w:val="false"/>
        <w:spacing w:val="0"/>
        <w:sz w:val="16"/>
        <w:szCs w:val="16"/>
      </w:rPr>
      <w:t>8</w:t>
    </w:r>
    <w:r>
      <w:rPr>
        <w:rFonts w:ascii="Times new roman" w:hAnsi="Times new roman"/>
        <w:b w:val="false"/>
        <w:i/>
        <w:iCs/>
        <w:caps w:val="false"/>
        <w:smallCaps w:val="false"/>
        <w:spacing w:val="0"/>
        <w:sz w:val="16"/>
        <w:szCs w:val="16"/>
      </w:rPr>
      <w:t>, Julio - Diciembre 2024</w:t>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a"/>
      <w:tblW w:w="11131" w:type="dxa"/>
      <w:jc w:val="left"/>
      <w:tblInd w:w="-833" w:type="dxa"/>
      <w:tblLayout w:type="fixed"/>
      <w:tblCellMar>
        <w:top w:w="100" w:type="dxa"/>
        <w:left w:w="100" w:type="dxa"/>
        <w:bottom w:w="100" w:type="dxa"/>
        <w:right w:w="100" w:type="dxa"/>
      </w:tblCellMar>
      <w:tblLook w:val="0600" w:noHBand="1" w:noVBand="1" w:firstColumn="0" w:lastRow="0" w:lastColumn="0" w:firstRow="0"/>
    </w:tblPr>
    <w:tblGrid>
      <w:gridCol w:w="3331"/>
      <w:gridCol w:w="4111"/>
      <w:gridCol w:w="3689"/>
    </w:tblGrid>
    <w:tr>
      <w:trPr>
        <w:trHeight w:val="420" w:hRule="atLeast"/>
      </w:trPr>
      <w:tc>
        <w:tcPr>
          <w:tcW w:w="3331" w:type="dxa"/>
          <w:tcBorders/>
          <w:shd w:fill="auto" w:val="clear"/>
        </w:tcPr>
        <w:p>
          <w:pPr>
            <w:pStyle w:val="Normal"/>
            <w:widowControl w:val="false"/>
            <w:bidi w:val="0"/>
            <w:spacing w:lineRule="auto" w:line="240" w:before="0" w:after="0"/>
            <w:ind w:left="0" w:right="0" w:hanging="0"/>
            <w:jc w:val="center"/>
            <w:rPr/>
          </w:pPr>
          <w:r>
            <w:rPr/>
            <w:drawing>
              <wp:inline distT="0" distB="0" distL="0" distR="0">
                <wp:extent cx="1685925" cy="800100"/>
                <wp:effectExtent l="0" t="0" r="0" b="0"/>
                <wp:docPr id="2" name="Imagen9" descr="AEI_ti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9" descr="AEI_time.png"/>
                        <pic:cNvPicPr>
                          <a:picLocks noChangeAspect="1" noChangeArrowheads="1"/>
                        </pic:cNvPicPr>
                      </pic:nvPicPr>
                      <pic:blipFill>
                        <a:blip r:embed="rId1"/>
                        <a:stretch>
                          <a:fillRect/>
                        </a:stretch>
                      </pic:blipFill>
                      <pic:spPr bwMode="auto">
                        <a:xfrm>
                          <a:off x="0" y="0"/>
                          <a:ext cx="1685925" cy="800100"/>
                        </a:xfrm>
                        <a:prstGeom prst="rect">
                          <a:avLst/>
                        </a:prstGeom>
                      </pic:spPr>
                    </pic:pic>
                  </a:graphicData>
                </a:graphic>
              </wp:inline>
            </w:drawing>
          </w:r>
        </w:p>
      </w:tc>
      <w:tc>
        <w:tcPr>
          <w:tcW w:w="4111" w:type="dxa"/>
          <w:tcBorders/>
          <w:shd w:fill="auto" w:val="clear"/>
        </w:tcPr>
        <w:p>
          <w:pPr>
            <w:pStyle w:val="Normal"/>
            <w:widowControl w:val="false"/>
            <w:tabs>
              <w:tab w:val="clear" w:pos="709"/>
              <w:tab w:val="center" w:pos="4419" w:leader="none"/>
              <w:tab w:val="right" w:pos="8838" w:leader="none"/>
            </w:tabs>
            <w:bidi w:val="0"/>
            <w:spacing w:lineRule="auto" w:line="240" w:before="0" w:after="0"/>
            <w:ind w:left="0" w:right="0" w:hanging="0"/>
            <w:jc w:val="center"/>
            <w:rPr>
              <w:rFonts w:ascii="Times new roman" w:hAnsi="Times new roman"/>
              <w:sz w:val="20"/>
              <w:szCs w:val="20"/>
            </w:rPr>
          </w:pPr>
          <w:r>
            <w:rPr>
              <w:rFonts w:ascii="Times new roman" w:hAnsi="Times new roman"/>
              <w:sz w:val="20"/>
              <w:szCs w:val="20"/>
            </w:rPr>
          </w:r>
        </w:p>
        <w:p>
          <w:pPr>
            <w:pStyle w:val="Normal"/>
            <w:widowControl w:val="false"/>
            <w:tabs>
              <w:tab w:val="clear" w:pos="709"/>
              <w:tab w:val="center" w:pos="4419" w:leader="none"/>
              <w:tab w:val="right" w:pos="8838" w:leader="none"/>
            </w:tabs>
            <w:bidi w:val="0"/>
            <w:spacing w:lineRule="auto" w:line="240" w:before="0" w:after="0"/>
            <w:ind w:left="0" w:right="0" w:hanging="0"/>
            <w:jc w:val="center"/>
            <w:rPr/>
          </w:pPr>
          <w:r>
            <w:rPr>
              <w:rFonts w:eastAsia="Times New Roman" w:cs="Times New Roman" w:ascii="Times new roman" w:hAnsi="Times new roman"/>
              <w:sz w:val="20"/>
              <w:szCs w:val="20"/>
            </w:rPr>
            <w:t>Advances in Engineering and Innovation</w:t>
          </w:r>
        </w:p>
        <w:p>
          <w:pPr>
            <w:pStyle w:val="Normal"/>
            <w:widowControl w:val="false"/>
            <w:tabs>
              <w:tab w:val="clear" w:pos="709"/>
              <w:tab w:val="center" w:pos="4419" w:leader="none"/>
              <w:tab w:val="right" w:pos="8838" w:leader="none"/>
            </w:tabs>
            <w:bidi w:val="0"/>
            <w:spacing w:lineRule="auto" w:line="240" w:before="0" w:after="0"/>
            <w:ind w:left="0" w:right="0" w:hanging="0"/>
            <w:jc w:val="center"/>
            <w:rPr/>
          </w:pPr>
          <w:r>
            <w:rPr>
              <w:rFonts w:eastAsia="Times New Roman" w:cs="Times New Roman" w:ascii="Times new roman" w:hAnsi="Times new roman"/>
              <w:sz w:val="20"/>
              <w:szCs w:val="20"/>
            </w:rPr>
            <w:t xml:space="preserve">Vol. 9, No. 20, pp. </w:t>
          </w:r>
          <w:r>
            <w:rPr>
              <w:rFonts w:eastAsia="Times New Roman" w:cs="Times New Roman" w:ascii="Times new roman" w:hAnsi="Times new roman"/>
              <w:sz w:val="20"/>
              <w:szCs w:val="20"/>
            </w:rPr>
            <w:t>202</w:t>
          </w:r>
          <w:r>
            <w:rPr>
              <w:rFonts w:eastAsia="Times New Roman" w:cs="Times New Roman" w:ascii="Times new roman" w:hAnsi="Times new roman"/>
              <w:sz w:val="20"/>
              <w:szCs w:val="20"/>
            </w:rPr>
            <w:t>-</w:t>
          </w:r>
          <w:r>
            <w:rPr>
              <w:rFonts w:eastAsia="Times New Roman" w:cs="Times New Roman" w:ascii="Times new roman" w:hAnsi="Times new roman"/>
              <w:sz w:val="20"/>
              <w:szCs w:val="20"/>
            </w:rPr>
            <w:t>20</w:t>
          </w:r>
          <w:r>
            <w:rPr>
              <w:rFonts w:eastAsia="Times New Roman" w:cs="Times New Roman" w:ascii="Times new roman" w:hAnsi="Times new roman"/>
              <w:sz w:val="20"/>
              <w:szCs w:val="20"/>
            </w:rPr>
            <w:t>8</w:t>
          </w:r>
        </w:p>
        <w:p>
          <w:pPr>
            <w:pStyle w:val="Normal"/>
            <w:widowControl w:val="false"/>
            <w:tabs>
              <w:tab w:val="clear" w:pos="709"/>
              <w:tab w:val="center" w:pos="4419" w:leader="none"/>
              <w:tab w:val="right" w:pos="8838" w:leader="none"/>
            </w:tabs>
            <w:bidi w:val="0"/>
            <w:spacing w:lineRule="auto" w:line="240" w:before="0" w:after="0"/>
            <w:ind w:left="0" w:right="0" w:hanging="0"/>
            <w:jc w:val="center"/>
            <w:rPr/>
          </w:pPr>
          <w:r>
            <w:rPr>
              <w:rFonts w:eastAsia="Times New Roman" w:cs="Times New Roman" w:ascii="Times new roman" w:hAnsi="Times new roman"/>
              <w:sz w:val="20"/>
              <w:szCs w:val="20"/>
            </w:rPr>
            <w:t>Julio - Diciembre 2024</w:t>
          </w:r>
        </w:p>
      </w:tc>
      <w:tc>
        <w:tcPr>
          <w:tcW w:w="3689" w:type="dxa"/>
          <w:tcBorders/>
          <w:shd w:fill="auto" w:val="clear"/>
        </w:tcPr>
        <w:p>
          <w:pPr>
            <w:pStyle w:val="Normal"/>
            <w:widowControl w:val="false"/>
            <w:tabs>
              <w:tab w:val="clear" w:pos="709"/>
              <w:tab w:val="center" w:pos="4419" w:leader="none"/>
              <w:tab w:val="right" w:pos="8838" w:leader="none"/>
            </w:tabs>
            <w:bidi w:val="0"/>
            <w:spacing w:lineRule="auto" w:line="240" w:before="0" w:after="0"/>
            <w:ind w:left="0" w:right="0" w:hanging="0"/>
            <w:jc w:val="right"/>
            <w:rPr>
              <w:rFonts w:ascii="Times new roman" w:hAnsi="Times new roman"/>
            </w:rPr>
          </w:pPr>
          <w:r>
            <w:rPr>
              <w:rFonts w:ascii="Times new roman" w:hAnsi="Times new roman"/>
            </w:rPr>
          </w:r>
        </w:p>
        <w:p>
          <w:pPr>
            <w:pStyle w:val="Normal"/>
            <w:widowControl w:val="false"/>
            <w:tabs>
              <w:tab w:val="clear" w:pos="709"/>
              <w:tab w:val="center" w:pos="4419" w:leader="none"/>
              <w:tab w:val="right" w:pos="8838" w:leader="none"/>
            </w:tabs>
            <w:bidi w:val="0"/>
            <w:spacing w:lineRule="auto" w:line="240" w:before="0" w:after="0"/>
            <w:ind w:left="0" w:right="0" w:hanging="0"/>
            <w:jc w:val="right"/>
            <w:rPr/>
          </w:pPr>
          <w:r>
            <w:rPr>
              <w:rStyle w:val="EnlacedeInternet"/>
              <w:rFonts w:eastAsia="Times New Roman" w:cs="Times New Roman" w:ascii="Times new roman" w:hAnsi="Times new roman"/>
              <w:color w:val="000000"/>
              <w:sz w:val="20"/>
              <w:szCs w:val="20"/>
              <w:u w:val="none"/>
            </w:rPr>
            <w:t>www.progreso.tecnm.mx/revistaAEI</w:t>
          </w:r>
        </w:p>
        <w:p>
          <w:pPr>
            <w:pStyle w:val="Normal"/>
            <w:widowControl w:val="false"/>
            <w:tabs>
              <w:tab w:val="clear" w:pos="709"/>
              <w:tab w:val="center" w:pos="4419" w:leader="none"/>
              <w:tab w:val="right" w:pos="8838" w:leader="none"/>
            </w:tabs>
            <w:bidi w:val="0"/>
            <w:spacing w:lineRule="auto" w:line="240" w:before="0" w:after="0"/>
            <w:ind w:left="0" w:right="0" w:hanging="0"/>
            <w:jc w:val="right"/>
            <w:rPr/>
          </w:pPr>
          <w:r>
            <w:rPr>
              <w:rFonts w:eastAsia="Times New Roman" w:cs="Times New Roman" w:ascii="Times new roman" w:hAnsi="Times new roman"/>
              <w:sz w:val="20"/>
              <w:szCs w:val="20"/>
            </w:rPr>
            <w:t>ISSN: 2448-685X</w:t>
          </w:r>
        </w:p>
      </w:tc>
    </w:tr>
  </w:tbl>
  <w:p>
    <w:pPr>
      <w:pStyle w:val="Normal"/>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widowControl/>
      <w:bidi w:val="0"/>
      <w:spacing w:lineRule="auto" w:line="259" w:before="0" w:after="160"/>
      <w:ind w:left="0" w:right="0" w:hanging="0"/>
      <w:jc w:val="center"/>
      <w:rPr/>
    </w:pPr>
    <w:r>
      <w:rPr>
        <w:rFonts w:ascii="Times new roman" w:hAnsi="Times new roman"/>
        <w:b w:val="false"/>
        <w:i/>
        <w:iCs/>
        <w:caps w:val="false"/>
        <w:smallCaps w:val="false"/>
        <w:spacing w:val="0"/>
        <w:sz w:val="16"/>
        <w:szCs w:val="16"/>
      </w:rPr>
      <w:t xml:space="preserve">Advances in Engineering and Innovation Vol. 9, No. 20, pp. </w:t>
    </w:r>
    <w:r>
      <w:rPr>
        <w:rFonts w:ascii="Times new roman" w:hAnsi="Times new roman"/>
        <w:b w:val="false"/>
        <w:i/>
        <w:iCs/>
        <w:caps w:val="false"/>
        <w:smallCaps w:val="false"/>
        <w:spacing w:val="0"/>
        <w:sz w:val="16"/>
        <w:szCs w:val="16"/>
      </w:rPr>
      <w:t>202</w:t>
    </w:r>
    <w:r>
      <w:rPr>
        <w:rFonts w:ascii="Times new roman" w:hAnsi="Times new roman"/>
        <w:b w:val="false"/>
        <w:i/>
        <w:iCs/>
        <w:caps w:val="false"/>
        <w:smallCaps w:val="false"/>
        <w:spacing w:val="0"/>
        <w:sz w:val="16"/>
        <w:szCs w:val="16"/>
      </w:rPr>
      <w:t>-</w:t>
    </w:r>
    <w:r>
      <w:rPr>
        <w:rFonts w:ascii="Times new roman" w:hAnsi="Times new roman"/>
        <w:b w:val="false"/>
        <w:i/>
        <w:iCs/>
        <w:caps w:val="false"/>
        <w:smallCaps w:val="false"/>
        <w:spacing w:val="0"/>
        <w:sz w:val="16"/>
        <w:szCs w:val="16"/>
      </w:rPr>
      <w:t>20</w:t>
    </w:r>
    <w:r>
      <w:rPr>
        <w:rFonts w:ascii="Times new roman" w:hAnsi="Times new roman"/>
        <w:b w:val="false"/>
        <w:i/>
        <w:iCs/>
        <w:caps w:val="false"/>
        <w:smallCaps w:val="false"/>
        <w:spacing w:val="0"/>
        <w:sz w:val="16"/>
        <w:szCs w:val="16"/>
      </w:rPr>
      <w:t>8</w:t>
    </w:r>
    <w:r>
      <w:rPr>
        <w:rFonts w:ascii="Times new roman" w:hAnsi="Times new roman"/>
        <w:b w:val="false"/>
        <w:i/>
        <w:iCs/>
        <w:caps w:val="false"/>
        <w:smallCaps w:val="false"/>
        <w:spacing w:val="0"/>
        <w:sz w:val="16"/>
        <w:szCs w:val="16"/>
      </w:rPr>
      <w:t>, Julio - Diciembre 2024</w:t>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widowControl/>
      <w:bidi w:val="0"/>
      <w:spacing w:lineRule="auto" w:line="259" w:before="0" w:after="160"/>
      <w:ind w:left="0" w:right="0" w:hanging="0"/>
      <w:jc w:val="center"/>
      <w:rPr/>
    </w:pPr>
    <w:r>
      <w:rPr>
        <w:rFonts w:ascii="Times new roman" w:hAnsi="Times new roman"/>
        <w:b w:val="false"/>
        <w:i/>
        <w:iCs/>
        <w:caps w:val="false"/>
        <w:smallCaps w:val="false"/>
        <w:spacing w:val="0"/>
        <w:sz w:val="16"/>
        <w:szCs w:val="16"/>
      </w:rPr>
      <w:t xml:space="preserve">Advances in Engineering and Innovation Vol. 9, No. 20, pp. </w:t>
    </w:r>
    <w:r>
      <w:rPr>
        <w:rFonts w:ascii="Times new roman" w:hAnsi="Times new roman"/>
        <w:b w:val="false"/>
        <w:i/>
        <w:iCs/>
        <w:caps w:val="false"/>
        <w:smallCaps w:val="false"/>
        <w:spacing w:val="0"/>
        <w:sz w:val="16"/>
        <w:szCs w:val="16"/>
      </w:rPr>
      <w:t>202</w:t>
    </w:r>
    <w:r>
      <w:rPr>
        <w:rFonts w:ascii="Times new roman" w:hAnsi="Times new roman"/>
        <w:b w:val="false"/>
        <w:i/>
        <w:iCs/>
        <w:caps w:val="false"/>
        <w:smallCaps w:val="false"/>
        <w:spacing w:val="0"/>
        <w:sz w:val="16"/>
        <w:szCs w:val="16"/>
      </w:rPr>
      <w:t>-</w:t>
    </w:r>
    <w:r>
      <w:rPr>
        <w:rFonts w:ascii="Times new roman" w:hAnsi="Times new roman"/>
        <w:b w:val="false"/>
        <w:i/>
        <w:iCs/>
        <w:caps w:val="false"/>
        <w:smallCaps w:val="false"/>
        <w:spacing w:val="0"/>
        <w:sz w:val="16"/>
        <w:szCs w:val="16"/>
      </w:rPr>
      <w:t>20</w:t>
    </w:r>
    <w:r>
      <w:rPr>
        <w:rFonts w:ascii="Times new roman" w:hAnsi="Times new roman"/>
        <w:b w:val="false"/>
        <w:i/>
        <w:iCs/>
        <w:caps w:val="false"/>
        <w:smallCaps w:val="false"/>
        <w:spacing w:val="0"/>
        <w:sz w:val="16"/>
        <w:szCs w:val="16"/>
      </w:rPr>
      <w:t>8</w:t>
    </w:r>
    <w:r>
      <w:rPr>
        <w:rFonts w:ascii="Times new roman" w:hAnsi="Times new roman"/>
        <w:b w:val="false"/>
        <w:i/>
        <w:iCs/>
        <w:caps w:val="false"/>
        <w:smallCaps w:val="false"/>
        <w:spacing w:val="0"/>
        <w:sz w:val="16"/>
        <w:szCs w:val="16"/>
      </w:rPr>
      <w:t>, Julio - Diciembre 2024</w:t>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a"/>
      <w:tblW w:w="11131" w:type="dxa"/>
      <w:jc w:val="left"/>
      <w:tblInd w:w="-833" w:type="dxa"/>
      <w:tblLayout w:type="fixed"/>
      <w:tblCellMar>
        <w:top w:w="100" w:type="dxa"/>
        <w:left w:w="100" w:type="dxa"/>
        <w:bottom w:w="100" w:type="dxa"/>
        <w:right w:w="100" w:type="dxa"/>
      </w:tblCellMar>
      <w:tblLook w:val="0600" w:noHBand="1" w:noVBand="1" w:firstColumn="0" w:lastRow="0" w:lastColumn="0" w:firstRow="0"/>
    </w:tblPr>
    <w:tblGrid>
      <w:gridCol w:w="3331"/>
      <w:gridCol w:w="4111"/>
      <w:gridCol w:w="3689"/>
    </w:tblGrid>
    <w:tr>
      <w:trPr>
        <w:trHeight w:val="420" w:hRule="atLeast"/>
      </w:trPr>
      <w:tc>
        <w:tcPr>
          <w:tcW w:w="3331" w:type="dxa"/>
          <w:tcBorders/>
          <w:shd w:fill="auto" w:val="clear"/>
        </w:tcPr>
        <w:p>
          <w:pPr>
            <w:pStyle w:val="Normal"/>
            <w:widowControl w:val="false"/>
            <w:bidi w:val="0"/>
            <w:spacing w:lineRule="auto" w:line="240" w:before="0" w:after="0"/>
            <w:ind w:left="0" w:right="0" w:hanging="0"/>
            <w:jc w:val="center"/>
            <w:rPr/>
          </w:pPr>
          <w:r>
            <w:rPr/>
            <w:drawing>
              <wp:inline distT="0" distB="0" distL="0" distR="0">
                <wp:extent cx="1685925" cy="800100"/>
                <wp:effectExtent l="0" t="0" r="0" b="0"/>
                <wp:docPr id="3" name="Imagen9" descr="AEI_ti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9" descr="AEI_time.png"/>
                        <pic:cNvPicPr>
                          <a:picLocks noChangeAspect="1" noChangeArrowheads="1"/>
                        </pic:cNvPicPr>
                      </pic:nvPicPr>
                      <pic:blipFill>
                        <a:blip r:embed="rId1"/>
                        <a:stretch>
                          <a:fillRect/>
                        </a:stretch>
                      </pic:blipFill>
                      <pic:spPr bwMode="auto">
                        <a:xfrm>
                          <a:off x="0" y="0"/>
                          <a:ext cx="1685925" cy="800100"/>
                        </a:xfrm>
                        <a:prstGeom prst="rect">
                          <a:avLst/>
                        </a:prstGeom>
                      </pic:spPr>
                    </pic:pic>
                  </a:graphicData>
                </a:graphic>
              </wp:inline>
            </w:drawing>
          </w:r>
        </w:p>
      </w:tc>
      <w:tc>
        <w:tcPr>
          <w:tcW w:w="4111" w:type="dxa"/>
          <w:tcBorders/>
          <w:shd w:fill="auto" w:val="clear"/>
        </w:tcPr>
        <w:p>
          <w:pPr>
            <w:pStyle w:val="Normal"/>
            <w:widowControl w:val="false"/>
            <w:tabs>
              <w:tab w:val="clear" w:pos="709"/>
              <w:tab w:val="center" w:pos="4419" w:leader="none"/>
              <w:tab w:val="right" w:pos="8838" w:leader="none"/>
            </w:tabs>
            <w:bidi w:val="0"/>
            <w:spacing w:lineRule="auto" w:line="240" w:before="0" w:after="0"/>
            <w:ind w:left="0" w:right="0" w:hanging="0"/>
            <w:jc w:val="center"/>
            <w:rPr>
              <w:rFonts w:ascii="Times new roman" w:hAnsi="Times new roman"/>
              <w:sz w:val="20"/>
              <w:szCs w:val="20"/>
            </w:rPr>
          </w:pPr>
          <w:r>
            <w:rPr>
              <w:rFonts w:ascii="Times new roman" w:hAnsi="Times new roman"/>
              <w:sz w:val="20"/>
              <w:szCs w:val="20"/>
            </w:rPr>
          </w:r>
        </w:p>
        <w:p>
          <w:pPr>
            <w:pStyle w:val="Normal"/>
            <w:widowControl w:val="false"/>
            <w:tabs>
              <w:tab w:val="clear" w:pos="709"/>
              <w:tab w:val="center" w:pos="4419" w:leader="none"/>
              <w:tab w:val="right" w:pos="8838" w:leader="none"/>
            </w:tabs>
            <w:bidi w:val="0"/>
            <w:spacing w:lineRule="auto" w:line="240" w:before="0" w:after="0"/>
            <w:ind w:left="0" w:right="0" w:hanging="0"/>
            <w:jc w:val="center"/>
            <w:rPr/>
          </w:pPr>
          <w:r>
            <w:rPr>
              <w:rFonts w:eastAsia="Times New Roman" w:cs="Times New Roman" w:ascii="Times new roman" w:hAnsi="Times new roman"/>
              <w:sz w:val="20"/>
              <w:szCs w:val="20"/>
            </w:rPr>
            <w:t>Advances in Engineering and Innovation</w:t>
          </w:r>
        </w:p>
        <w:p>
          <w:pPr>
            <w:pStyle w:val="Normal"/>
            <w:widowControl w:val="false"/>
            <w:tabs>
              <w:tab w:val="clear" w:pos="709"/>
              <w:tab w:val="center" w:pos="4419" w:leader="none"/>
              <w:tab w:val="right" w:pos="8838" w:leader="none"/>
            </w:tabs>
            <w:bidi w:val="0"/>
            <w:spacing w:lineRule="auto" w:line="240" w:before="0" w:after="0"/>
            <w:ind w:left="0" w:right="0" w:hanging="0"/>
            <w:jc w:val="center"/>
            <w:rPr/>
          </w:pPr>
          <w:r>
            <w:rPr>
              <w:rFonts w:eastAsia="Times New Roman" w:cs="Times New Roman" w:ascii="Times new roman" w:hAnsi="Times new roman"/>
              <w:sz w:val="20"/>
              <w:szCs w:val="20"/>
            </w:rPr>
            <w:t xml:space="preserve">Vol. 9, No. 20, pp. </w:t>
          </w:r>
          <w:r>
            <w:rPr>
              <w:rFonts w:eastAsia="Times New Roman" w:cs="Times New Roman" w:ascii="Times new roman" w:hAnsi="Times new roman"/>
              <w:sz w:val="20"/>
              <w:szCs w:val="20"/>
            </w:rPr>
            <w:t>202</w:t>
          </w:r>
          <w:r>
            <w:rPr>
              <w:rFonts w:eastAsia="Times New Roman" w:cs="Times New Roman" w:ascii="Times new roman" w:hAnsi="Times new roman"/>
              <w:sz w:val="20"/>
              <w:szCs w:val="20"/>
            </w:rPr>
            <w:t>-</w:t>
          </w:r>
          <w:r>
            <w:rPr>
              <w:rFonts w:eastAsia="Times New Roman" w:cs="Times New Roman" w:ascii="Times new roman" w:hAnsi="Times new roman"/>
              <w:sz w:val="20"/>
              <w:szCs w:val="20"/>
            </w:rPr>
            <w:t>20</w:t>
          </w:r>
          <w:r>
            <w:rPr>
              <w:rFonts w:eastAsia="Times New Roman" w:cs="Times New Roman" w:ascii="Times new roman" w:hAnsi="Times new roman"/>
              <w:sz w:val="20"/>
              <w:szCs w:val="20"/>
            </w:rPr>
            <w:t>8</w:t>
          </w:r>
        </w:p>
        <w:p>
          <w:pPr>
            <w:pStyle w:val="Normal"/>
            <w:widowControl w:val="false"/>
            <w:tabs>
              <w:tab w:val="clear" w:pos="709"/>
              <w:tab w:val="center" w:pos="4419" w:leader="none"/>
              <w:tab w:val="right" w:pos="8838" w:leader="none"/>
            </w:tabs>
            <w:bidi w:val="0"/>
            <w:spacing w:lineRule="auto" w:line="240" w:before="0" w:after="0"/>
            <w:ind w:left="0" w:right="0" w:hanging="0"/>
            <w:jc w:val="center"/>
            <w:rPr/>
          </w:pPr>
          <w:r>
            <w:rPr>
              <w:rFonts w:eastAsia="Times New Roman" w:cs="Times New Roman" w:ascii="Times new roman" w:hAnsi="Times new roman"/>
              <w:sz w:val="20"/>
              <w:szCs w:val="20"/>
            </w:rPr>
            <w:t>Julio - Diciembre 2024</w:t>
          </w:r>
        </w:p>
      </w:tc>
      <w:tc>
        <w:tcPr>
          <w:tcW w:w="3689" w:type="dxa"/>
          <w:tcBorders/>
          <w:shd w:fill="auto" w:val="clear"/>
        </w:tcPr>
        <w:p>
          <w:pPr>
            <w:pStyle w:val="Normal"/>
            <w:widowControl w:val="false"/>
            <w:tabs>
              <w:tab w:val="clear" w:pos="709"/>
              <w:tab w:val="center" w:pos="4419" w:leader="none"/>
              <w:tab w:val="right" w:pos="8838" w:leader="none"/>
            </w:tabs>
            <w:bidi w:val="0"/>
            <w:spacing w:lineRule="auto" w:line="240" w:before="0" w:after="0"/>
            <w:ind w:left="0" w:right="0" w:hanging="0"/>
            <w:jc w:val="right"/>
            <w:rPr>
              <w:rFonts w:ascii="Times new roman" w:hAnsi="Times new roman"/>
            </w:rPr>
          </w:pPr>
          <w:r>
            <w:rPr>
              <w:rFonts w:ascii="Times new roman" w:hAnsi="Times new roman"/>
            </w:rPr>
          </w:r>
        </w:p>
        <w:p>
          <w:pPr>
            <w:pStyle w:val="Normal"/>
            <w:widowControl w:val="false"/>
            <w:tabs>
              <w:tab w:val="clear" w:pos="709"/>
              <w:tab w:val="center" w:pos="4419" w:leader="none"/>
              <w:tab w:val="right" w:pos="8838" w:leader="none"/>
            </w:tabs>
            <w:bidi w:val="0"/>
            <w:spacing w:lineRule="auto" w:line="240" w:before="0" w:after="0"/>
            <w:ind w:left="0" w:right="0" w:hanging="0"/>
            <w:jc w:val="right"/>
            <w:rPr/>
          </w:pPr>
          <w:r>
            <w:rPr>
              <w:rStyle w:val="EnlacedeInternet"/>
              <w:rFonts w:eastAsia="Times New Roman" w:cs="Times New Roman" w:ascii="Times new roman" w:hAnsi="Times new roman"/>
              <w:color w:val="000000"/>
              <w:sz w:val="20"/>
              <w:szCs w:val="20"/>
              <w:u w:val="none"/>
            </w:rPr>
            <w:t>www.progreso.tecnm.mx/revistaAEI</w:t>
          </w:r>
        </w:p>
        <w:p>
          <w:pPr>
            <w:pStyle w:val="Normal"/>
            <w:widowControl w:val="false"/>
            <w:tabs>
              <w:tab w:val="clear" w:pos="709"/>
              <w:tab w:val="center" w:pos="4419" w:leader="none"/>
              <w:tab w:val="right" w:pos="8838" w:leader="none"/>
            </w:tabs>
            <w:bidi w:val="0"/>
            <w:spacing w:lineRule="auto" w:line="240" w:before="0" w:after="0"/>
            <w:ind w:left="0" w:right="0" w:hanging="0"/>
            <w:jc w:val="right"/>
            <w:rPr/>
          </w:pPr>
          <w:r>
            <w:rPr>
              <w:rFonts w:eastAsia="Times New Roman" w:cs="Times New Roman" w:ascii="Times new roman" w:hAnsi="Times new roman"/>
              <w:sz w:val="20"/>
              <w:szCs w:val="20"/>
            </w:rPr>
            <w:t>ISSN: 2448-685X</w:t>
          </w:r>
        </w:p>
      </w:tc>
    </w:tr>
  </w:tbl>
  <w:p>
    <w:pPr>
      <w:pStyle w:val="Normal"/>
      <w:rPr/>
    </w:pPr>
    <w:r>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widowControl/>
      <w:bidi w:val="0"/>
      <w:spacing w:lineRule="auto" w:line="259" w:before="0" w:after="160"/>
      <w:ind w:left="0" w:right="0" w:hanging="0"/>
      <w:jc w:val="center"/>
      <w:rPr/>
    </w:pPr>
    <w:r>
      <w:rPr>
        <w:rFonts w:ascii="Times new roman" w:hAnsi="Times new roman"/>
        <w:b w:val="false"/>
        <w:i/>
        <w:iCs/>
        <w:caps w:val="false"/>
        <w:smallCaps w:val="false"/>
        <w:spacing w:val="0"/>
        <w:sz w:val="16"/>
        <w:szCs w:val="16"/>
      </w:rPr>
      <w:t xml:space="preserve">Advances in Engineering and Innovation Vol. 9, No. 20, pp. </w:t>
    </w:r>
    <w:r>
      <w:rPr>
        <w:rFonts w:ascii="Times new roman" w:hAnsi="Times new roman"/>
        <w:b w:val="false"/>
        <w:i/>
        <w:iCs/>
        <w:caps w:val="false"/>
        <w:smallCaps w:val="false"/>
        <w:spacing w:val="0"/>
        <w:sz w:val="16"/>
        <w:szCs w:val="16"/>
      </w:rPr>
      <w:t>202</w:t>
    </w:r>
    <w:r>
      <w:rPr>
        <w:rFonts w:ascii="Times new roman" w:hAnsi="Times new roman"/>
        <w:b w:val="false"/>
        <w:i/>
        <w:iCs/>
        <w:caps w:val="false"/>
        <w:smallCaps w:val="false"/>
        <w:spacing w:val="0"/>
        <w:sz w:val="16"/>
        <w:szCs w:val="16"/>
      </w:rPr>
      <w:t>-</w:t>
    </w:r>
    <w:r>
      <w:rPr>
        <w:rFonts w:ascii="Times new roman" w:hAnsi="Times new roman"/>
        <w:b w:val="false"/>
        <w:i/>
        <w:iCs/>
        <w:caps w:val="false"/>
        <w:smallCaps w:val="false"/>
        <w:spacing w:val="0"/>
        <w:sz w:val="16"/>
        <w:szCs w:val="16"/>
      </w:rPr>
      <w:t>20</w:t>
    </w:r>
    <w:r>
      <w:rPr>
        <w:rFonts w:ascii="Times new roman" w:hAnsi="Times new roman"/>
        <w:b w:val="false"/>
        <w:i/>
        <w:iCs/>
        <w:caps w:val="false"/>
        <w:smallCaps w:val="false"/>
        <w:spacing w:val="0"/>
        <w:sz w:val="16"/>
        <w:szCs w:val="16"/>
      </w:rPr>
      <w:t>8</w:t>
    </w:r>
    <w:r>
      <w:rPr>
        <w:rFonts w:ascii="Times new roman" w:hAnsi="Times new roman"/>
        <w:b w:val="false"/>
        <w:i/>
        <w:iCs/>
        <w:caps w:val="false"/>
        <w:smallCaps w:val="false"/>
        <w:spacing w:val="0"/>
        <w:sz w:val="16"/>
        <w:szCs w:val="16"/>
      </w:rPr>
      <w:t>, Julio - Diciembre 2024</w:t>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widowControl/>
      <w:bidi w:val="0"/>
      <w:spacing w:lineRule="auto" w:line="259" w:before="0" w:after="160"/>
      <w:ind w:left="0" w:right="0" w:hanging="0"/>
      <w:jc w:val="center"/>
      <w:rPr/>
    </w:pPr>
    <w:r>
      <w:rPr>
        <w:rFonts w:ascii="Times new roman" w:hAnsi="Times new roman"/>
        <w:b w:val="false"/>
        <w:i/>
        <w:iCs/>
        <w:caps w:val="false"/>
        <w:smallCaps w:val="false"/>
        <w:spacing w:val="0"/>
        <w:sz w:val="16"/>
        <w:szCs w:val="16"/>
      </w:rPr>
      <w:t xml:space="preserve">Advances in Engineering and Innovation Vol. 9, No. 20, pp. </w:t>
    </w:r>
    <w:r>
      <w:rPr>
        <w:rFonts w:ascii="Times new roman" w:hAnsi="Times new roman"/>
        <w:b w:val="false"/>
        <w:i/>
        <w:iCs/>
        <w:caps w:val="false"/>
        <w:smallCaps w:val="false"/>
        <w:spacing w:val="0"/>
        <w:sz w:val="16"/>
        <w:szCs w:val="16"/>
      </w:rPr>
      <w:t>202</w:t>
    </w:r>
    <w:r>
      <w:rPr>
        <w:rFonts w:ascii="Times new roman" w:hAnsi="Times new roman"/>
        <w:b w:val="false"/>
        <w:i/>
        <w:iCs/>
        <w:caps w:val="false"/>
        <w:smallCaps w:val="false"/>
        <w:spacing w:val="0"/>
        <w:sz w:val="16"/>
        <w:szCs w:val="16"/>
      </w:rPr>
      <w:t>-</w:t>
    </w:r>
    <w:r>
      <w:rPr>
        <w:rFonts w:ascii="Times new roman" w:hAnsi="Times new roman"/>
        <w:b w:val="false"/>
        <w:i/>
        <w:iCs/>
        <w:caps w:val="false"/>
        <w:smallCaps w:val="false"/>
        <w:spacing w:val="0"/>
        <w:sz w:val="16"/>
        <w:szCs w:val="16"/>
      </w:rPr>
      <w:t>20</w:t>
    </w:r>
    <w:r>
      <w:rPr>
        <w:rFonts w:ascii="Times new roman" w:hAnsi="Times new roman"/>
        <w:b w:val="false"/>
        <w:i/>
        <w:iCs/>
        <w:caps w:val="false"/>
        <w:smallCaps w:val="false"/>
        <w:spacing w:val="0"/>
        <w:sz w:val="16"/>
        <w:szCs w:val="16"/>
      </w:rPr>
      <w:t>8</w:t>
    </w:r>
    <w:r>
      <w:rPr>
        <w:rFonts w:ascii="Times new roman" w:hAnsi="Times new roman"/>
        <w:b w:val="false"/>
        <w:i/>
        <w:iCs/>
        <w:caps w:val="false"/>
        <w:smallCaps w:val="false"/>
        <w:spacing w:val="0"/>
        <w:sz w:val="16"/>
        <w:szCs w:val="16"/>
      </w:rPr>
      <w:t>, Julio - Diciembre 2024</w:t>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a"/>
      <w:tblW w:w="11131" w:type="dxa"/>
      <w:jc w:val="left"/>
      <w:tblInd w:w="-833" w:type="dxa"/>
      <w:tblLayout w:type="fixed"/>
      <w:tblCellMar>
        <w:top w:w="100" w:type="dxa"/>
        <w:left w:w="100" w:type="dxa"/>
        <w:bottom w:w="100" w:type="dxa"/>
        <w:right w:w="100" w:type="dxa"/>
      </w:tblCellMar>
      <w:tblLook w:val="0600" w:noHBand="1" w:noVBand="1" w:firstColumn="0" w:lastRow="0" w:lastColumn="0" w:firstRow="0"/>
    </w:tblPr>
    <w:tblGrid>
      <w:gridCol w:w="3331"/>
      <w:gridCol w:w="4111"/>
      <w:gridCol w:w="3689"/>
    </w:tblGrid>
    <w:tr>
      <w:trPr>
        <w:trHeight w:val="420" w:hRule="atLeast"/>
      </w:trPr>
      <w:tc>
        <w:tcPr>
          <w:tcW w:w="3331" w:type="dxa"/>
          <w:tcBorders/>
          <w:shd w:fill="auto" w:val="clear"/>
        </w:tcPr>
        <w:p>
          <w:pPr>
            <w:pStyle w:val="Normal"/>
            <w:widowControl w:val="false"/>
            <w:bidi w:val="0"/>
            <w:spacing w:lineRule="auto" w:line="240" w:before="0" w:after="0"/>
            <w:ind w:left="0" w:right="0" w:hanging="0"/>
            <w:jc w:val="center"/>
            <w:rPr/>
          </w:pPr>
          <w:r>
            <w:rPr/>
            <w:drawing>
              <wp:inline distT="0" distB="0" distL="0" distR="0">
                <wp:extent cx="1685925" cy="800100"/>
                <wp:effectExtent l="0" t="0" r="0" b="0"/>
                <wp:docPr id="5" name="Imagen9" descr="AEI_ti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9" descr="AEI_time.png"/>
                        <pic:cNvPicPr>
                          <a:picLocks noChangeAspect="1" noChangeArrowheads="1"/>
                        </pic:cNvPicPr>
                      </pic:nvPicPr>
                      <pic:blipFill>
                        <a:blip r:embed="rId1"/>
                        <a:stretch>
                          <a:fillRect/>
                        </a:stretch>
                      </pic:blipFill>
                      <pic:spPr bwMode="auto">
                        <a:xfrm>
                          <a:off x="0" y="0"/>
                          <a:ext cx="1685925" cy="800100"/>
                        </a:xfrm>
                        <a:prstGeom prst="rect">
                          <a:avLst/>
                        </a:prstGeom>
                      </pic:spPr>
                    </pic:pic>
                  </a:graphicData>
                </a:graphic>
              </wp:inline>
            </w:drawing>
          </w:r>
        </w:p>
      </w:tc>
      <w:tc>
        <w:tcPr>
          <w:tcW w:w="4111" w:type="dxa"/>
          <w:tcBorders/>
          <w:shd w:fill="auto" w:val="clear"/>
        </w:tcPr>
        <w:p>
          <w:pPr>
            <w:pStyle w:val="Normal"/>
            <w:widowControl w:val="false"/>
            <w:tabs>
              <w:tab w:val="clear" w:pos="709"/>
              <w:tab w:val="center" w:pos="4419" w:leader="none"/>
              <w:tab w:val="right" w:pos="8838" w:leader="none"/>
            </w:tabs>
            <w:bidi w:val="0"/>
            <w:spacing w:lineRule="auto" w:line="240" w:before="0" w:after="0"/>
            <w:ind w:left="0" w:right="0" w:hanging="0"/>
            <w:jc w:val="center"/>
            <w:rPr>
              <w:rFonts w:ascii="Times new roman" w:hAnsi="Times new roman"/>
              <w:sz w:val="20"/>
              <w:szCs w:val="20"/>
            </w:rPr>
          </w:pPr>
          <w:r>
            <w:rPr>
              <w:rFonts w:ascii="Times new roman" w:hAnsi="Times new roman"/>
              <w:sz w:val="20"/>
              <w:szCs w:val="20"/>
            </w:rPr>
          </w:r>
        </w:p>
        <w:p>
          <w:pPr>
            <w:pStyle w:val="Normal"/>
            <w:widowControl w:val="false"/>
            <w:tabs>
              <w:tab w:val="clear" w:pos="709"/>
              <w:tab w:val="center" w:pos="4419" w:leader="none"/>
              <w:tab w:val="right" w:pos="8838" w:leader="none"/>
            </w:tabs>
            <w:bidi w:val="0"/>
            <w:spacing w:lineRule="auto" w:line="240" w:before="0" w:after="0"/>
            <w:ind w:left="0" w:right="0" w:hanging="0"/>
            <w:jc w:val="center"/>
            <w:rPr/>
          </w:pPr>
          <w:r>
            <w:rPr>
              <w:rFonts w:eastAsia="Times New Roman" w:cs="Times New Roman" w:ascii="Times new roman" w:hAnsi="Times new roman"/>
              <w:sz w:val="20"/>
              <w:szCs w:val="20"/>
            </w:rPr>
            <w:t>Advances in Engineering and Innovation</w:t>
          </w:r>
        </w:p>
        <w:p>
          <w:pPr>
            <w:pStyle w:val="Normal"/>
            <w:widowControl w:val="false"/>
            <w:tabs>
              <w:tab w:val="clear" w:pos="709"/>
              <w:tab w:val="center" w:pos="4419" w:leader="none"/>
              <w:tab w:val="right" w:pos="8838" w:leader="none"/>
            </w:tabs>
            <w:bidi w:val="0"/>
            <w:spacing w:lineRule="auto" w:line="240" w:before="0" w:after="0"/>
            <w:ind w:left="0" w:right="0" w:hanging="0"/>
            <w:jc w:val="center"/>
            <w:rPr/>
          </w:pPr>
          <w:r>
            <w:rPr>
              <w:rFonts w:eastAsia="Times New Roman" w:cs="Times New Roman" w:ascii="Times new roman" w:hAnsi="Times new roman"/>
              <w:sz w:val="20"/>
              <w:szCs w:val="20"/>
            </w:rPr>
            <w:t xml:space="preserve">Vol. 9, No. 20, pp. </w:t>
          </w:r>
          <w:r>
            <w:rPr>
              <w:rFonts w:eastAsia="Times New Roman" w:cs="Times New Roman" w:ascii="Times new roman" w:hAnsi="Times new roman"/>
              <w:sz w:val="20"/>
              <w:szCs w:val="20"/>
            </w:rPr>
            <w:t>202</w:t>
          </w:r>
          <w:r>
            <w:rPr>
              <w:rFonts w:eastAsia="Times New Roman" w:cs="Times New Roman" w:ascii="Times new roman" w:hAnsi="Times new roman"/>
              <w:sz w:val="20"/>
              <w:szCs w:val="20"/>
            </w:rPr>
            <w:t>-</w:t>
          </w:r>
          <w:r>
            <w:rPr>
              <w:rFonts w:eastAsia="Times New Roman" w:cs="Times New Roman" w:ascii="Times new roman" w:hAnsi="Times new roman"/>
              <w:sz w:val="20"/>
              <w:szCs w:val="20"/>
            </w:rPr>
            <w:t>20</w:t>
          </w:r>
          <w:r>
            <w:rPr>
              <w:rFonts w:eastAsia="Times New Roman" w:cs="Times New Roman" w:ascii="Times new roman" w:hAnsi="Times new roman"/>
              <w:sz w:val="20"/>
              <w:szCs w:val="20"/>
            </w:rPr>
            <w:t>8</w:t>
          </w:r>
        </w:p>
        <w:p>
          <w:pPr>
            <w:pStyle w:val="Normal"/>
            <w:widowControl w:val="false"/>
            <w:tabs>
              <w:tab w:val="clear" w:pos="709"/>
              <w:tab w:val="center" w:pos="4419" w:leader="none"/>
              <w:tab w:val="right" w:pos="8838" w:leader="none"/>
            </w:tabs>
            <w:bidi w:val="0"/>
            <w:spacing w:lineRule="auto" w:line="240" w:before="0" w:after="0"/>
            <w:ind w:left="0" w:right="0" w:hanging="0"/>
            <w:jc w:val="center"/>
            <w:rPr/>
          </w:pPr>
          <w:r>
            <w:rPr>
              <w:rFonts w:eastAsia="Times New Roman" w:cs="Times New Roman" w:ascii="Times new roman" w:hAnsi="Times new roman"/>
              <w:sz w:val="20"/>
              <w:szCs w:val="20"/>
            </w:rPr>
            <w:t>Julio - Diciembre 2024</w:t>
          </w:r>
        </w:p>
      </w:tc>
      <w:tc>
        <w:tcPr>
          <w:tcW w:w="3689" w:type="dxa"/>
          <w:tcBorders/>
          <w:shd w:fill="auto" w:val="clear"/>
        </w:tcPr>
        <w:p>
          <w:pPr>
            <w:pStyle w:val="Normal"/>
            <w:widowControl w:val="false"/>
            <w:tabs>
              <w:tab w:val="clear" w:pos="709"/>
              <w:tab w:val="center" w:pos="4419" w:leader="none"/>
              <w:tab w:val="right" w:pos="8838" w:leader="none"/>
            </w:tabs>
            <w:bidi w:val="0"/>
            <w:spacing w:lineRule="auto" w:line="240" w:before="0" w:after="0"/>
            <w:ind w:left="0" w:right="0" w:hanging="0"/>
            <w:jc w:val="right"/>
            <w:rPr>
              <w:rFonts w:ascii="Times new roman" w:hAnsi="Times new roman"/>
            </w:rPr>
          </w:pPr>
          <w:r>
            <w:rPr>
              <w:rFonts w:ascii="Times new roman" w:hAnsi="Times new roman"/>
            </w:rPr>
          </w:r>
        </w:p>
        <w:p>
          <w:pPr>
            <w:pStyle w:val="Normal"/>
            <w:widowControl w:val="false"/>
            <w:tabs>
              <w:tab w:val="clear" w:pos="709"/>
              <w:tab w:val="center" w:pos="4419" w:leader="none"/>
              <w:tab w:val="right" w:pos="8838" w:leader="none"/>
            </w:tabs>
            <w:bidi w:val="0"/>
            <w:spacing w:lineRule="auto" w:line="240" w:before="0" w:after="0"/>
            <w:ind w:left="0" w:right="0" w:hanging="0"/>
            <w:jc w:val="right"/>
            <w:rPr/>
          </w:pPr>
          <w:r>
            <w:rPr>
              <w:rStyle w:val="EnlacedeInternet"/>
              <w:rFonts w:eastAsia="Times New Roman" w:cs="Times New Roman" w:ascii="Times new roman" w:hAnsi="Times new roman"/>
              <w:color w:val="000000"/>
              <w:sz w:val="20"/>
              <w:szCs w:val="20"/>
              <w:u w:val="none"/>
            </w:rPr>
            <w:t>www.progreso.tecnm.mx/revistaAEI</w:t>
          </w:r>
        </w:p>
        <w:p>
          <w:pPr>
            <w:pStyle w:val="Normal"/>
            <w:widowControl w:val="false"/>
            <w:tabs>
              <w:tab w:val="clear" w:pos="709"/>
              <w:tab w:val="center" w:pos="4419" w:leader="none"/>
              <w:tab w:val="right" w:pos="8838" w:leader="none"/>
            </w:tabs>
            <w:bidi w:val="0"/>
            <w:spacing w:lineRule="auto" w:line="240" w:before="0" w:after="0"/>
            <w:ind w:left="0" w:right="0" w:hanging="0"/>
            <w:jc w:val="right"/>
            <w:rPr/>
          </w:pPr>
          <w:r>
            <w:rPr>
              <w:rFonts w:eastAsia="Times New Roman" w:cs="Times New Roman" w:ascii="Times new roman" w:hAnsi="Times new roman"/>
              <w:sz w:val="20"/>
              <w:szCs w:val="20"/>
            </w:rPr>
            <w:t>ISSN: 2448-685X</w:t>
          </w:r>
        </w:p>
      </w:tc>
    </w:tr>
  </w:tbl>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9"/>
  <w:autoHyphenation w:val="true"/>
  <w:evenAndOddHeaders/>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4"/>
        <w:szCs w:val="24"/>
        <w:lang w:val="es-MX"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oto Serif CJK SC" w:cs="Lohit Devanagari"/>
      <w:color w:val="auto"/>
      <w:kern w:val="2"/>
      <w:sz w:val="24"/>
      <w:szCs w:val="24"/>
      <w:lang w:val="es-MX" w:eastAsia="zh-CN" w:bidi="hi-IN"/>
    </w:rPr>
  </w:style>
  <w:style w:type="character" w:styleId="DefaultParagraphFont">
    <w:name w:val="Default Paragraph Font"/>
    <w:qFormat/>
    <w:rPr/>
  </w:style>
  <w:style w:type="character" w:styleId="EnlacedeInternet">
    <w:name w:val="Enlace de Internet"/>
    <w:basedOn w:val="DefaultParagraphFont"/>
    <w:rPr>
      <w:color w:val="0000FF" w:themeColor="hyperlink"/>
      <w:u w:val="single"/>
    </w:rPr>
  </w:style>
  <w:style w:type="paragraph" w:styleId="Ttulo">
    <w:name w:val="Título"/>
    <w:basedOn w:val="Normal"/>
    <w:next w:val="Cuerpodetexto"/>
    <w:qFormat/>
    <w:pPr>
      <w:keepNext w:val="true"/>
      <w:spacing w:before="240" w:after="120"/>
    </w:pPr>
    <w:rPr>
      <w:rFonts w:ascii="Liberation Sans" w:hAnsi="Liberation Sans" w:eastAsia="Noto Sans CJK SC" w:cs="Lohit Devanagari"/>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ohit Devanagari"/>
    </w:rPr>
  </w:style>
  <w:style w:type="paragraph" w:styleId="Ley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Textopreformateado">
    <w:name w:val="Texto preformateado"/>
    <w:basedOn w:val="Normal"/>
    <w:qFormat/>
    <w:pPr>
      <w:spacing w:before="0" w:after="0"/>
    </w:pPr>
    <w:rPr>
      <w:rFonts w:ascii="Liberation Mono" w:hAnsi="Liberation Mono" w:eastAsia="Noto Sans Mono CJK SC" w:cs="Liberation Mono"/>
      <w:sz w:val="20"/>
      <w:szCs w:val="20"/>
    </w:rPr>
  </w:style>
  <w:style w:type="paragraph" w:styleId="ListParagraph">
    <w:name w:val="List Paragraph"/>
    <w:basedOn w:val="Normal"/>
    <w:qFormat/>
    <w:pPr>
      <w:spacing w:before="0" w:after="160"/>
      <w:ind w:left="720" w:hanging="0"/>
      <w:contextualSpacing/>
    </w:pPr>
    <w:rPr/>
  </w:style>
  <w:style w:type="paragraph" w:styleId="Cabeceraypie">
    <w:name w:val="Cabecera y pie"/>
    <w:basedOn w:val="Normal"/>
    <w:qFormat/>
    <w:pPr>
      <w:suppressLineNumbers/>
      <w:tabs>
        <w:tab w:val="clear" w:pos="709"/>
        <w:tab w:val="center" w:pos="4703" w:leader="none"/>
        <w:tab w:val="right" w:pos="9406" w:leader="none"/>
      </w:tabs>
    </w:pPr>
    <w:rPr/>
  </w:style>
  <w:style w:type="paragraph" w:styleId="Cabecera">
    <w:name w:val="Header"/>
    <w:basedOn w:val="Cabeceraypie"/>
    <w:pPr>
      <w:suppressLineNumbers/>
    </w:pPr>
    <w:rPr/>
  </w:style>
  <w:style w:type="paragraph" w:styleId="Cabeceraizquierda">
    <w:name w:val="Cabecera izquierda"/>
    <w:basedOn w:val="Cabecera"/>
    <w:qFormat/>
    <w:pPr>
      <w:suppressLineNumbers/>
    </w:pPr>
    <w:rPr/>
  </w:style>
  <w:style w:type="paragraph" w:styleId="Piedepgina">
    <w:name w:val="Footer"/>
    <w:basedOn w:val="Cabeceraypie"/>
    <w:pPr>
      <w:suppressLineNumbers/>
    </w:pPr>
    <w:rPr/>
  </w:style>
  <w:style w:type="paragraph" w:styleId="Contenidodelatabla">
    <w:name w:val="Contenido de la tabla"/>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 Id="rId11" Type="http://schemas.openxmlformats.org/officeDocument/2006/relationships/footer" Target="footer4.xml"/><Relationship Id="rId12" Type="http://schemas.openxmlformats.org/officeDocument/2006/relationships/footer" Target="footer5.xml"/><Relationship Id="rId13" Type="http://schemas.openxmlformats.org/officeDocument/2006/relationships/footer" Target="foot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footer" Target="footer7.xml"/><Relationship Id="rId18" Type="http://schemas.openxmlformats.org/officeDocument/2006/relationships/footer" Target="footer8.xml"/><Relationship Id="rId19" Type="http://schemas.openxmlformats.org/officeDocument/2006/relationships/footer" Target="footer9.xml"/><Relationship Id="rId20" Type="http://schemas.openxmlformats.org/officeDocument/2006/relationships/image" Target="media/image4.png"/><Relationship Id="rId21" Type="http://schemas.openxmlformats.org/officeDocument/2006/relationships/header" Target="header10.xml"/><Relationship Id="rId22" Type="http://schemas.openxmlformats.org/officeDocument/2006/relationships/header" Target="header11.xml"/><Relationship Id="rId23" Type="http://schemas.openxmlformats.org/officeDocument/2006/relationships/header" Target="header12.xml"/><Relationship Id="rId24" Type="http://schemas.openxmlformats.org/officeDocument/2006/relationships/footer" Target="footer10.xml"/><Relationship Id="rId25" Type="http://schemas.openxmlformats.org/officeDocument/2006/relationships/footer" Target="footer11.xml"/><Relationship Id="rId26" Type="http://schemas.openxmlformats.org/officeDocument/2006/relationships/footer" Target="footer12.xml"/><Relationship Id="rId27" Type="http://schemas.openxmlformats.org/officeDocument/2006/relationships/numbering" Target="numbering.xml"/><Relationship Id="rId28" Type="http://schemas.openxmlformats.org/officeDocument/2006/relationships/fontTable" Target="fontTable.xml"/><Relationship Id="rId29" Type="http://schemas.openxmlformats.org/officeDocument/2006/relationships/settings" Target="settings.xml"/>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_rels/header6.xml.rels><?xml version="1.0" encoding="UTF-8"?>
<Relationships xmlns="http://schemas.openxmlformats.org/package/2006/relationships"><Relationship Id="rId1" Type="http://schemas.openxmlformats.org/officeDocument/2006/relationships/image" Target="media/image2.png"/>
</Relationships>
</file>

<file path=word/_rels/header9.xml.rels><?xml version="1.0" encoding="UTF-8"?>
<Relationships xmlns="http://schemas.openxmlformats.org/package/2006/relationships"><Relationship Id="rId1" Type="http://schemas.openxmlformats.org/officeDocument/2006/relationships/image" Target="media/image3.png"/>
</Relationships>
</file>

<file path=word/_rels/header12.xml.rels><?xml version="1.0" encoding="UTF-8"?>
<Relationships xmlns="http://schemas.openxmlformats.org/package/2006/relationships"><Relationship Id="rId1" Type="http://schemas.openxmlformats.org/officeDocument/2006/relationships/image" Target="media/image5.png"/>
</Relationships>
</file>

<file path=docProps/app.xml><?xml version="1.0" encoding="utf-8"?>
<Properties xmlns="http://schemas.openxmlformats.org/officeDocument/2006/extended-properties" xmlns:vt="http://schemas.openxmlformats.org/officeDocument/2006/docPropsVTypes">
  <Template/>
  <TotalTime>155</TotalTime>
  <Application>LibreOffice/7.0.4.2$Linux_X86_64 LibreOffice_project/00$Build-2</Application>
  <AppVersion>15.0000</AppVersion>
  <Pages>7</Pages>
  <Words>3294</Words>
  <Characters>18777</Characters>
  <CharactersWithSpaces>21959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2024-05-07T08:01:17Z</dcterms:created>
  <dc:creator/>
  <dc:description/>
  <dc:language>es-MX</dc:language>
  <cp:lastModifiedBy/>
  <dcterms:modified xsi:type="dcterms:W3CDTF">2024-07-26T12:07:44Z</dcterms:modified>
  <cp:revision>33</cp:revision>
  <dc:subject/>
  <dc:title/>
</cp:coreProperties>
</file>

<file path=docProps/custom.xml><?xml version="1.0" encoding="utf-8"?>
<Properties xmlns="http://schemas.openxmlformats.org/officeDocument/2006/custom-properties" xmlns:vt="http://schemas.openxmlformats.org/officeDocument/2006/docPropsVTypes"/>
</file>