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6.xml.rels" ContentType="application/vnd.openxmlformats-package.relationships+xml"/>
  <Override PartName="/word/_rels/header3.xml.rels" ContentType="application/vnd.openxmlformats-package.relationships+xml"/>
  <Override PartName="/word/_rels/document.xml.rels" ContentType="application/vnd.openxmlformats-package.relationships+xml"/>
  <Override PartName="/word/_rels/header9.xml.rels" ContentType="application/vnd.openxmlformats-package.relationships+xml"/>
  <Override PartName="/word/_rels/header12.xml.rels" ContentType="application/vnd.openxmlformats-package.relationships+xml"/>
  <Override PartName="/word/footer12.xml" ContentType="application/vnd.openxmlformats-officedocument.wordprocessingml.footer+xml"/>
  <Override PartName="/word/footer6.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9.png" ContentType="image/png"/>
  <Override PartName="/word/media/image14.png" ContentType="image/png"/>
  <Override PartName="/word/media/image1.png" ContentType="image/png"/>
  <Override PartName="/word/media/image2.png" ContentType="image/png"/>
  <Override PartName="/word/media/image3.png" ContentType="image/png"/>
  <Override PartName="/word/media/image4.png" ContentType="image/png"/>
  <Override PartName="/word/media/image5.jpeg" ContentType="image/jpeg"/>
  <Override PartName="/word/media/image10.jpeg" ContentType="image/jpeg"/>
  <Override PartName="/word/media/image6.jpeg" ContentType="image/jpeg"/>
  <Override PartName="/word/media/image8.png" ContentType="image/png"/>
  <Override PartName="/word/media/image7.jpeg" ContentType="image/jpeg"/>
  <Override PartName="/word/media/image11.png" ContentType="image/png"/>
  <Override PartName="/word/media/image13.png" ContentType="image/png"/>
  <Override PartName="/word/media/image12.jpeg" ContentType="image/jpeg"/>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header1.xml" ContentType="application/vnd.openxmlformats-officedocument.wordprocessingml.header+xml"/>
  <Override PartName="/word/footer11.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oter8.xml" ContentType="application/vnd.openxmlformats-officedocument.wordprocessingml.footer+xml"/>
  <Override PartName="/word/fontTable.xml" ContentType="application/vnd.openxmlformats-officedocument.wordprocessingml.fontTabl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numbering.xml" ContentType="application/vnd.openxmlformats-officedocument.wordprocessingml.numbering+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4.xml" ContentType="application/vnd.openxmlformats-officedocument.wordprocessingml.footer+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ind w:left="0" w:right="0" w:hanging="0"/>
        <w:jc w:val="center"/>
        <w:rPr>
          <w:rFonts w:ascii="Times New Roman" w:hAnsi="Times New Roman"/>
          <w:b w:val="false"/>
          <w:b w:val="false"/>
          <w:bCs w:val="false"/>
          <w:sz w:val="44"/>
          <w:szCs w:val="44"/>
        </w:rPr>
      </w:pPr>
      <w:r>
        <w:rPr>
          <w:rFonts w:cs="Times New Roman" w:ascii="Times New Roman" w:hAnsi="Times New Roman"/>
          <w:b w:val="false"/>
          <w:bCs w:val="false"/>
          <w:sz w:val="44"/>
          <w:szCs w:val="44"/>
        </w:rPr>
        <w:t>Por la equ</w:t>
      </w:r>
      <w:r>
        <w:rPr>
          <w:rFonts w:cs="Times New Roman" w:ascii="Times New Roman" w:hAnsi="Times New Roman"/>
          <w:b w:val="false"/>
          <w:bCs w:val="false"/>
          <w:sz w:val="44"/>
          <w:szCs w:val="44"/>
        </w:rPr>
        <w:t>i</w:t>
      </w:r>
      <w:r>
        <w:rPr>
          <w:rFonts w:cs="Times New Roman" w:ascii="Times New Roman" w:hAnsi="Times New Roman"/>
          <w:b w:val="false"/>
          <w:bCs w:val="false"/>
          <w:sz w:val="44"/>
          <w:szCs w:val="44"/>
        </w:rPr>
        <w:t>dad y la inclusión en ingeniería a través del arte</w:t>
      </w:r>
      <w:r>
        <w:rPr>
          <w:rFonts w:cs="Times New Roman" w:ascii="Times New Roman" w:hAnsi="Times New Roman"/>
          <w:b w:val="false"/>
          <w:bCs w:val="false"/>
          <w:sz w:val="44"/>
          <w:szCs w:val="44"/>
          <w:lang w:val="en-US"/>
        </w:rPr>
        <w:t xml:space="preserve"> </w:t>
      </w:r>
      <w:r>
        <w:rPr>
          <w:rFonts w:cs="Times New Roman" w:ascii="Times New Roman" w:hAnsi="Times New Roman"/>
          <w:b w:val="false"/>
          <w:bCs w:val="false"/>
          <w:sz w:val="44"/>
          <w:szCs w:val="44"/>
          <w:lang w:val="en-US"/>
        </w:rPr>
        <w:t>G</w:t>
      </w:r>
      <w:r>
        <w:rPr>
          <w:rFonts w:cs="Times New Roman" w:ascii="Times New Roman" w:hAnsi="Times New Roman"/>
          <w:b w:val="false"/>
          <w:bCs w:val="false"/>
          <w:sz w:val="44"/>
          <w:szCs w:val="44"/>
          <w:lang w:val="en-US"/>
        </w:rPr>
        <w:t xml:space="preserve">lobal </w:t>
      </w:r>
      <w:r>
        <w:rPr>
          <w:rFonts w:cs="Times New Roman" w:ascii="Times New Roman" w:hAnsi="Times New Roman"/>
          <w:b w:val="false"/>
          <w:bCs w:val="false"/>
          <w:sz w:val="44"/>
          <w:szCs w:val="44"/>
          <w:lang w:val="en-US"/>
        </w:rPr>
        <w:t>W</w:t>
      </w:r>
      <w:r>
        <w:rPr>
          <w:rFonts w:cs="Times New Roman" w:ascii="Times New Roman" w:hAnsi="Times New Roman"/>
          <w:b w:val="false"/>
          <w:bCs w:val="false"/>
          <w:sz w:val="44"/>
          <w:szCs w:val="44"/>
          <w:lang w:val="en-US"/>
        </w:rPr>
        <w:t xml:space="preserve">omen </w:t>
      </w:r>
      <w:r>
        <w:rPr>
          <w:rFonts w:cs="Times New Roman" w:ascii="Times New Roman" w:hAnsi="Times New Roman"/>
          <w:b w:val="false"/>
          <w:bCs w:val="false"/>
          <w:sz w:val="44"/>
          <w:szCs w:val="44"/>
          <w:lang w:val="en-US"/>
        </w:rPr>
        <w:t>B</w:t>
      </w:r>
      <w:r>
        <w:rPr>
          <w:rFonts w:cs="Times New Roman" w:ascii="Times New Roman" w:hAnsi="Times New Roman"/>
          <w:b w:val="false"/>
          <w:bCs w:val="false"/>
          <w:sz w:val="44"/>
          <w:szCs w:val="44"/>
          <w:lang w:val="en-US"/>
        </w:rPr>
        <w:t>reakfast-</w:t>
      </w:r>
      <w:r>
        <w:rPr>
          <w:rFonts w:cs="Times New Roman" w:ascii="Times New Roman" w:hAnsi="Times New Roman"/>
          <w:b w:val="false"/>
          <w:bCs w:val="false"/>
          <w:sz w:val="44"/>
          <w:szCs w:val="44"/>
          <w:lang w:val="en-US"/>
        </w:rPr>
        <w:t>I</w:t>
      </w:r>
      <w:r>
        <w:rPr>
          <w:rFonts w:eastAsia="Times New Roman" w:cs="Times New Roman" w:ascii="Times New Roman" w:hAnsi="Times New Roman"/>
          <w:b w:val="false"/>
          <w:bCs w:val="false"/>
          <w:sz w:val="44"/>
          <w:szCs w:val="44"/>
          <w:lang w:val="en-US"/>
        </w:rPr>
        <w:t xml:space="preserve">nternational </w:t>
      </w:r>
      <w:r>
        <w:rPr>
          <w:rFonts w:eastAsia="Times New Roman" w:cs="Times New Roman" w:ascii="Times New Roman" w:hAnsi="Times New Roman"/>
          <w:b w:val="false"/>
          <w:bCs w:val="false"/>
          <w:sz w:val="44"/>
          <w:szCs w:val="44"/>
          <w:lang w:val="en-US"/>
        </w:rPr>
        <w:t>U</w:t>
      </w:r>
      <w:r>
        <w:rPr>
          <w:rFonts w:eastAsia="Times New Roman" w:cs="Times New Roman" w:ascii="Times New Roman" w:hAnsi="Times New Roman"/>
          <w:b w:val="false"/>
          <w:bCs w:val="false"/>
          <w:sz w:val="44"/>
          <w:szCs w:val="44"/>
          <w:lang w:val="en-US"/>
        </w:rPr>
        <w:t xml:space="preserve">nion of </w:t>
      </w:r>
      <w:r>
        <w:rPr>
          <w:rFonts w:eastAsia="Times New Roman" w:cs="Times New Roman" w:ascii="Times New Roman" w:hAnsi="Times New Roman"/>
          <w:b w:val="false"/>
          <w:bCs w:val="false"/>
          <w:sz w:val="44"/>
          <w:szCs w:val="44"/>
          <w:lang w:val="en-US"/>
        </w:rPr>
        <w:t>P</w:t>
      </w:r>
      <w:r>
        <w:rPr>
          <w:rFonts w:eastAsia="Times New Roman" w:cs="Times New Roman" w:ascii="Times New Roman" w:hAnsi="Times New Roman"/>
          <w:b w:val="false"/>
          <w:bCs w:val="false"/>
          <w:sz w:val="44"/>
          <w:szCs w:val="44"/>
          <w:lang w:val="en-US"/>
        </w:rPr>
        <w:t xml:space="preserve">ure and </w:t>
      </w:r>
      <w:r>
        <w:rPr>
          <w:rFonts w:eastAsia="Times New Roman" w:cs="Times New Roman" w:ascii="Times New Roman" w:hAnsi="Times New Roman"/>
          <w:b w:val="false"/>
          <w:bCs w:val="false"/>
          <w:sz w:val="44"/>
          <w:szCs w:val="44"/>
          <w:lang w:val="en-US"/>
        </w:rPr>
        <w:t>A</w:t>
      </w:r>
      <w:r>
        <w:rPr>
          <w:rFonts w:eastAsia="Times New Roman" w:cs="Times New Roman" w:ascii="Times New Roman" w:hAnsi="Times New Roman"/>
          <w:b w:val="false"/>
          <w:bCs w:val="false"/>
          <w:sz w:val="44"/>
          <w:szCs w:val="44"/>
          <w:lang w:val="en-US"/>
        </w:rPr>
        <w:t xml:space="preserve">pplied </w:t>
      </w:r>
      <w:r>
        <w:rPr>
          <w:rFonts w:eastAsia="Times New Roman" w:cs="Times New Roman" w:ascii="Times New Roman" w:hAnsi="Times New Roman"/>
          <w:b w:val="false"/>
          <w:bCs w:val="false"/>
          <w:sz w:val="44"/>
          <w:szCs w:val="44"/>
          <w:lang w:val="en-US"/>
        </w:rPr>
        <w:t>C</w:t>
      </w:r>
      <w:r>
        <w:rPr>
          <w:rFonts w:eastAsia="Times New Roman" w:cs="Times New Roman" w:ascii="Times New Roman" w:hAnsi="Times New Roman"/>
          <w:b w:val="false"/>
          <w:bCs w:val="false"/>
          <w:sz w:val="44"/>
          <w:szCs w:val="44"/>
          <w:lang w:val="en-US"/>
        </w:rPr>
        <w:t>hemistry</w:t>
      </w:r>
      <w:r>
        <w:rPr>
          <w:rFonts w:cs="Times New Roman" w:ascii="Times New Roman" w:hAnsi="Times New Roman"/>
          <w:b w:val="false"/>
          <w:bCs w:val="false"/>
          <w:sz w:val="44"/>
          <w:szCs w:val="44"/>
          <w:lang w:val="en-US"/>
        </w:rPr>
        <w:t xml:space="preserve"> (</w:t>
      </w:r>
      <w:r>
        <w:rPr>
          <w:rFonts w:cs="Times New Roman" w:ascii="Times New Roman" w:hAnsi="Times New Roman"/>
          <w:b w:val="false"/>
          <w:bCs w:val="false"/>
          <w:sz w:val="44"/>
          <w:szCs w:val="44"/>
          <w:lang w:val="en-US"/>
        </w:rPr>
        <w:t>GWB</w:t>
      </w:r>
      <w:r>
        <w:rPr>
          <w:rFonts w:cs="Times New Roman" w:ascii="Times New Roman" w:hAnsi="Times New Roman"/>
          <w:b w:val="false"/>
          <w:bCs w:val="false"/>
          <w:sz w:val="44"/>
          <w:szCs w:val="44"/>
          <w:lang w:val="en-US"/>
        </w:rPr>
        <w:t>-IUPAC)</w:t>
      </w:r>
    </w:p>
    <w:p>
      <w:pPr>
        <w:pStyle w:val="Normal"/>
        <w:spacing w:lineRule="auto" w:line="240" w:before="0" w:after="0"/>
        <w:ind w:left="0" w:right="0" w:hanging="0"/>
        <w:jc w:val="center"/>
        <w:rPr>
          <w:rFonts w:cs="Times New Roman"/>
          <w:lang w:val="en-US"/>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36"/>
          <w:szCs w:val="36"/>
        </w:rPr>
      </w:pPr>
      <w:r>
        <w:rPr>
          <w:rFonts w:cs="Times New Roman" w:ascii="Times New Roman" w:hAnsi="Times New Roman"/>
          <w:b w:val="false"/>
          <w:bCs w:val="false"/>
          <w:sz w:val="36"/>
          <w:szCs w:val="36"/>
          <w:lang w:val="en-US"/>
        </w:rPr>
        <w:t>For equity and inclusion in engineering through the arts</w:t>
        <w:br/>
      </w:r>
      <w:r>
        <w:rPr>
          <w:rFonts w:cs="Times New Roman" w:ascii="Times New Roman" w:hAnsi="Times New Roman"/>
          <w:b w:val="false"/>
          <w:bCs w:val="false"/>
          <w:sz w:val="36"/>
          <w:szCs w:val="36"/>
          <w:lang w:val="en-US"/>
        </w:rPr>
        <w:t>G</w:t>
      </w:r>
      <w:r>
        <w:rPr>
          <w:rFonts w:cs="Times New Roman" w:ascii="Times New Roman" w:hAnsi="Times New Roman"/>
          <w:b w:val="false"/>
          <w:bCs w:val="false"/>
          <w:sz w:val="36"/>
          <w:szCs w:val="36"/>
          <w:lang w:val="en-US"/>
        </w:rPr>
        <w:t xml:space="preserve">lobal </w:t>
      </w:r>
      <w:r>
        <w:rPr>
          <w:rFonts w:cs="Times New Roman" w:ascii="Times New Roman" w:hAnsi="Times New Roman"/>
          <w:b w:val="false"/>
          <w:bCs w:val="false"/>
          <w:sz w:val="36"/>
          <w:szCs w:val="36"/>
          <w:lang w:val="en-US"/>
        </w:rPr>
        <w:t>W</w:t>
      </w:r>
      <w:r>
        <w:rPr>
          <w:rFonts w:cs="Times New Roman" w:ascii="Times New Roman" w:hAnsi="Times New Roman"/>
          <w:b w:val="false"/>
          <w:bCs w:val="false"/>
          <w:sz w:val="36"/>
          <w:szCs w:val="36"/>
          <w:lang w:val="en-US"/>
        </w:rPr>
        <w:t xml:space="preserve">omen </w:t>
      </w:r>
      <w:r>
        <w:rPr>
          <w:rFonts w:cs="Times New Roman" w:ascii="Times New Roman" w:hAnsi="Times New Roman"/>
          <w:b w:val="false"/>
          <w:bCs w:val="false"/>
          <w:sz w:val="36"/>
          <w:szCs w:val="36"/>
          <w:lang w:val="en-US"/>
        </w:rPr>
        <w:t>B</w:t>
      </w:r>
      <w:r>
        <w:rPr>
          <w:rFonts w:cs="Times New Roman" w:ascii="Times New Roman" w:hAnsi="Times New Roman"/>
          <w:b w:val="false"/>
          <w:bCs w:val="false"/>
          <w:sz w:val="36"/>
          <w:szCs w:val="36"/>
          <w:lang w:val="en-US"/>
        </w:rPr>
        <w:t>reakfast-</w:t>
      </w:r>
      <w:r>
        <w:rPr>
          <w:rFonts w:cs="Times New Roman" w:ascii="Times New Roman" w:hAnsi="Times New Roman"/>
          <w:b w:val="false"/>
          <w:bCs w:val="false"/>
          <w:sz w:val="36"/>
          <w:szCs w:val="36"/>
          <w:lang w:val="en-US"/>
        </w:rPr>
        <w:t>I</w:t>
      </w:r>
      <w:r>
        <w:rPr>
          <w:rFonts w:cs="Times New Roman" w:ascii="Times New Roman" w:hAnsi="Times New Roman"/>
          <w:b w:val="false"/>
          <w:bCs w:val="false"/>
          <w:sz w:val="36"/>
          <w:szCs w:val="36"/>
          <w:lang w:val="en-US"/>
        </w:rPr>
        <w:t xml:space="preserve">nternational </w:t>
      </w:r>
      <w:r>
        <w:rPr>
          <w:rFonts w:cs="Times New Roman" w:ascii="Times New Roman" w:hAnsi="Times New Roman"/>
          <w:b w:val="false"/>
          <w:bCs w:val="false"/>
          <w:sz w:val="36"/>
          <w:szCs w:val="36"/>
          <w:lang w:val="en-US"/>
        </w:rPr>
        <w:t>U</w:t>
      </w:r>
      <w:r>
        <w:rPr>
          <w:rFonts w:cs="Times New Roman" w:ascii="Times New Roman" w:hAnsi="Times New Roman"/>
          <w:b w:val="false"/>
          <w:bCs w:val="false"/>
          <w:sz w:val="36"/>
          <w:szCs w:val="36"/>
          <w:lang w:val="en-US"/>
        </w:rPr>
        <w:t xml:space="preserve">nion of </w:t>
      </w:r>
      <w:r>
        <w:rPr>
          <w:rFonts w:cs="Times New Roman" w:ascii="Times New Roman" w:hAnsi="Times New Roman"/>
          <w:b w:val="false"/>
          <w:bCs w:val="false"/>
          <w:sz w:val="36"/>
          <w:szCs w:val="36"/>
          <w:lang w:val="en-US"/>
        </w:rPr>
        <w:t>P</w:t>
      </w:r>
      <w:r>
        <w:rPr>
          <w:rFonts w:cs="Times New Roman" w:ascii="Times New Roman" w:hAnsi="Times New Roman"/>
          <w:b w:val="false"/>
          <w:bCs w:val="false"/>
          <w:sz w:val="36"/>
          <w:szCs w:val="36"/>
          <w:lang w:val="en-US"/>
        </w:rPr>
        <w:t xml:space="preserve">ure and </w:t>
      </w:r>
      <w:r>
        <w:rPr>
          <w:rFonts w:cs="Times New Roman" w:ascii="Times New Roman" w:hAnsi="Times New Roman"/>
          <w:b w:val="false"/>
          <w:bCs w:val="false"/>
          <w:sz w:val="36"/>
          <w:szCs w:val="36"/>
          <w:lang w:val="en-US"/>
        </w:rPr>
        <w:t>A</w:t>
      </w:r>
      <w:r>
        <w:rPr>
          <w:rFonts w:cs="Times New Roman" w:ascii="Times New Roman" w:hAnsi="Times New Roman"/>
          <w:b w:val="false"/>
          <w:bCs w:val="false"/>
          <w:sz w:val="36"/>
          <w:szCs w:val="36"/>
          <w:lang w:val="en-US"/>
        </w:rPr>
        <w:t xml:space="preserve">pplied </w:t>
      </w:r>
      <w:r>
        <w:rPr>
          <w:rFonts w:cs="Times New Roman" w:ascii="Times New Roman" w:hAnsi="Times New Roman"/>
          <w:b w:val="false"/>
          <w:bCs w:val="false"/>
          <w:sz w:val="36"/>
          <w:szCs w:val="36"/>
          <w:lang w:val="en-US"/>
        </w:rPr>
        <w:t>C</w:t>
      </w:r>
      <w:r>
        <w:rPr>
          <w:rFonts w:cs="Times New Roman" w:ascii="Times New Roman" w:hAnsi="Times New Roman"/>
          <w:b w:val="false"/>
          <w:bCs w:val="false"/>
          <w:sz w:val="36"/>
          <w:szCs w:val="36"/>
          <w:lang w:val="en-US"/>
        </w:rPr>
        <w:t>hemistry (GWB-IUPAC)</w:t>
      </w:r>
    </w:p>
    <w:p>
      <w:pPr>
        <w:pStyle w:val="Normal"/>
        <w:spacing w:lineRule="auto" w:line="240" w:before="0" w:after="0"/>
        <w:ind w:left="0" w:right="0" w:hanging="0"/>
        <w:jc w:val="center"/>
        <w:rPr>
          <w:rFonts w:cs="Times New Roman"/>
          <w:lang w:val="en-US"/>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4"/>
          <w:szCs w:val="24"/>
        </w:rPr>
      </w:pPr>
      <w:r>
        <w:rPr>
          <w:rFonts w:eastAsia="Times New Roman" w:cs="Times New Roman" w:ascii="Times New Roman" w:hAnsi="Times New Roman"/>
          <w:sz w:val="24"/>
          <w:szCs w:val="24"/>
        </w:rPr>
        <w:t>Macaria Hernández Chávez</w:t>
      </w:r>
      <w:r>
        <w:rPr>
          <w:rFonts w:eastAsia="Times New Roman" w:cs="Times New Roman" w:ascii="Times New Roman" w:hAnsi="Times New Roman"/>
          <w:sz w:val="24"/>
          <w:szCs w:val="24"/>
          <w:vertAlign w:val="superscript"/>
        </w:rPr>
        <w:t>1*</w:t>
      </w: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y Celic Cano Romero</w:t>
      </w:r>
      <w:r>
        <w:rPr>
          <w:rFonts w:eastAsia="Times New Roman" w:cs="Times New Roman" w:ascii="Times New Roman" w:hAnsi="Times New Roman"/>
          <w:sz w:val="24"/>
          <w:szCs w:val="24"/>
          <w:vertAlign w:val="superscript"/>
        </w:rPr>
        <w:t>1</w:t>
      </w:r>
    </w:p>
    <w:p>
      <w:pPr>
        <w:pStyle w:val="Normal"/>
        <w:spacing w:lineRule="auto" w:line="240" w:before="0" w:after="0"/>
        <w:ind w:left="0" w:right="0" w:hanging="0"/>
        <w:jc w:val="both"/>
        <w:rPr>
          <w:rFonts w:eastAsia="Times New Roman" w:cs="Times New Roman"/>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position w:val="0"/>
          <w:sz w:val="24"/>
          <w:sz w:val="24"/>
          <w:szCs w:val="24"/>
          <w:vertAlign w:val="baseline"/>
        </w:rPr>
      </w:pPr>
      <w:r>
        <w:rPr>
          <w:rFonts w:eastAsia="Times New Roman" w:cs="Times New Roman" w:ascii="Times New Roman" w:hAnsi="Times New Roman"/>
          <w:i/>
          <w:iCs/>
          <w:sz w:val="24"/>
          <w:szCs w:val="24"/>
          <w:vertAlign w:val="superscript"/>
        </w:rPr>
        <w:t>1</w:t>
      </w:r>
      <w:r>
        <w:rPr>
          <w:rFonts w:eastAsia="Times New Roman" w:cs="Times New Roman" w:ascii="Times New Roman" w:hAnsi="Times New Roman"/>
          <w:i/>
          <w:iCs/>
          <w:position w:val="0"/>
          <w:sz w:val="24"/>
          <w:sz w:val="24"/>
          <w:szCs w:val="24"/>
          <w:vertAlign w:val="baseline"/>
        </w:rPr>
        <w:t>Instituto Politécnico Nacional, Unidad Profesional Interdisciplinaria de Ingeniería campus Hidalgo, carretera Pachuca - Actopan kilómetro 1+500, CP 42162, Pachuca, Hidalgo, México.</w:t>
      </w:r>
    </w:p>
    <w:p>
      <w:pPr>
        <w:pStyle w:val="Normal"/>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rFonts w:eastAsia="Times New Roman" w:cs="Times New Roman" w:ascii="Times New Roman" w:hAnsi="Times New Roman"/>
          <w:b w:val="false"/>
          <w:bCs w:val="false"/>
          <w:i/>
          <w:iCs/>
          <w:color w:val="000000"/>
          <w:sz w:val="20"/>
          <w:szCs w:val="20"/>
        </w:rPr>
        <w:t>*Corresponding author:</w:t>
      </w:r>
    </w:p>
    <w:p>
      <w:pPr>
        <w:pStyle w:val="Normal"/>
        <w:shd w:val="clear" w:color="auto" w:fill="FFFFFF"/>
        <w:bidi w:val="0"/>
        <w:spacing w:lineRule="auto" w:line="240" w:before="0" w:after="0"/>
        <w:ind w:left="0" w:right="0" w:hanging="0"/>
        <w:jc w:val="center"/>
        <w:textAlignment w:val="baseline"/>
        <w:rPr>
          <w:rFonts w:ascii="Times New Roman" w:hAnsi="Times New Roman"/>
          <w:sz w:val="20"/>
          <w:szCs w:val="20"/>
        </w:rPr>
      </w:pPr>
      <w:r>
        <w:rPr>
          <w:rFonts w:eastAsia="Times New Roman" w:cs="Times New Roman" w:ascii="Times New Roman" w:hAnsi="Times New Roman"/>
          <w:b w:val="false"/>
          <w:bCs w:val="false"/>
          <w:i/>
          <w:iCs/>
          <w:color w:val="000000"/>
          <w:sz w:val="20"/>
          <w:szCs w:val="20"/>
          <w:u w:val="none"/>
          <w:lang w:val="es-CL" w:eastAsia="es-ES_tradnl"/>
        </w:rPr>
        <w:t>mhernandezch@ipn.mx</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sectPr>
          <w:headerReference w:type="even" r:id="rId2"/>
          <w:headerReference w:type="default" r:id="rId3"/>
          <w:headerReference w:type="first" r:id="rId4"/>
          <w:footerReference w:type="even" r:id="rId5"/>
          <w:footerReference w:type="default" r:id="rId6"/>
          <w:footerReference w:type="first" r:id="rId7"/>
          <w:type w:val="nextPage"/>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Resumen: Este artículo tiene el objetivo de abordar la experiencia en el GWB organizado por la IUPAC como parte del Día Internacional de la Mujer y la Niña en la Ciencia, a través de una expresión artística realizada por el alumnado, a fin de ahondar en temas como la diversidad, la equidad de género y la inclusión para mejorar y concientizar en el alumnado sobre la importancia de la formación de mujeres en Ingeniería en Sistemas Automotrices e Ingeniería en Mecatrónica en la Unidad Profesional Interdisciplinaria de Ingeniería campus Hidalgo (UPIIH), así como invitar a más mujeres a que sean parte de las futuras generaciones en participar en áreas de STEM para reducir la brecha de género existente</w:t>
      </w:r>
      <w:r>
        <w:rPr>
          <w:rFonts w:cs="Times New Roman" w:ascii="Times New Roman" w:hAnsi="Times New Roman"/>
          <w:b/>
          <w:bCs/>
          <w:color w:val="000000"/>
          <w:sz w:val="20"/>
          <w:szCs w:val="20"/>
          <w:shd w:fill="FFFFFF" w:val="clear"/>
        </w:rPr>
        <w:t xml:space="preserve">. </w:t>
      </w:r>
      <w:r>
        <w:rPr>
          <w:rFonts w:eastAsia="Times New Roman" w:cs="Times New Roman" w:ascii="Times New Roman" w:hAnsi="Times New Roman"/>
          <w:b/>
          <w:bCs/>
          <w:sz w:val="20"/>
          <w:szCs w:val="20"/>
        </w:rPr>
        <w:t>Al involucrar estudiantes de primer y séptimo semestre es posible conocer a través de sus propuestas artísticas su contexto familiar, cultural, buscando incidir en este pensamiento tanto como comunidad y de forma individual donde los propios estudiantes pueden incluso cambiar su opinión de la participación de la mujer en áreas STEM.</w:t>
      </w:r>
    </w:p>
    <w:p>
      <w:pPr>
        <w:pStyle w:val="Normal"/>
        <w:spacing w:lineRule="auto" w:line="240" w:before="0" w:after="0"/>
        <w:ind w:left="0" w:right="0" w:hanging="0"/>
        <w:jc w:val="both"/>
        <w:rPr>
          <w:rFonts w:eastAsia="Times New Roman" w:cs="Times New Roman"/>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Palabras clave: diversidad, inclusión, equidad de género, GWB IUPAC, ingeniería.</w:t>
      </w:r>
    </w:p>
    <w:p>
      <w:pPr>
        <w:pStyle w:val="Normal"/>
        <w:spacing w:lineRule="auto" w:line="240" w:before="0" w:after="0"/>
        <w:ind w:left="0" w:right="0" w:hanging="0"/>
        <w:jc w:val="both"/>
        <w:rPr>
          <w:rFonts w:eastAsia="Times New Roman" w:cs="Times New Roman"/>
        </w:rPr>
      </w:pPr>
      <w:r>
        <w:rPr>
          <w:rFonts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lang w:val="en-US"/>
        </w:rPr>
        <w:t>Abstract: This article aims to address the experience in the GWB organized by the IUPAC, as part of the International Day of Women and Girls in Science, through an artistic expression made by the student body, in order to delve into issues such as diversity, gender equity and inclusion to improve and raise awareness among students about the importance of training women in Automotive Systems Engineering and Mechatronics Engineering at the Unidad Profesional Interdisciplinaria de Ingeniería campus Hidalgo (UPIIH), as well as inviting more women to be part of the future generations to participate in STEM areas to reduce the existing gender gap. By involving first and seventh semester students it is possible to know through their artistic proposals their family and cultural context, seeking to influence this thinking both as a community and individually where the students themselves can even change their opinion of women's participation in STEM areas.</w:t>
      </w:r>
    </w:p>
    <w:p>
      <w:pPr>
        <w:pStyle w:val="Normal"/>
        <w:spacing w:lineRule="auto" w:line="240" w:before="0" w:after="0"/>
        <w:ind w:left="0" w:right="0" w:hanging="0"/>
        <w:jc w:val="both"/>
        <w:rPr>
          <w:rFonts w:eastAsia="Times New Roman" w:cs="Times New Roman"/>
          <w:lang w:val="en-US"/>
        </w:rPr>
      </w:pPr>
      <w:r>
        <w:rPr>
          <w:rFonts w:ascii="Times New Roman" w:hAnsi="Times New Roman"/>
          <w:b/>
          <w:bCs/>
          <w:sz w:val="20"/>
          <w:szCs w:val="20"/>
        </w:rPr>
      </w:r>
    </w:p>
    <w:p>
      <w:pPr>
        <w:pStyle w:val="Normal"/>
        <w:spacing w:lineRule="auto" w:line="240" w:before="0" w:after="0"/>
        <w:ind w:left="0" w:right="0" w:hanging="0"/>
        <w:rPr>
          <w:rFonts w:ascii="Times New Roman" w:hAnsi="Times New Roman"/>
          <w:b/>
          <w:b/>
          <w:bCs/>
          <w:sz w:val="20"/>
          <w:szCs w:val="20"/>
        </w:rPr>
      </w:pPr>
      <w:r>
        <w:rPr>
          <w:rFonts w:eastAsia="Times New Roman" w:cs="Times New Roman" w:ascii="Times New Roman" w:hAnsi="Times New Roman"/>
          <w:b/>
          <w:bCs/>
          <w:sz w:val="20"/>
          <w:szCs w:val="20"/>
          <w:lang w:val="en-US"/>
        </w:rPr>
        <w:t>Keywords: diversity, inclusion, gender equity, GWB IUPAC, engineering.</w:t>
      </w:r>
    </w:p>
    <w:p>
      <w:pPr>
        <w:pStyle w:val="Normal"/>
        <w:spacing w:lineRule="auto" w:line="240" w:before="0" w:after="0"/>
        <w:ind w:left="0" w:right="0" w:hanging="0"/>
        <w:jc w:val="both"/>
        <w:rPr>
          <w:rFonts w:ascii="Times New Roman" w:hAnsi="Times New Roman" w:cs="Times New Roman"/>
          <w:sz w:val="20"/>
          <w:szCs w:val="20"/>
          <w:lang w:val="en-US"/>
        </w:rPr>
      </w:pPr>
      <w:r>
        <w:rPr>
          <w:rFonts w:cs="Times New Roman" w:ascii="Times New Roman" w:hAnsi="Times New Roman"/>
          <w:sz w:val="20"/>
          <w:szCs w:val="20"/>
          <w:lang w:val="en-US"/>
        </w:rPr>
      </w:r>
    </w:p>
    <w:p>
      <w:pPr>
        <w:pStyle w:val="ListParagraph"/>
        <w:numPr>
          <w:ilvl w:val="0"/>
          <w:numId w:val="0"/>
        </w:numPr>
        <w:spacing w:lineRule="auto" w:line="240" w:before="0" w:after="0"/>
        <w:ind w:left="1080" w:right="0" w:hanging="0"/>
        <w:jc w:val="both"/>
        <w:rPr>
          <w:rFonts w:ascii="Times New Roman" w:hAnsi="Times New Roman"/>
          <w:sz w:val="20"/>
          <w:szCs w:val="20"/>
        </w:rPr>
      </w:pPr>
      <w:r>
        <w:rPr>
          <w:rFonts w:cs="Times New Roman" w:ascii="Times New Roman" w:hAnsi="Times New Roman"/>
          <w:b/>
          <w:bCs/>
          <w:sz w:val="20"/>
          <w:szCs w:val="20"/>
        </w:rPr>
        <w:t xml:space="preserve">I. </w:t>
      </w:r>
      <w:r>
        <w:rPr>
          <w:rFonts w:cs="Times New Roman" w:ascii="Times New Roman" w:hAnsi="Times New Roman"/>
          <w:b/>
          <w:bCs/>
          <w:sz w:val="20"/>
          <w:szCs w:val="20"/>
        </w:rPr>
        <w:t>INTRODUCCIÓN</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Desde la antigüedad se ha pensado y reconocido a la ciencia como una actividad ejercida solamente por hombres, pero actualmente se puede observar que es una actividad humana y diversa, por lo que es necesario volver a la raíz de los conceptos para analizar y crear una nueva definición que permita continuar con la innovación y el avance social y científico de manera inclusiva, donde hombres y mujeres participen en equidad e igualdad de condiciones. La diversidad se refiere a la infinita variedad de elementos, características, perspectivas o manifestaciones que existen dentro de un conjunto o sistema, es una condición inherente de la vida que se manifiesta en todos los aspectos del mundo y que por lo tanto la ciencia no es la excepción. La diversidad se caracteriza por ser variada, heterogénea, multidimensional, complementaria, inclusiva y respetuosa, ya que al valorar y apreciar la diversidad se pretende reconocer los derechos y la dignidad de cada individuo. La diversidad es importante porque enriquece y fortalece los sistemas y grupos en los que se aplica, fomentado la complementariedad, la interdependencia, innovación y enriquecimiento mutuo a todos los participantes.</w:t>
      </w:r>
      <w:sdt>
        <w:sdtPr>
          <w:citation/>
        </w:sdtPr>
        <w:sdtContent>
          <w:r>
            <w:rPr>
              <w:rFonts w:ascii="Times New Roman" w:hAnsi="Times New Roman"/>
              <w:sz w:val="20"/>
              <w:szCs w:val="20"/>
            </w:rPr>
            <w:fldChar w:fldCharType="begin"/>
          </w:r>
          <w:r>
            <w:rPr>
              <w:sz w:val="20"/>
              <w:szCs w:val="20"/>
              <w:rFonts w:ascii="Times New Roman" w:hAnsi="Times New Roman"/>
            </w:rPr>
            <w:instrText>CITATION DeE13 \l 3082 </w:instrText>
          </w:r>
          <w:r>
            <w:rPr>
              <w:sz w:val="20"/>
              <w:szCs w:val="20"/>
              <w:rFonts w:ascii="Times New Roman" w:hAnsi="Times New Roman"/>
            </w:rPr>
            <w:fldChar w:fldCharType="separate"/>
          </w:r>
          <w:r>
            <w:rPr>
              <w:sz w:val="20"/>
              <w:szCs w:val="20"/>
              <w:rFonts w:ascii="Times New Roman" w:hAnsi="Times New Roman"/>
            </w:rPr>
            <w:t xml:space="preserve"> (De, Equipo, 2013)</w:t>
          </w:r>
          <w:r>
            <w:rPr>
              <w:sz w:val="20"/>
              <w:szCs w:val="20"/>
              <w:rFonts w:ascii="Times New Roman" w:hAnsi="Times New Roman"/>
            </w:rPr>
            <w:fldChar w:fldCharType="end"/>
          </w:r>
        </w:sdtContent>
      </w:sdt>
    </w:p>
    <w:p>
      <w:pPr>
        <w:pStyle w:val="Normal"/>
        <w:spacing w:lineRule="auto" w:line="240" w:before="0" w:after="0"/>
        <w:ind w:left="0" w:right="0" w:hanging="0"/>
        <w:jc w:val="both"/>
        <w:rPr/>
      </w:pPr>
      <w:r>
        <w:rPr>
          <w:rFonts w:ascii="Times New Roman" w:hAnsi="Times New Roman"/>
          <w:sz w:val="20"/>
          <w:szCs w:val="20"/>
        </w:rPr>
      </w:r>
    </w:p>
    <w:p>
      <w:pPr>
        <w:pStyle w:val="Normal"/>
        <w:spacing w:lineRule="auto" w:line="240" w:before="0" w:after="0"/>
        <w:ind w:left="0" w:right="0" w:hanging="0"/>
        <w:jc w:val="both"/>
        <w:rPr/>
      </w:pPr>
      <w:sdt>
        <w:sdtPr>
          <w:citation/>
        </w:sdtPr>
        <w:sdtContent>
          <w:r>
            <w:rPr>
              <w:rFonts w:cs="Times New Roman" w:ascii="Times New Roman" w:hAnsi="Times New Roman"/>
              <w:sz w:val="20"/>
              <w:szCs w:val="20"/>
            </w:rPr>
            <w:t>El pasado 27 de febrero de 2024 se llevó a cabo el Global Woman´s Breakfast (GWB) que la Unión Internacional de Química Pura y Aplicada (IUPAC), quien año con año trata de incentivar a nivel global que se registren y realicen un mayor número de eventos con temáticas diferentes anualmente y proporcionando los materiales que explican el origen, objetivo y la temática de estos eventos a través de su página oficial (</w:t>
          </w:r>
          <w:hyperlink r:id="rId8">
            <w:r>
              <w:rPr>
                <w:rStyle w:val="EnlacedeInternet"/>
                <w:rFonts w:cs="Times New Roman" w:ascii="Times New Roman" w:hAnsi="Times New Roman"/>
                <w:sz w:val="20"/>
                <w:szCs w:val="20"/>
              </w:rPr>
              <w:t>https://iupac.org/gwb/</w:t>
            </w:r>
          </w:hyperlink>
          <w:r>
            <w:rPr>
              <w:rFonts w:cs="Times New Roman" w:ascii="Times New Roman" w:hAnsi="Times New Roman"/>
              <w:sz w:val="20"/>
              <w:szCs w:val="20"/>
            </w:rPr>
            <w:t>). El tema de este año fue “Catalizando la diversidad en la ciencia”, dicha actividad se realizó en el marco de la celebración del Día Internacional de la Mujer y la Niña en la Ciencia, ya que contribuye con el Objetivo No. 5 de los Objetivos de Desarrollo Sostenible de las Naciones Unidas de la Agenda 2030.</w:t>
          </w:r>
          <w:r>
            <w:rPr>
              <w:rFonts w:ascii="Times New Roman" w:hAnsi="Times New Roman"/>
              <w:sz w:val="20"/>
              <w:szCs w:val="20"/>
            </w:rPr>
            <w:fldChar w:fldCharType="begin"/>
          </w:r>
          <w:r>
            <w:rPr>
              <w:sz w:val="20"/>
              <w:szCs w:val="20"/>
              <w:rFonts w:ascii="Times New Roman" w:hAnsi="Times New Roman"/>
            </w:rPr>
            <w:instrText>CITATION UniOb \l 3082 </w:instrText>
          </w:r>
          <w:r>
            <w:rPr>
              <w:sz w:val="20"/>
              <w:szCs w:val="20"/>
              <w:rFonts w:ascii="Times New Roman" w:hAnsi="Times New Roman"/>
            </w:rPr>
            <w:fldChar w:fldCharType="separate"/>
          </w:r>
          <w:r>
            <w:rPr>
              <w:sz w:val="20"/>
              <w:szCs w:val="20"/>
              <w:rFonts w:ascii="Times New Roman" w:hAnsi="Times New Roman"/>
            </w:rPr>
            <w:t xml:space="preserve"> (United Nations, 2015)</w:t>
          </w:r>
          <w:r>
            <w:rPr>
              <w:sz w:val="20"/>
              <w:szCs w:val="20"/>
              <w:rFonts w:ascii="Times New Roman" w:hAnsi="Times New Roman"/>
            </w:rPr>
            <w:fldChar w:fldCharType="end"/>
          </w:r>
        </w:sdtContent>
      </w:sdt>
      <w:r>
        <w:rPr>
          <w:rFonts w:cs="Times New Roman" w:ascii="Times New Roman" w:hAnsi="Times New Roman"/>
          <w:sz w:val="20"/>
          <w:szCs w:val="20"/>
        </w:rPr>
        <w:t xml:space="preserve"> En este evento participaron 420 centros educativos y de investigación alrededor del mundo con el objetivo de hacer conciencia tanto en mujeres como hombres sobre la diversidad que existe en la ciencia.</w:t>
      </w:r>
      <w:sdt>
        <w:sdtPr>
          <w:citation/>
        </w:sdtPr>
        <w:sdtContent>
          <w:r>
            <w:rPr>
              <w:rFonts w:ascii="Times New Roman" w:hAnsi="Times New Roman"/>
              <w:sz w:val="20"/>
              <w:szCs w:val="20"/>
            </w:rPr>
            <w:fldChar w:fldCharType="begin"/>
          </w:r>
          <w:r>
            <w:rPr>
              <w:sz w:val="20"/>
              <w:szCs w:val="20"/>
              <w:rFonts w:ascii="Times New Roman" w:hAnsi="Times New Roman"/>
            </w:rPr>
            <w:instrText>CITATION Glo20 \l 3082 </w:instrText>
          </w:r>
          <w:r>
            <w:rPr>
              <w:sz w:val="20"/>
              <w:szCs w:val="20"/>
              <w:rFonts w:ascii="Times New Roman" w:hAnsi="Times New Roman"/>
            </w:rPr>
            <w:fldChar w:fldCharType="separate"/>
          </w:r>
          <w:r>
            <w:rPr>
              <w:sz w:val="20"/>
              <w:szCs w:val="20"/>
              <w:rFonts w:ascii="Times New Roman" w:hAnsi="Times New Roman"/>
            </w:rPr>
            <w:t xml:space="preserve"> (Global women's breakfast - IUPAC, 2024)</w:t>
          </w:r>
          <w:r>
            <w:rPr>
              <w:sz w:val="20"/>
              <w:szCs w:val="20"/>
              <w:rFonts w:ascii="Times New Roman" w:hAnsi="Times New Roman"/>
            </w:rPr>
            <w:fldChar w:fldCharType="end"/>
          </w:r>
        </w:sdtContent>
      </w:sdt>
      <w:r>
        <w:rPr>
          <w:rFonts w:cs="Times New Roman" w:ascii="Times New Roman" w:hAnsi="Times New Roman"/>
          <w:sz w:val="20"/>
          <w:szCs w:val="20"/>
        </w:rPr>
        <w:t xml:space="preserve">. </w:t>
      </w:r>
      <w:r>
        <w:rPr>
          <w:rFonts w:cs="Times New Roman" w:ascii="Times New Roman" w:hAnsi="Times New Roman"/>
          <w:sz w:val="20"/>
          <w:szCs w:val="20"/>
        </w:rPr>
        <w:t xml:space="preserve">En México se realizaron 22 desayunos en distintas universidades, centros educativos y de investigación, tanto públicos como privados en distintos estados de la República Mexicana, la mayoría de los eventos se realizaron de manera presencial y algunos otros de manera virtual </w:t>
      </w:r>
      <w:sdt>
        <w:sdtPr>
          <w:citation/>
        </w:sdtPr>
        <w:sdtContent>
          <w:r>
            <w:rPr>
              <w:rFonts w:ascii="Times New Roman" w:hAnsi="Times New Roman"/>
              <w:sz w:val="20"/>
              <w:szCs w:val="20"/>
            </w:rPr>
            <w:fldChar w:fldCharType="begin"/>
          </w:r>
          <w:r>
            <w:rPr>
              <w:sz w:val="20"/>
              <w:szCs w:val="20"/>
              <w:rFonts w:ascii="Times New Roman" w:hAnsi="Times New Roman"/>
            </w:rPr>
            <w:instrText>CITATION Glo20 \l 3082 </w:instrText>
          </w:r>
          <w:r>
            <w:rPr>
              <w:sz w:val="20"/>
              <w:szCs w:val="20"/>
              <w:rFonts w:ascii="Times New Roman" w:hAnsi="Times New Roman"/>
            </w:rPr>
            <w:fldChar w:fldCharType="separate"/>
          </w:r>
          <w:r>
            <w:rPr>
              <w:sz w:val="20"/>
              <w:szCs w:val="20"/>
              <w:rFonts w:ascii="Times New Roman" w:hAnsi="Times New Roman"/>
            </w:rPr>
            <w:t>(Global women's breakfast - IUPAC, 2024)</w:t>
          </w:r>
          <w:r>
            <w:rPr>
              <w:sz w:val="20"/>
              <w:szCs w:val="20"/>
              <w:rFonts w:ascii="Times New Roman" w:hAnsi="Times New Roman"/>
            </w:rPr>
            <w:fldChar w:fldCharType="end"/>
          </w:r>
        </w:sdtContent>
      </w:sdt>
      <w:r>
        <w:rPr>
          <w:rFonts w:cs="Times New Roman" w:ascii="Times New Roman" w:hAnsi="Times New Roman"/>
          <w:sz w:val="20"/>
          <w:szCs w:val="20"/>
        </w:rPr>
        <w:t>.</w:t>
      </w:r>
      <w:r>
        <w:rPr>
          <w:rFonts w:cs="Times New Roman" w:ascii="Times New Roman" w:hAnsi="Times New Roman"/>
          <w:sz w:val="20"/>
          <w:szCs w:val="20"/>
        </w:rPr>
        <w:t xml:space="preserve"> A continuación, se presentan en la Tabla 1, los eventos que se realizaron en esta edición del GWB, con la intención de visibilizarlos y de invitar a más instituciones a participar en estos desayunos que se realizan de forma anual y que pueden detonar reflexiones al interior de las instituciones para concientizar e incentivar la participación de la mujer en áreas STEM. Se encuentran los eventos realizados en instituciones mayoritariamente en el centro del país y no se observan instituciones de niveles educativos básico ni de medio superior.</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spacing w:lineRule="auto" w:line="240" w:before="0" w:after="0"/>
        <w:ind w:left="0" w:right="0" w:hanging="0"/>
        <w:jc w:val="both"/>
        <w:rPr>
          <w:rFonts w:ascii="Times New Roman" w:hAnsi="Times New Roman" w:cs="Times New Roman"/>
          <w:sz w:val="20"/>
          <w:szCs w:val="20"/>
        </w:rPr>
      </w:pPr>
      <w:r>
        <w:rPr/>
      </w:r>
    </w:p>
    <w:p>
      <w:pPr>
        <w:pStyle w:val="Caption"/>
        <w:keepNext w:val="true"/>
        <w:spacing w:lineRule="auto" w:line="240" w:before="0" w:after="0"/>
        <w:ind w:left="0" w:right="0" w:hanging="0"/>
        <w:jc w:val="center"/>
        <w:rPr>
          <w:rFonts w:ascii="Times New Roman" w:hAnsi="Times New Roman"/>
          <w:b/>
          <w:b/>
          <w:bCs/>
          <w:i w:val="false"/>
          <w:i w:val="false"/>
          <w:iCs w:val="false"/>
          <w:color w:val="000000"/>
          <w:sz w:val="20"/>
          <w:szCs w:val="20"/>
        </w:rPr>
      </w:pPr>
      <w:r>
        <w:rPr>
          <w:rFonts w:cs="Times New Roman" w:ascii="Times New Roman" w:hAnsi="Times New Roman"/>
          <w:b/>
          <w:bCs/>
          <w:i w:val="false"/>
          <w:iCs w:val="false"/>
          <w:color w:val="000000"/>
          <w:sz w:val="20"/>
          <w:szCs w:val="20"/>
        </w:rPr>
        <w:t xml:space="preserve">Tabla </w:t>
      </w:r>
      <w:r>
        <w:rPr>
          <w:rFonts w:cs="Times New Roman" w:ascii="Times New Roman" w:hAnsi="Times New Roman"/>
          <w:b/>
          <w:bCs/>
          <w:i w:val="false"/>
          <w:iCs w:val="false"/>
          <w:color w:val="000000"/>
          <w:sz w:val="20"/>
          <w:szCs w:val="20"/>
        </w:rPr>
        <w:fldChar w:fldCharType="begin"/>
      </w:r>
      <w:r>
        <w:rPr>
          <w:sz w:val="20"/>
          <w:i w:val="false"/>
          <w:b/>
          <w:szCs w:val="20"/>
          <w:iCs w:val="false"/>
          <w:bCs/>
          <w:rFonts w:cs="Times New Roman" w:ascii="Times New Roman" w:hAnsi="Times New Roman"/>
          <w:color w:val="000000"/>
        </w:rPr>
        <w:instrText> SEQ Tabla \* ARABIC </w:instrText>
      </w:r>
      <w:r>
        <w:rPr>
          <w:sz w:val="20"/>
          <w:i w:val="false"/>
          <w:b/>
          <w:szCs w:val="20"/>
          <w:iCs w:val="false"/>
          <w:bCs/>
          <w:rFonts w:cs="Times New Roman" w:ascii="Times New Roman" w:hAnsi="Times New Roman"/>
          <w:color w:val="000000"/>
        </w:rPr>
        <w:fldChar w:fldCharType="separate"/>
      </w:r>
      <w:r>
        <w:rPr>
          <w:sz w:val="20"/>
          <w:i w:val="false"/>
          <w:b/>
          <w:szCs w:val="20"/>
          <w:iCs w:val="false"/>
          <w:bCs/>
          <w:rFonts w:cs="Times New Roman" w:ascii="Times New Roman" w:hAnsi="Times New Roman"/>
          <w:color w:val="000000"/>
        </w:rPr>
        <w:t>1</w:t>
      </w:r>
      <w:r>
        <w:rPr>
          <w:sz w:val="20"/>
          <w:i w:val="false"/>
          <w:b/>
          <w:szCs w:val="20"/>
          <w:iCs w:val="false"/>
          <w:bCs/>
          <w:rFonts w:cs="Times New Roman" w:ascii="Times New Roman" w:hAnsi="Times New Roman"/>
          <w:color w:val="000000"/>
        </w:rPr>
        <w:fldChar w:fldCharType="end"/>
      </w:r>
      <w:r>
        <w:rPr>
          <w:rFonts w:cs="Times New Roman" w:ascii="Times New Roman" w:hAnsi="Times New Roman"/>
          <w:b/>
          <w:bCs/>
          <w:i w:val="false"/>
          <w:iCs w:val="false"/>
          <w:color w:val="000000"/>
          <w:sz w:val="20"/>
          <w:szCs w:val="20"/>
        </w:rPr>
        <w:t xml:space="preserve">: Eventos realizados en México en el marco del Global Women’s Breakfast -IUPAC. </w:t>
      </w:r>
      <w:sdt>
        <w:sdtPr>
          <w:citation/>
        </w:sdtPr>
        <w:sdtContent>
          <w:r>
            <w:rPr>
              <w:rFonts w:ascii="Times New Roman" w:hAnsi="Times New Roman"/>
              <w:b/>
              <w:bCs/>
              <w:i w:val="false"/>
              <w:iCs w:val="false"/>
              <w:color w:val="000000"/>
              <w:sz w:val="20"/>
              <w:szCs w:val="20"/>
            </w:rPr>
            <w:fldChar w:fldCharType="begin"/>
          </w:r>
          <w:r>
            <w:rPr>
              <w:sz w:val="20"/>
              <w:i w:val="false"/>
              <w:b/>
              <w:szCs w:val="20"/>
              <w:iCs w:val="false"/>
              <w:bCs/>
              <w:rFonts w:ascii="Times New Roman" w:hAnsi="Times New Roman"/>
              <w:color w:val="000000"/>
            </w:rPr>
            <w:instrText>CITATION Glo20 \l 3082 </w:instrText>
          </w:r>
          <w:r>
            <w:rPr>
              <w:sz w:val="20"/>
              <w:i w:val="false"/>
              <w:b/>
              <w:szCs w:val="20"/>
              <w:iCs w:val="false"/>
              <w:bCs/>
              <w:rFonts w:ascii="Times New Roman" w:hAnsi="Times New Roman"/>
              <w:color w:val="000000"/>
            </w:rPr>
            <w:fldChar w:fldCharType="separate"/>
          </w:r>
          <w:r>
            <w:rPr>
              <w:sz w:val="20"/>
              <w:i w:val="false"/>
              <w:b/>
              <w:szCs w:val="20"/>
              <w:iCs w:val="false"/>
              <w:bCs/>
              <w:rFonts w:ascii="Times New Roman" w:hAnsi="Times New Roman"/>
              <w:color w:val="000000"/>
            </w:rPr>
            <w:t>(Global women's breakfast - IUPAC, 2024)</w:t>
          </w:r>
          <w:r>
            <w:rPr>
              <w:sz w:val="20"/>
              <w:i w:val="false"/>
              <w:b/>
              <w:szCs w:val="20"/>
              <w:iCs w:val="false"/>
              <w:bCs/>
              <w:rFonts w:ascii="Times New Roman" w:hAnsi="Times New Roman"/>
              <w:color w:val="000000"/>
            </w:rPr>
            <w:fldChar w:fldCharType="end"/>
          </w:r>
        </w:sdtContent>
      </w:sdt>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3845"/>
        <w:gridCol w:w="2853"/>
        <w:gridCol w:w="2708"/>
      </w:tblGrid>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Nombre del evento</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Institución</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Organizadora</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n-US" w:eastAsia="es-MX" w:bidi="ar-SA"/>
              </w:rPr>
            </w:pPr>
            <w:r>
              <w:rPr>
                <w:rFonts w:eastAsia="Calibri" w:cs="Times New Roman" w:ascii="Times New Roman" w:hAnsi="Times New Roman"/>
                <w:kern w:val="0"/>
                <w:sz w:val="20"/>
                <w:szCs w:val="20"/>
                <w:lang w:val="en-US" w:eastAsia="es-MX" w:bidi="ar-SA"/>
              </w:rPr>
              <w:t>STEM ARTISTIC EXPRESSION: Exhibition of works done by UPIIH students.</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eastAsia="en-US" w:bidi="ar-SA"/>
              </w:rPr>
            </w:pPr>
            <w:r>
              <w:rPr>
                <w:rFonts w:eastAsia="Calibri" w:cs="Times New Roman" w:ascii="Times New Roman" w:hAnsi="Times New Roman"/>
                <w:kern w:val="0"/>
                <w:sz w:val="20"/>
                <w:szCs w:val="20"/>
                <w:lang w:eastAsia="en-US" w:bidi="ar-SA"/>
              </w:rPr>
              <w:t>UPIIH-Instituto Politécnico Nacional</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Dra. Macaria Hernández Chávez</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GLOBAL WOMEN´S BREAKFAST 2024</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Instituto Tecnológico Superior de Xalapa</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shd w:fill="FFFFFF" w:val="clear"/>
                <w:lang w:val="es-MX" w:eastAsia="en-US" w:bidi="ar-SA"/>
              </w:rPr>
              <w:t>Prof. Yitzaak Pimentel</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Mujeres como agentes de cambio</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Tecnología de Manzanillo</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shd w:fill="FFFFFF" w:val="clear"/>
                <w:lang w:val="es-MX" w:eastAsia="en-US" w:bidi="ar-SA"/>
              </w:rPr>
              <w:t>Ms. María Elena Zenteno Vázquez</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Desayuno Global de Mujeres en la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Autónoma de Coahuila</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shd w:fill="FFFFFF" w:val="clear"/>
                <w:lang w:val="es-MX" w:eastAsia="en-US" w:bidi="ar-SA"/>
              </w:rPr>
              <w:t>Prof. Rosa María Rodríguez Jasso</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Desayuno Global de Mujeres en la Ciencia, FCQ</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Facultad de Ciencias Químicas, Universidad Autónoma de San Luis Potosí</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shd w:fill="FFFFFF" w:val="clear"/>
                <w:lang w:val="es-MX" w:eastAsia="en-US" w:bidi="ar-SA"/>
              </w:rPr>
              <w:t>Dr. Mayra Aguilar Zarate</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n-US" w:eastAsia="en-US" w:bidi="ar-SA"/>
              </w:rPr>
            </w:pPr>
            <w:r>
              <w:rPr>
                <w:rFonts w:eastAsia="Calibri" w:cs="Times New Roman" w:ascii="Times New Roman" w:hAnsi="Times New Roman"/>
                <w:kern w:val="0"/>
                <w:sz w:val="20"/>
                <w:szCs w:val="20"/>
                <w:lang w:val="en-US" w:eastAsia="en-US" w:bidi="ar-SA"/>
              </w:rPr>
              <w:t>Woman Expression forum: Madre, hij@, carrera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Autónoma de Coahuila Unidad Norte</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shd w:fill="FFFFFF" w:val="clear"/>
                <w:lang w:val="es-MX" w:eastAsia="en-US" w:bidi="ar-SA"/>
              </w:rPr>
              <w:t>Prof. Janeth Margarita Ventura Sobrevilla</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GWB-Catalizando la diversidad en la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Autónoma de Coahuila- Unidad Torreón</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shd w:fill="FFFFFF" w:val="clear"/>
                <w:lang w:val="es-MX" w:eastAsia="en-US" w:bidi="ar-SA"/>
              </w:rPr>
              <w:t>Dr. Ayerim Hernández-Almanza</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Desayuno Global de Mujeres en la Ciencia: "Catalizando Mujeres en la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Facultad de Química, Universidad Autónoma de Yucatán</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Dr. Fabiola Villa</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Desayuno Global de mujeres en la ciencia 2024</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TECNOLOGICO DE ESTUDIOS SUPERIORES DE JILOTEPEC</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Maritza GONZALEZ</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n-US" w:eastAsia="en-US" w:bidi="ar-SA"/>
              </w:rPr>
            </w:pPr>
            <w:r>
              <w:rPr>
                <w:rFonts w:eastAsia="Calibri" w:cs="Times New Roman" w:ascii="Times New Roman" w:hAnsi="Times New Roman"/>
                <w:kern w:val="0"/>
                <w:sz w:val="20"/>
                <w:szCs w:val="20"/>
                <w:lang w:val="en-US" w:eastAsia="en-US" w:bidi="ar-SA"/>
              </w:rPr>
              <w:t>TaCo CHEM : Tamales &amp; Coffee for Chemistry</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Autónoma de Coahuila</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Catalina M. Pérez Berumen</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Experiencia como mamá y científica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Autónoma de Guadalajara</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Priscilla Quintana</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n-US" w:eastAsia="en-US" w:bidi="ar-SA"/>
              </w:rPr>
            </w:pPr>
            <w:r>
              <w:rPr>
                <w:rFonts w:eastAsia="Calibri" w:cs="Times New Roman" w:ascii="Times New Roman" w:hAnsi="Times New Roman"/>
                <w:kern w:val="0"/>
                <w:sz w:val="20"/>
                <w:szCs w:val="20"/>
                <w:lang w:val="en-US" w:eastAsia="en-US" w:bidi="ar-SA"/>
              </w:rPr>
              <w:t>Brochure 1. Different types of Materials and Structure</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CUCEI-Centro Universitario de Ciencias Exactas e Ingenierías</w:t>
            </w:r>
          </w:p>
        </w:tc>
        <w:tc>
          <w:tcPr>
            <w:tcW w:w="2708" w:type="dxa"/>
            <w:tcBorders/>
          </w:tcPr>
          <w:p>
            <w:pPr>
              <w:pStyle w:val="Normal"/>
              <w:widowControl/>
              <w:spacing w:lineRule="auto" w:line="240" w:before="0" w:after="0"/>
              <w:ind w:left="0" w:right="0" w:hanging="0"/>
              <w:jc w:val="center"/>
              <w:rPr>
                <w:rFonts w:ascii="Times New Roman" w:hAnsi="Times New Roman" w:eastAsia="Times New Roman" w:cs="Times New Roman"/>
                <w:kern w:val="0"/>
                <w:sz w:val="20"/>
                <w:szCs w:val="20"/>
                <w:lang w:val="es-MX" w:eastAsia="es-MX" w:bidi="ar-SA"/>
              </w:rPr>
            </w:pPr>
            <w:r>
              <w:rPr>
                <w:rFonts w:eastAsia="Times New Roman" w:cs="Times New Roman" w:ascii="Times New Roman" w:hAnsi="Times New Roman"/>
                <w:kern w:val="0"/>
                <w:sz w:val="20"/>
                <w:szCs w:val="20"/>
                <w:lang w:val="es-MX" w:eastAsia="es-MX" w:bidi="ar-SA"/>
              </w:rPr>
              <w:t>Dr. Alejandra Cruz Hernández</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Día Internacional de la Mujer y la Niña en Ciencias</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Quimiotón de Tunkuluchú</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Ariadna Garza Ortiz</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Día Internacional de la Mujer y la Niña en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Facultad de Ciencias Químico-Biológicas, UACAM</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Ariadna Garza Ortiz</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Día Internacional de la Mujer y la Niña en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Facultad de Ciencias Químico-Biológicas, UACAM</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Ariadna Garza Ortiz</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TERTULIA ENTRE MUJERES DE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NACIONAL AUTÓNOMA DE MÉXICO. FACULTAD DE CIENCIAS.</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Beatriz Sánchez Monroy</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Catalizando la diversidad en la Ciencia- GWB 2024-BUAP</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BUAP</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Dr. Laura Morales</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CATALIZANDO LA DIVERSIDAD EN LA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Tec de Monterrey Campus Chihuahua</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Dr. Cynthia Lizeth González Trevizo</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Desayuno para mujeres en la Ciencia - IQ y FQ - UNAM</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Facultad de Química, UNAM &amp; Instituto de Química, UNAM</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Dr. Aline Villarreal</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n-US" w:eastAsia="en-US" w:bidi="ar-SA"/>
              </w:rPr>
            </w:pPr>
            <w:r>
              <w:rPr>
                <w:rFonts w:eastAsia="Calibri" w:cs="Times New Roman" w:ascii="Times New Roman" w:hAnsi="Times New Roman"/>
                <w:kern w:val="0"/>
                <w:sz w:val="20"/>
                <w:szCs w:val="20"/>
                <w:lang w:val="en-US" w:eastAsia="en-US" w:bidi="ar-SA"/>
              </w:rPr>
              <w:t>GWB2024 Catalyzing diversity in science</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Centro de Investigaciones en Óptica A.C.</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Dr. Erika Rodriguez</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Niñas y mujeres: catalizadores de la diversidad en la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Autónoma de Nayarit UACQByF</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Raquel Enedina Medina-Carrillo</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Everybody into STEM</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The Edron Academy</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Lucila Giammatteo</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Desayuno con Mujeres Científicas del IPICYT 11 de marzo</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Instituto Potosino de Investigación Científica y Tecnológica</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Dr. Lucía Mendoza Viveros</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FACISALUD apoya la catálisis de la diversidad en la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Autónoma de Baja California - Facultad de Ciencias de la Salud, Valle de las Palmas</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Ofelia Candolfi</w:t>
            </w:r>
          </w:p>
        </w:tc>
      </w:tr>
      <w:tr>
        <w:trPr/>
        <w:tc>
          <w:tcPr>
            <w:tcW w:w="3845"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Desayuno Global de Mujeres en la Ciencia</w:t>
            </w:r>
          </w:p>
        </w:tc>
        <w:tc>
          <w:tcPr>
            <w:tcW w:w="2853"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lang w:val="es-MX" w:eastAsia="en-US" w:bidi="ar-SA"/>
              </w:rPr>
            </w:pPr>
            <w:r>
              <w:rPr>
                <w:rFonts w:eastAsia="Calibri" w:cs="Times New Roman" w:ascii="Times New Roman" w:hAnsi="Times New Roman"/>
                <w:kern w:val="0"/>
                <w:sz w:val="20"/>
                <w:szCs w:val="20"/>
                <w:lang w:val="es-MX" w:eastAsia="en-US" w:bidi="ar-SA"/>
              </w:rPr>
              <w:t>Universidad Autónoma de Chihuahua</w:t>
            </w:r>
          </w:p>
        </w:tc>
        <w:tc>
          <w:tcPr>
            <w:tcW w:w="2708" w:type="dxa"/>
            <w:tcBorders/>
          </w:tcPr>
          <w:p>
            <w:pPr>
              <w:pStyle w:val="Normal"/>
              <w:widowControl/>
              <w:spacing w:lineRule="auto" w:line="240" w:before="0" w:after="0"/>
              <w:ind w:left="0" w:right="0" w:hanging="0"/>
              <w:jc w:val="center"/>
              <w:rPr>
                <w:rFonts w:ascii="Times New Roman" w:hAnsi="Times New Roman" w:eastAsia="Calibri" w:cs="Times New Roman"/>
                <w:kern w:val="0"/>
                <w:sz w:val="20"/>
                <w:szCs w:val="20"/>
                <w:shd w:fill="FFFFFF" w:val="clear"/>
                <w:lang w:val="es-MX" w:eastAsia="en-US" w:bidi="ar-SA"/>
              </w:rPr>
            </w:pPr>
            <w:r>
              <w:rPr>
                <w:rFonts w:eastAsia="Calibri" w:cs="Times New Roman" w:ascii="Times New Roman" w:hAnsi="Times New Roman"/>
                <w:kern w:val="0"/>
                <w:sz w:val="20"/>
                <w:szCs w:val="20"/>
                <w:shd w:fill="FFFFFF" w:val="clear"/>
                <w:lang w:val="es-MX" w:eastAsia="en-US" w:bidi="ar-SA"/>
              </w:rPr>
              <w:t>Prof. Karla Susana Bernal Alvarado</w:t>
            </w:r>
          </w:p>
        </w:tc>
      </w:tr>
    </w:tbl>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sectPr>
          <w:headerReference w:type="even" r:id="rId9"/>
          <w:headerReference w:type="default" r:id="rId10"/>
          <w:headerReference w:type="first" r:id="rId11"/>
          <w:footerReference w:type="even" r:id="rId12"/>
          <w:footerReference w:type="default" r:id="rId13"/>
          <w:footerReference w:type="first" r:id="rId14"/>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Dentro de los eventos del GWB-IUPAC, en el estado de Hidalgo participó la Unidad Profesional Interdisciplinaria de Ingeniería Campus Hidalgo (UPIIH) perteneciente al Instituto Politécnico Nacional (IPN) en una actividad de expresión artística STEM con base al tema de este año “Catalizando la diversidad en ciencia”. La propuesta de desayuno se hizo de esta forma ya que al tratarse mayoritariamente de alumnado de primer semestre que cursan materias del área de ciencias básicas, no les resultaba tan atractivo una conferencia o ponencia como los eventos que se mencionan en la Tabla 1, además de que se buscaba conocer su contexto y opinión de la participación de la mujer en la ciencia, así como sus propuestas para incrementar el número de compañeras en estas áreas a través de su expresión artística, ya que de los 63 alumnos que participaron de las carreras de Ingeniería en Sistemas Automotrices (ISISA) e Ingeniería Mecatrónica, únicamente fueron 11 mujeres pertenecientes a la carrera de Mecatrónica, esto debido a que por el lado de ISISA, del semestre que participó, por el momento no hay mujeres inscritas. Al ver la gran brecha que existe entre el número de hombres y mujeres en ambas ingenierías, se buscó con los estudiantes hacer conciencian respecto a la temática de este año, ya que es posible ahondar en temas como la equidad de género y la inclusión.</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Existen distintos de tipos de diversidad como la diversidad funcional, la diversidad de sexual o la diversidad de género. La diversidad funcional se basa en la variedad de habilidades físicas o cognitivas, capacidades y formas de funcionamiento que tiene cada persona, es decir, se pretende buscar un enfoque más inclusivo y positivo a términos como “discapacidad, sordo, mudo o invalido” ya que como se mencionó anteriormente, se reconoce que cada persona tiene capacidades y talentos únicos, independientes de sus diferencias.</w:t>
      </w:r>
      <w:sdt>
        <w:sdtPr>
          <w:citation/>
        </w:sdtPr>
        <w:sdtContent>
          <w:r>
            <w:rPr>
              <w:rFonts w:ascii="Times New Roman" w:hAnsi="Times New Roman"/>
              <w:sz w:val="20"/>
              <w:szCs w:val="20"/>
            </w:rPr>
            <w:fldChar w:fldCharType="begin"/>
          </w:r>
          <w:r>
            <w:rPr>
              <w:sz w:val="20"/>
              <w:szCs w:val="20"/>
              <w:rFonts w:ascii="Times New Roman" w:hAnsi="Times New Roman"/>
            </w:rPr>
            <w:instrText> CITATION DeE13 \l 3082 </w:instrText>
          </w:r>
          <w:r>
            <w:rPr>
              <w:sz w:val="20"/>
              <w:szCs w:val="20"/>
              <w:rFonts w:ascii="Times New Roman" w:hAnsi="Times New Roman"/>
            </w:rPr>
            <w:fldChar w:fldCharType="separate"/>
          </w:r>
          <w:r>
            <w:rPr>
              <w:sz w:val="20"/>
              <w:szCs w:val="20"/>
              <w:rFonts w:ascii="Times New Roman" w:hAnsi="Times New Roman"/>
            </w:rPr>
            <w:t xml:space="preserve"> (De, Equipo, 2013)</w:t>
          </w:r>
          <w:r>
            <w:rPr>
              <w:sz w:val="20"/>
              <w:szCs w:val="20"/>
              <w:rFonts w:ascii="Times New Roman" w:hAnsi="Times New Roman"/>
            </w:rPr>
            <w:fldChar w:fldCharType="end"/>
          </w:r>
        </w:sdtContent>
      </w:sdt>
    </w:p>
    <w:p>
      <w:pPr>
        <w:pStyle w:val="Normal"/>
        <w:spacing w:lineRule="auto" w:line="240" w:before="0" w:after="0"/>
        <w:ind w:left="0" w:right="0" w:hanging="0"/>
        <w:jc w:val="both"/>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sdt>
        <w:sdtPr>
          <w:citation/>
        </w:sdtPr>
        <w:sdtContent>
          <w:r>
            <w:rPr>
              <w:rFonts w:cs="Times New Roman" w:ascii="Times New Roman" w:hAnsi="Times New Roman"/>
              <w:sz w:val="20"/>
              <w:szCs w:val="20"/>
            </w:rPr>
            <w:t>Si bien se busca destacar la diversidad de las habilidades y talentos, también se pretende que cada persona por medio de esta pueda contribuir a la sociedad, esto significa que la sociedad debe adaptarse para no dejar de lado a ninguna persona sin importar su condición, habilidad, capacidad, sexo o género. Ahora bien, es necesario que para cumplir dicho ideal se deban eliminar barreras físicas y sociales que puedan limitar la participación plena de cada persona en los distintos aspectos de su vida, ya que cada individuo debe ser tratado con respecto y dignidad.</w:t>
          </w:r>
          <w:r>
            <w:rPr>
              <w:rFonts w:ascii="Times New Roman" w:hAnsi="Times New Roman"/>
              <w:sz w:val="20"/>
              <w:szCs w:val="20"/>
            </w:rPr>
            <w:fldChar w:fldCharType="begin"/>
          </w:r>
          <w:r>
            <w:rPr>
              <w:sz w:val="20"/>
              <w:szCs w:val="20"/>
              <w:rFonts w:ascii="Times New Roman" w:hAnsi="Times New Roman"/>
            </w:rPr>
            <w:instrText> CITATION DeE13 \l 3082 </w:instrText>
          </w:r>
          <w:r>
            <w:rPr>
              <w:sz w:val="20"/>
              <w:szCs w:val="20"/>
              <w:rFonts w:ascii="Times New Roman" w:hAnsi="Times New Roman"/>
            </w:rPr>
            <w:fldChar w:fldCharType="separate"/>
          </w:r>
          <w:r>
            <w:rPr>
              <w:sz w:val="20"/>
              <w:szCs w:val="20"/>
              <w:rFonts w:ascii="Times New Roman" w:hAnsi="Times New Roman"/>
            </w:rPr>
            <w:t xml:space="preserve"> (De, Equipo, 2013)</w:t>
          </w:r>
          <w:r>
            <w:rPr>
              <w:sz w:val="20"/>
              <w:szCs w:val="20"/>
              <w:rFonts w:ascii="Times New Roman" w:hAnsi="Times New Roman"/>
            </w:rPr>
            <w:fldChar w:fldCharType="end"/>
          </w:r>
        </w:sdtContent>
      </w:sdt>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La diversidad sexual y la de género, aunque pueden parecer muy similares cada una se enfoca en diferentes ámbitos, es decir, la diversidad sexual se refiere al sexo al cual una persona se siente atraída, en pocas palabras, su orientación sexual; mientas que la diversidad de genero va más relacionado con la identidad y expresión de género que tiene una persona, como el sentido de pertenencia que tiene una persona con su género. La equidad de género se refiere a la incorporación de medidas que compensen las desventajas de las mujeres, al mismo tiempo que brinda las mismas oportunidades, condiciones y formas de trato tanto a hombres como mujeres sin dejar las características individuales de cada uno, es decir, la equidad de género busca acabar con las desigualdades de trato y oportunidades que existe entre hombres y mujeres.</w:t>
      </w:r>
      <w:sdt>
        <w:sdtPr>
          <w:citation/>
        </w:sdtPr>
        <w:sdtContent>
          <w:r>
            <w:rPr>
              <w:rFonts w:ascii="Times New Roman" w:hAnsi="Times New Roman"/>
              <w:sz w:val="20"/>
              <w:szCs w:val="20"/>
            </w:rPr>
            <w:fldChar w:fldCharType="begin"/>
          </w:r>
          <w:r>
            <w:rPr>
              <w:sz w:val="20"/>
              <w:szCs w:val="20"/>
              <w:rFonts w:ascii="Times New Roman" w:hAnsi="Times New Roman"/>
            </w:rPr>
            <w:instrText> CITATION CIDH \l 3082 </w:instrText>
          </w:r>
          <w:r>
            <w:rPr>
              <w:sz w:val="20"/>
              <w:szCs w:val="20"/>
              <w:rFonts w:ascii="Times New Roman" w:hAnsi="Times New Roman"/>
            </w:rPr>
            <w:fldChar w:fldCharType="separate"/>
          </w:r>
          <w:r>
            <w:rPr>
              <w:sz w:val="20"/>
              <w:szCs w:val="20"/>
              <w:rFonts w:ascii="Times New Roman" w:hAnsi="Times New Roman"/>
            </w:rPr>
            <w:t xml:space="preserve"> (CIDH, s.f.)</w:t>
          </w:r>
          <w:r>
            <w:rPr>
              <w:sz w:val="20"/>
              <w:szCs w:val="20"/>
              <w:rFonts w:ascii="Times New Roman" w:hAnsi="Times New Roman"/>
            </w:rPr>
            <w:fldChar w:fldCharType="end"/>
          </w:r>
        </w:sdtContent>
      </w:sdt>
      <w:r>
        <w:rPr>
          <w:rFonts w:cs="Times New Roman" w:ascii="Times New Roman" w:hAnsi="Times New Roman"/>
          <w:sz w:val="20"/>
          <w:szCs w:val="20"/>
        </w:rPr>
        <w:t xml:space="preserve">. </w:t>
      </w:r>
      <w:r>
        <w:rPr>
          <w:rFonts w:cs="Times New Roman" w:ascii="Times New Roman" w:hAnsi="Times New Roman"/>
          <w:sz w:val="20"/>
          <w:szCs w:val="20"/>
        </w:rPr>
        <w:t>Las diferencias de trato y oportunidades en cualquier contexto o disciplina van en contra de los derechos humanos de cada individuo, desde la antigüedad las mujeres han sido las más afectadas en este sentido por cuestiones de sexo y lamentablemente la ciencia no es la excepción.</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La inclusión por otra parte se refiere a la actitud, tendencia o política de integrar a todas las personas en la sociedad, independientemente de su diversidad, con el objetivo de que estas puedan participar, contribuir y beneficiarse de ella, se busca que todos los individuos o grupos sociales puedan tener las mismas posibilidades y oportunidades para realizarse, incluso los que se encuentran en condiciones de segregación o marginación.</w:t>
      </w:r>
      <w:sdt>
        <w:sdtPr>
          <w:citation/>
        </w:sdtPr>
        <w:sdtContent>
          <w:r>
            <w:rPr>
              <w:rFonts w:ascii="Times New Roman" w:hAnsi="Times New Roman"/>
              <w:sz w:val="20"/>
              <w:szCs w:val="20"/>
            </w:rPr>
            <w:fldChar w:fldCharType="begin"/>
          </w:r>
          <w:r>
            <w:rPr>
              <w:sz w:val="20"/>
              <w:szCs w:val="20"/>
              <w:rFonts w:ascii="Times New Roman" w:hAnsi="Times New Roman"/>
            </w:rPr>
            <w:instrText> CITATION Fab17 \l 3082 </w:instrText>
          </w:r>
          <w:r>
            <w:rPr>
              <w:sz w:val="20"/>
              <w:szCs w:val="20"/>
              <w:rFonts w:ascii="Times New Roman" w:hAnsi="Times New Roman"/>
            </w:rPr>
            <w:fldChar w:fldCharType="separate"/>
          </w:r>
          <w:r>
            <w:rPr>
              <w:sz w:val="20"/>
              <w:szCs w:val="20"/>
              <w:rFonts w:ascii="Times New Roman" w:hAnsi="Times New Roman"/>
            </w:rPr>
            <w:t xml:space="preserve"> (Coelho, 2017)</w:t>
          </w:r>
          <w:r>
            <w:rPr>
              <w:sz w:val="20"/>
              <w:szCs w:val="20"/>
              <w:rFonts w:ascii="Times New Roman" w:hAnsi="Times New Roman"/>
            </w:rPr>
            <w:fldChar w:fldCharType="end"/>
          </w:r>
        </w:sdtContent>
      </w:sdt>
      <w:r>
        <w:rPr>
          <w:rFonts w:cs="Times New Roman" w:ascii="Times New Roman" w:hAnsi="Times New Roman"/>
          <w:sz w:val="20"/>
          <w:szCs w:val="20"/>
        </w:rPr>
        <w:t xml:space="preserve">. </w:t>
      </w:r>
      <w:r>
        <w:rPr>
          <w:rFonts w:cs="Times New Roman" w:ascii="Times New Roman" w:hAnsi="Times New Roman"/>
          <w:sz w:val="20"/>
          <w:szCs w:val="20"/>
        </w:rPr>
        <w:t>Si bien, ambos conceptos pueden parecer muy similares ya que ambas buscan ofrecer las mismas oportunidades a los individuos se puede decir que la inclusión lo aborda desde un aspecto más generalizado de cualquier ámbito mientras que la equidad busca hacerlo únicamente desde una perspectiva de género.</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ListParagraph"/>
        <w:numPr>
          <w:ilvl w:val="0"/>
          <w:numId w:val="0"/>
        </w:numPr>
        <w:spacing w:lineRule="auto" w:line="240" w:before="0" w:after="0"/>
        <w:ind w:left="1080" w:right="0" w:hanging="0"/>
        <w:jc w:val="both"/>
        <w:rPr>
          <w:rFonts w:ascii="Times New Roman" w:hAnsi="Times New Roman"/>
          <w:sz w:val="20"/>
          <w:szCs w:val="20"/>
        </w:rPr>
      </w:pPr>
      <w:r>
        <w:rPr>
          <w:rFonts w:cs="Times New Roman" w:ascii="Times New Roman" w:hAnsi="Times New Roman"/>
          <w:b/>
          <w:bCs/>
          <w:sz w:val="20"/>
          <w:szCs w:val="20"/>
        </w:rPr>
        <w:t xml:space="preserve">II. </w:t>
      </w:r>
      <w:r>
        <w:rPr>
          <w:rFonts w:cs="Times New Roman" w:ascii="Times New Roman" w:hAnsi="Times New Roman"/>
          <w:b/>
          <w:bCs/>
          <w:sz w:val="20"/>
          <w:szCs w:val="20"/>
        </w:rPr>
        <w:t>METODOLOGÍA</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La brecha de género en el desarrollo de disciplinas en áreas STEM comienza con la falta de inclusión que tienen las niñas al usar y/o manejar tecnologías de la información, ya sea por cuestiones ideológicas o económicas esto afecta su desarrollo escolar y en un futuro, el laboral.</w:t>
      </w:r>
      <w:sdt>
        <w:sdtPr>
          <w:citation/>
        </w:sdtPr>
        <w:sdtContent>
          <w:r>
            <w:rPr>
              <w:rFonts w:ascii="Times New Roman" w:hAnsi="Times New Roman"/>
              <w:sz w:val="20"/>
              <w:szCs w:val="20"/>
            </w:rPr>
            <w:fldChar w:fldCharType="begin"/>
          </w:r>
          <w:r>
            <w:rPr>
              <w:sz w:val="20"/>
              <w:szCs w:val="20"/>
              <w:rFonts w:ascii="Times New Roman" w:hAnsi="Times New Roman"/>
            </w:rPr>
            <w:instrText> CITATION Arr19 \l 3082 </w:instrText>
          </w:r>
          <w:r>
            <w:rPr>
              <w:sz w:val="20"/>
              <w:szCs w:val="20"/>
              <w:rFonts w:ascii="Times New Roman" w:hAnsi="Times New Roman"/>
            </w:rPr>
            <w:fldChar w:fldCharType="separate"/>
          </w:r>
          <w:r>
            <w:rPr>
              <w:sz w:val="20"/>
              <w:szCs w:val="20"/>
              <w:rFonts w:ascii="Times New Roman" w:hAnsi="Times New Roman"/>
            </w:rPr>
            <w:t xml:space="preserve"> (Arredondo Trapero, Vázquez Parra, &amp; Velázquez Sánchez, 2019)</w:t>
          </w:r>
          <w:r>
            <w:rPr>
              <w:sz w:val="20"/>
              <w:szCs w:val="20"/>
              <w:rFonts w:ascii="Times New Roman" w:hAnsi="Times New Roman"/>
            </w:rPr>
            <w:fldChar w:fldCharType="end"/>
          </w:r>
        </w:sdtContent>
      </w:sdt>
      <w:r>
        <w:rPr>
          <w:rFonts w:cs="Times New Roman" w:ascii="Times New Roman" w:hAnsi="Times New Roman"/>
          <w:sz w:val="20"/>
          <w:szCs w:val="20"/>
        </w:rPr>
        <w:t xml:space="preserve">. </w:t>
      </w:r>
      <w:r>
        <w:rPr>
          <w:rFonts w:cs="Times New Roman" w:ascii="Times New Roman" w:hAnsi="Times New Roman"/>
          <w:sz w:val="20"/>
          <w:szCs w:val="20"/>
        </w:rPr>
        <w:t xml:space="preserve">En la mayoría de los países en desarrollo, como México, el manejo de tecnologías se relaciona claramente con la posición social y la situación económica, la falta de infraestructura tecnológica en los ámbitos rurales pone a sus pobladores en clara situación de desigualdad. El acceso a la tecnología puede potenciarse o disminuirse por cuestiones de ingreso, siendo las mujeres, las más afectados por esta situación, debido a que tienden a obtener lo mínimo, ya sea por cuestiones del nivel educativo, el estatus socioeconómico, los aspectos culturales, la falta de manejo del inglés, las responsabilidades del hogar y el cuidado de los hijos. Otro de los problemas es la falta de difusión en mujeres sobre su desarrollo en áreas de conocimiento de STEM, es decir, la escasa representación de mujeres en los cursos relacionados a estos campos y la falta de modelos femeninos universitarios, así como mentores de estas disciplinas genera una falta de interés y confianza, ya que los prejuicios y estereotipos que acompañan a dichas profesiones, generan poca credibilidad en su desempeño en matemáticas y ciencias, lo que a su vez genera poca predisposición a la hora de elegir una carrera universitaria en áreas de STEM. </w:t>
      </w:r>
      <w:sdt>
        <w:sdtPr>
          <w:citation/>
        </w:sdtPr>
        <w:sdtContent>
          <w:r>
            <w:rPr>
              <w:rFonts w:ascii="Times New Roman" w:hAnsi="Times New Roman"/>
              <w:sz w:val="20"/>
              <w:szCs w:val="20"/>
            </w:rPr>
            <w:fldChar w:fldCharType="begin"/>
          </w:r>
          <w:r>
            <w:rPr>
              <w:sz w:val="20"/>
              <w:szCs w:val="20"/>
              <w:rFonts w:ascii="Times New Roman" w:hAnsi="Times New Roman"/>
            </w:rPr>
            <w:instrText> CITATION Arr19 \l 3082 </w:instrText>
          </w:r>
          <w:r>
            <w:rPr>
              <w:sz w:val="20"/>
              <w:szCs w:val="20"/>
              <w:rFonts w:ascii="Times New Roman" w:hAnsi="Times New Roman"/>
            </w:rPr>
            <w:fldChar w:fldCharType="separate"/>
          </w:r>
          <w:r>
            <w:rPr>
              <w:sz w:val="20"/>
              <w:szCs w:val="20"/>
              <w:rFonts w:ascii="Times New Roman" w:hAnsi="Times New Roman"/>
            </w:rPr>
            <w:t>(Arredondo Trapero, Vázquez Parra, &amp; Velázquez Sánchez, 2019)</w:t>
          </w:r>
          <w:r>
            <w:rPr>
              <w:sz w:val="20"/>
              <w:szCs w:val="20"/>
              <w:rFonts w:ascii="Times New Roman" w:hAnsi="Times New Roman"/>
            </w:rPr>
            <w:fldChar w:fldCharType="end"/>
          </w:r>
        </w:sdtContent>
      </w:sdt>
    </w:p>
    <w:p>
      <w:pPr>
        <w:pStyle w:val="Normal"/>
        <w:spacing w:lineRule="auto" w:line="240" w:before="0" w:after="0"/>
        <w:ind w:left="0" w:right="0" w:hanging="0"/>
        <w:jc w:val="both"/>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sdt>
        <w:sdtPr>
          <w:citation/>
        </w:sdtPr>
        <w:sdtContent>
          <w:r>
            <w:rPr>
              <w:rFonts w:cs="Times New Roman" w:ascii="Times New Roman" w:hAnsi="Times New Roman"/>
              <w:sz w:val="20"/>
              <w:szCs w:val="20"/>
            </w:rPr>
            <w:t xml:space="preserve">A esto se le suma la posibilidad de acceder a puestos dentro de áreas de STEM, es decir, el WEF </w:t>
          </w:r>
          <w:r>
            <w:rPr>
              <w:rFonts w:ascii="Times New Roman" w:hAnsi="Times New Roman"/>
              <w:sz w:val="20"/>
              <w:szCs w:val="20"/>
            </w:rPr>
            <w:fldChar w:fldCharType="begin"/>
          </w:r>
          <w:r>
            <w:rPr>
              <w:sz w:val="20"/>
              <w:szCs w:val="20"/>
              <w:rFonts w:ascii="Times New Roman" w:hAnsi="Times New Roman"/>
            </w:rPr>
            <w:instrText>CITATION Kla14 \l 3082 </w:instrText>
          </w:r>
          <w:r>
            <w:rPr>
              <w:sz w:val="20"/>
              <w:szCs w:val="20"/>
              <w:rFonts w:ascii="Times New Roman" w:hAnsi="Times New Roman"/>
            </w:rPr>
            <w:fldChar w:fldCharType="separate"/>
          </w:r>
          <w:r>
            <w:rPr>
              <w:sz w:val="20"/>
              <w:szCs w:val="20"/>
              <w:rFonts w:ascii="Times New Roman" w:hAnsi="Times New Roman"/>
            </w:rPr>
            <w:t>(Forum, 2014)</w:t>
          </w:r>
          <w:r>
            <w:rPr>
              <w:sz w:val="20"/>
              <w:szCs w:val="20"/>
              <w:rFonts w:ascii="Times New Roman" w:hAnsi="Times New Roman"/>
            </w:rPr>
            <w:fldChar w:fldCharType="end"/>
          </w:r>
        </w:sdtContent>
      </w:sdt>
      <w:r>
        <w:rPr>
          <w:rFonts w:cs="Times New Roman" w:ascii="Times New Roman" w:hAnsi="Times New Roman"/>
          <w:sz w:val="20"/>
          <w:szCs w:val="20"/>
        </w:rPr>
        <w:t xml:space="preserve"> estima que las mujeres pueden obtener un solo puesto por cada cuatro hombres en un trabajo en áreas de STEM, lo que ocasiona </w:t>
      </w:r>
      <w:r>
        <w:rPr>
          <w:rFonts w:cs="Times New Roman" w:ascii="Times New Roman" w:hAnsi="Times New Roman"/>
          <w:sz w:val="20"/>
          <w:szCs w:val="20"/>
        </w:rPr>
        <w:t xml:space="preserve">una mayor preferencia en </w:t>
      </w:r>
      <w:r>
        <w:rPr>
          <w:rFonts w:cs="Times New Roman" w:ascii="Times New Roman" w:hAnsi="Times New Roman"/>
          <w:color w:val="000000"/>
          <w:sz w:val="20"/>
          <w:szCs w:val="20"/>
        </w:rPr>
        <w:t>campos de humanidades, ciencias sociales o las disciplinas administrativas.</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La UPIIH inició actividades el 27 de agosto del 2015, desde ese año a la fecha se ha visualizado que la participación de mujeres en las carreras de Ingeniería en Sistemas Automotrices (duración de la carrera de 9 semestres) e Ingeniería en Mecatrónica (duración de la cerrera de 10 semestres) no es equitativa, considerando el total del alumnado, esto se acentúa aún más en la carrera de Ingeniería en Sistemas Automotrices, como se observa en la Tabla 1. Es decir, de acuerdo con los datos recabados del Departamento de Gestión Escolar de la misma unidad el número de estudiantes mujeres que logran concluir sus créditos, es menor que el de mujeres estudiantes que ingresan a ambas ingenierías, como se muestra en la </w:t>
      </w:r>
      <w:r>
        <w:rPr>
          <w:rFonts w:cs="Times New Roman" w:ascii="Times New Roman" w:hAnsi="Times New Roman"/>
          <w:sz w:val="20"/>
          <w:szCs w:val="20"/>
        </w:rPr>
        <w:t>Figura</w:t>
      </w:r>
      <w:r>
        <w:rPr>
          <w:rFonts w:cs="Times New Roman" w:ascii="Times New Roman" w:hAnsi="Times New Roman"/>
          <w:sz w:val="20"/>
          <w:szCs w:val="20"/>
        </w:rPr>
        <w:t xml:space="preserve"> 1. Algo que es aún más alarmante es el número tan bajo o nulo de mujeres que logran concluir sus créditos en Sistemas Automotrices ya que existen generaciones donde no hay estudiantes que egresen de acuerdo con el número de semestres totales que se consideran por carrera, esto es muy evidente en la</w:t>
      </w:r>
      <w:r>
        <w:rPr>
          <w:rFonts w:cs="Times New Roman" w:ascii="Times New Roman" w:hAnsi="Times New Roman"/>
          <w:sz w:val="20"/>
          <w:szCs w:val="20"/>
        </w:rPr>
        <w:t>s Figuras</w:t>
      </w:r>
      <w:r>
        <w:rPr>
          <w:rFonts w:cs="Times New Roman" w:ascii="Times New Roman" w:hAnsi="Times New Roman"/>
          <w:sz w:val="20"/>
          <w:szCs w:val="20"/>
        </w:rPr>
        <w:t xml:space="preserve"> 2 y 3.</w:t>
      </w:r>
    </w:p>
    <w:p>
      <w:pPr>
        <w:pStyle w:val="Normal"/>
        <w:keepNext w:val="true"/>
        <w:spacing w:lineRule="auto" w:line="240" w:before="0" w:after="0"/>
        <w:ind w:left="0" w:right="0" w:hanging="0"/>
        <w:jc w:val="both"/>
        <w:rPr>
          <w:rFonts w:ascii="Times New Roman" w:hAnsi="Times New Roman"/>
          <w:sz w:val="20"/>
          <w:szCs w:val="20"/>
        </w:rPr>
      </w:pPr>
      <w:r>
        <w:rPr>
          <w:rFonts w:ascii="Times New Roman" w:hAnsi="Times New Roman"/>
          <w:sz w:val="20"/>
          <w:szCs w:val="20"/>
        </w:rPr>
        <w:drawing>
          <wp:anchor behindDoc="0" distT="0" distB="0" distL="0" distR="0" simplePos="0" locked="0" layoutInCell="0" allowOverlap="1" relativeHeight="6">
            <wp:simplePos x="0" y="0"/>
            <wp:positionH relativeFrom="column">
              <wp:align>center</wp:align>
            </wp:positionH>
            <wp:positionV relativeFrom="paragraph">
              <wp:posOffset>104140</wp:posOffset>
            </wp:positionV>
            <wp:extent cx="2471420" cy="2222500"/>
            <wp:effectExtent l="0" t="0" r="0" b="0"/>
            <wp:wrapSquare wrapText="largest"/>
            <wp:docPr id="3"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 descr=""/>
                    <pic:cNvPicPr>
                      <a:picLocks noChangeAspect="1" noChangeArrowheads="1"/>
                    </pic:cNvPicPr>
                  </pic:nvPicPr>
                  <pic:blipFill>
                    <a:blip r:embed="rId15"/>
                    <a:stretch>
                      <a:fillRect/>
                    </a:stretch>
                  </pic:blipFill>
                  <pic:spPr bwMode="auto">
                    <a:xfrm>
                      <a:off x="0" y="0"/>
                      <a:ext cx="2471420" cy="2222500"/>
                    </a:xfrm>
                    <a:prstGeom prst="rect">
                      <a:avLst/>
                    </a:prstGeom>
                  </pic:spPr>
                </pic:pic>
              </a:graphicData>
            </a:graphic>
          </wp:anchor>
        </w:drawing>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2463165" cy="2219325"/>
            <wp:effectExtent l="0" t="0" r="0" b="0"/>
            <wp:wrapSquare wrapText="largest"/>
            <wp:docPr id="4"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descr=""/>
                    <pic:cNvPicPr>
                      <a:picLocks noChangeAspect="1" noChangeArrowheads="1"/>
                    </pic:cNvPicPr>
                  </pic:nvPicPr>
                  <pic:blipFill>
                    <a:blip r:embed="rId16"/>
                    <a:stretch>
                      <a:fillRect/>
                    </a:stretch>
                  </pic:blipFill>
                  <pic:spPr bwMode="auto">
                    <a:xfrm>
                      <a:off x="0" y="0"/>
                      <a:ext cx="2463165" cy="2219325"/>
                    </a:xfrm>
                    <a:prstGeom prst="rect">
                      <a:avLst/>
                    </a:prstGeom>
                  </pic:spPr>
                </pic:pic>
              </a:graphicData>
            </a:graphic>
          </wp:anchor>
        </w:drawing>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Caption"/>
        <w:spacing w:lineRule="auto" w:line="240" w:before="0" w:after="0"/>
        <w:ind w:left="0" w:right="0" w:hanging="0"/>
        <w:jc w:val="center"/>
        <w:rPr>
          <w:rFonts w:cs="Times New Roman"/>
        </w:rPr>
      </w:pPr>
      <w:r>
        <w:rPr>
          <w:rFonts w:ascii="Times New Roman" w:hAnsi="Times New Roman"/>
          <w:b w:val="false"/>
          <w:bCs w:val="false"/>
          <w:color w:val="000000"/>
          <w:sz w:val="20"/>
          <w:szCs w:val="20"/>
        </w:rPr>
      </w:r>
    </w:p>
    <w:p>
      <w:pPr>
        <w:pStyle w:val="Caption"/>
        <w:spacing w:lineRule="auto" w:line="240" w:before="0" w:after="0"/>
        <w:ind w:left="0" w:right="0" w:hanging="0"/>
        <w:jc w:val="center"/>
        <w:rPr>
          <w:rFonts w:cs="Times New Roman"/>
        </w:rPr>
      </w:pPr>
      <w:r>
        <w:rPr>
          <w:rFonts w:ascii="Times New Roman" w:hAnsi="Times New Roman"/>
          <w:b w:val="false"/>
          <w:bCs w:val="false"/>
          <w:color w:val="000000"/>
          <w:sz w:val="20"/>
          <w:szCs w:val="20"/>
        </w:rPr>
      </w:r>
    </w:p>
    <w:p>
      <w:pPr>
        <w:pStyle w:val="Caption"/>
        <w:spacing w:lineRule="auto" w:line="240" w:before="0" w:after="0"/>
        <w:ind w:left="0" w:right="0" w:hanging="0"/>
        <w:jc w:val="center"/>
        <w:rPr>
          <w:rFonts w:cs="Times New Roman"/>
        </w:rPr>
      </w:pPr>
      <w:r>
        <w:rPr>
          <w:rFonts w:ascii="Times New Roman" w:hAnsi="Times New Roman"/>
          <w:b w:val="false"/>
          <w:bCs w:val="false"/>
          <w:color w:val="000000"/>
          <w:sz w:val="20"/>
          <w:szCs w:val="20"/>
        </w:rPr>
      </w:r>
    </w:p>
    <w:p>
      <w:pPr>
        <w:pStyle w:val="Caption"/>
        <w:spacing w:lineRule="auto" w:line="240" w:before="0" w:after="0"/>
        <w:ind w:left="0" w:right="0" w:hanging="0"/>
        <w:jc w:val="center"/>
        <w:rPr>
          <w:rFonts w:ascii="Times New Roman" w:hAnsi="Times New Roman"/>
          <w:b w:val="false"/>
          <w:b w:val="false"/>
          <w:bCs w:val="false"/>
          <w:color w:val="000000"/>
          <w:sz w:val="20"/>
          <w:szCs w:val="20"/>
        </w:rPr>
      </w:pPr>
      <w:r>
        <w:rPr>
          <w:rFonts w:cs="Times New Roman" w:ascii="Times New Roman" w:hAnsi="Times New Roman"/>
          <w:b w:val="false"/>
          <w:bCs w:val="false"/>
          <w:color w:val="000000"/>
          <w:sz w:val="20"/>
          <w:szCs w:val="20"/>
        </w:rPr>
        <w:t>Figura</w:t>
      </w:r>
      <w:r>
        <w:rPr>
          <w:rFonts w:cs="Times New Roman" w:ascii="Times New Roman" w:hAnsi="Times New Roman"/>
          <w:b w:val="false"/>
          <w:bCs w:val="false"/>
          <w:color w:val="000000"/>
          <w:sz w:val="20"/>
          <w:szCs w:val="20"/>
        </w:rPr>
        <w:t xml:space="preserve"> </w:t>
      </w:r>
      <w:r>
        <w:rPr>
          <w:rFonts w:cs="Times New Roman" w:ascii="Times New Roman" w:hAnsi="Times New Roman"/>
          <w:b w:val="false"/>
          <w:bCs w:val="false"/>
          <w:color w:val="000000"/>
          <w:sz w:val="20"/>
          <w:szCs w:val="20"/>
        </w:rPr>
        <w:fldChar w:fldCharType="begin"/>
      </w:r>
      <w:r>
        <w:rPr>
          <w:sz w:val="20"/>
          <w:b w:val="false"/>
          <w:szCs w:val="20"/>
          <w:bCs w:val="false"/>
          <w:rFonts w:cs="Times New Roman" w:ascii="Times New Roman" w:hAnsi="Times New Roman"/>
          <w:color w:val="000000"/>
        </w:rPr>
        <w:instrText> SEQ Ilustración \* ARABIC </w:instrText>
      </w:r>
      <w:r>
        <w:rPr>
          <w:sz w:val="20"/>
          <w:b w:val="false"/>
          <w:szCs w:val="20"/>
          <w:bCs w:val="false"/>
          <w:rFonts w:cs="Times New Roman" w:ascii="Times New Roman" w:hAnsi="Times New Roman"/>
          <w:color w:val="000000"/>
        </w:rPr>
        <w:fldChar w:fldCharType="separate"/>
      </w:r>
      <w:r>
        <w:rPr>
          <w:sz w:val="20"/>
          <w:b w:val="false"/>
          <w:szCs w:val="20"/>
          <w:bCs w:val="false"/>
          <w:rFonts w:cs="Times New Roman" w:ascii="Times New Roman" w:hAnsi="Times New Roman"/>
          <w:color w:val="000000"/>
        </w:rPr>
        <w:t>1</w:t>
      </w:r>
      <w:r>
        <w:rPr>
          <w:sz w:val="20"/>
          <w:b w:val="false"/>
          <w:szCs w:val="20"/>
          <w:bCs w:val="false"/>
          <w:rFonts w:cs="Times New Roman" w:ascii="Times New Roman" w:hAnsi="Times New Roman"/>
          <w:color w:val="000000"/>
        </w:rPr>
        <w:fldChar w:fldCharType="end"/>
      </w:r>
      <w:r>
        <w:rPr>
          <w:rFonts w:cs="Times New Roman" w:ascii="Times New Roman" w:hAnsi="Times New Roman"/>
          <w:b w:val="false"/>
          <w:bCs w:val="false"/>
          <w:color w:val="000000"/>
          <w:sz w:val="20"/>
          <w:szCs w:val="20"/>
        </w:rPr>
        <w:t xml:space="preserve">. Comparativa anual (2018-2024) de las alumnas inscritas y egresadas en las carreras de Ingeniería en Sistemas Automotrices e Ingeniería en Mecatrónica. Fuente: Elaboración </w:t>
      </w:r>
      <w:r>
        <w:rPr>
          <w:rFonts w:cs="Times New Roman" w:ascii="Times New Roman" w:hAnsi="Times New Roman"/>
          <w:b w:val="false"/>
          <w:bCs w:val="false"/>
          <w:color w:val="000000"/>
          <w:sz w:val="20"/>
          <w:szCs w:val="20"/>
        </w:rPr>
        <w:t>p</w:t>
      </w:r>
      <w:r>
        <w:rPr>
          <w:rFonts w:cs="Times New Roman" w:ascii="Times New Roman" w:hAnsi="Times New Roman"/>
          <w:b w:val="false"/>
          <w:bCs w:val="false"/>
          <w:color w:val="000000"/>
          <w:sz w:val="20"/>
          <w:szCs w:val="20"/>
        </w:rPr>
        <w:t>ropia.</w:t>
      </w:r>
    </w:p>
    <w:p>
      <w:pPr>
        <w:pStyle w:val="Caption"/>
        <w:keepNext w:val="true"/>
        <w:spacing w:lineRule="auto" w:line="240" w:before="0" w:after="0"/>
        <w:ind w:left="0" w:right="0" w:hanging="0"/>
        <w:jc w:val="center"/>
        <w:rPr>
          <w:rFonts w:cs="Times New Roman"/>
        </w:rPr>
      </w:pPr>
      <w:r>
        <w:rPr>
          <w:rFonts w:ascii="Times New Roman" w:hAnsi="Times New Roman"/>
          <w:b/>
          <w:bCs/>
          <w:i w:val="false"/>
          <w:iCs w:val="false"/>
          <w:color w:val="000000"/>
          <w:sz w:val="20"/>
          <w:szCs w:val="20"/>
        </w:rPr>
      </w:r>
    </w:p>
    <w:p>
      <w:pPr>
        <w:pStyle w:val="Caption"/>
        <w:spacing w:lineRule="auto" w:line="240" w:before="0" w:after="0"/>
        <w:ind w:left="0" w:right="0" w:hanging="0"/>
        <w:jc w:val="center"/>
        <w:rPr>
          <w:rFonts w:ascii="Times New Roman" w:hAnsi="Times New Roman"/>
          <w:b/>
          <w:b/>
          <w:bCs/>
          <w:i w:val="false"/>
          <w:i w:val="false"/>
          <w:iCs w:val="false"/>
          <w:color w:val="000000"/>
          <w:sz w:val="20"/>
          <w:szCs w:val="20"/>
        </w:rPr>
      </w:pPr>
      <w:r>
        <w:rPr>
          <w:rFonts w:cs="Times New Roman" w:ascii="Times New Roman" w:hAnsi="Times New Roman"/>
          <w:b/>
          <w:bCs/>
          <w:i w:val="false"/>
          <w:iCs w:val="false"/>
          <w:color w:val="000000"/>
          <w:sz w:val="20"/>
          <w:szCs w:val="20"/>
        </w:rPr>
        <w:t xml:space="preserve">Tabla </w:t>
      </w:r>
      <w:r>
        <w:rPr>
          <w:rFonts w:cs="Times New Roman" w:ascii="Times New Roman" w:hAnsi="Times New Roman"/>
          <w:b/>
          <w:bCs/>
          <w:i w:val="false"/>
          <w:iCs w:val="false"/>
          <w:color w:val="000000"/>
          <w:sz w:val="20"/>
          <w:szCs w:val="20"/>
        </w:rPr>
        <w:fldChar w:fldCharType="begin"/>
      </w:r>
      <w:r>
        <w:rPr>
          <w:sz w:val="20"/>
          <w:i w:val="false"/>
          <w:b/>
          <w:szCs w:val="20"/>
          <w:iCs w:val="false"/>
          <w:bCs/>
          <w:rFonts w:cs="Times New Roman" w:ascii="Times New Roman" w:hAnsi="Times New Roman"/>
          <w:color w:val="000000"/>
        </w:rPr>
        <w:instrText> SEQ Tabla \* ARABIC </w:instrText>
      </w:r>
      <w:r>
        <w:rPr>
          <w:sz w:val="20"/>
          <w:i w:val="false"/>
          <w:b/>
          <w:szCs w:val="20"/>
          <w:iCs w:val="false"/>
          <w:bCs/>
          <w:rFonts w:cs="Times New Roman" w:ascii="Times New Roman" w:hAnsi="Times New Roman"/>
          <w:color w:val="000000"/>
        </w:rPr>
        <w:fldChar w:fldCharType="separate"/>
      </w:r>
      <w:r>
        <w:rPr>
          <w:sz w:val="20"/>
          <w:i w:val="false"/>
          <w:b/>
          <w:szCs w:val="20"/>
          <w:iCs w:val="false"/>
          <w:bCs/>
          <w:rFonts w:cs="Times New Roman" w:ascii="Times New Roman" w:hAnsi="Times New Roman"/>
          <w:color w:val="000000"/>
        </w:rPr>
        <w:t>2</w:t>
      </w:r>
      <w:r>
        <w:rPr>
          <w:sz w:val="20"/>
          <w:i w:val="false"/>
          <w:b/>
          <w:szCs w:val="20"/>
          <w:iCs w:val="false"/>
          <w:bCs/>
          <w:rFonts w:cs="Times New Roman" w:ascii="Times New Roman" w:hAnsi="Times New Roman"/>
          <w:color w:val="000000"/>
        </w:rPr>
        <w:fldChar w:fldCharType="end"/>
      </w:r>
      <w:r>
        <w:rPr>
          <w:rFonts w:cs="Times New Roman" w:ascii="Times New Roman" w:hAnsi="Times New Roman"/>
          <w:b/>
          <w:bCs/>
          <w:i w:val="false"/>
          <w:iCs w:val="false"/>
          <w:color w:val="000000"/>
          <w:sz w:val="20"/>
          <w:szCs w:val="20"/>
        </w:rPr>
        <w:t xml:space="preserve">: Número de mujeres ingresadas anualmente en comparación con el total de alumnos en las carreras de Ingeniería en Sistemas Automotrices e Ingeniería en Mecatrónica. Fuente: Elaboración </w:t>
      </w:r>
      <w:r>
        <w:rPr>
          <w:rFonts w:cs="Times New Roman" w:ascii="Times New Roman" w:hAnsi="Times New Roman"/>
          <w:b/>
          <w:bCs/>
          <w:i w:val="false"/>
          <w:iCs w:val="false"/>
          <w:color w:val="000000"/>
          <w:sz w:val="20"/>
          <w:szCs w:val="20"/>
        </w:rPr>
        <w:t>p</w:t>
      </w:r>
      <w:r>
        <w:rPr>
          <w:rFonts w:cs="Times New Roman" w:ascii="Times New Roman" w:hAnsi="Times New Roman"/>
          <w:b/>
          <w:bCs/>
          <w:i w:val="false"/>
          <w:iCs w:val="false"/>
          <w:color w:val="000000"/>
          <w:sz w:val="20"/>
          <w:szCs w:val="20"/>
        </w:rPr>
        <w:t>ropia.</w:t>
      </w:r>
    </w:p>
    <w:tbl>
      <w:tblPr>
        <w:tblStyle w:val="Tablaconcuadrcula"/>
        <w:tblW w:w="453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38"/>
        <w:gridCol w:w="1378"/>
        <w:gridCol w:w="992"/>
        <w:gridCol w:w="1003"/>
        <w:gridCol w:w="724"/>
      </w:tblGrid>
      <w:tr>
        <w:trPr>
          <w:trHeight w:val="300" w:hRule="atLeast"/>
        </w:trPr>
        <w:tc>
          <w:tcPr>
            <w:tcW w:w="438" w:type="dxa"/>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r>
          </w:p>
        </w:tc>
        <w:tc>
          <w:tcPr>
            <w:tcW w:w="2370" w:type="dxa"/>
            <w:gridSpan w:val="2"/>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Ingeniería en Sistemas Automotrices</w:t>
            </w:r>
          </w:p>
        </w:tc>
        <w:tc>
          <w:tcPr>
            <w:tcW w:w="1727" w:type="dxa"/>
            <w:gridSpan w:val="2"/>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Ingeniería en Mecatrónica</w:t>
            </w:r>
          </w:p>
        </w:tc>
      </w:tr>
      <w:tr>
        <w:trPr>
          <w:trHeight w:val="300" w:hRule="atLeast"/>
        </w:trPr>
        <w:tc>
          <w:tcPr>
            <w:tcW w:w="438" w:type="dxa"/>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Año</w:t>
            </w:r>
          </w:p>
        </w:tc>
        <w:tc>
          <w:tcPr>
            <w:tcW w:w="1378" w:type="dxa"/>
            <w:tcBorders/>
          </w:tcPr>
          <w:p>
            <w:pPr>
              <w:pStyle w:val="Normal"/>
              <w:widowControl/>
              <w:spacing w:lineRule="auto" w:line="240" w:before="0" w:after="0"/>
              <w:ind w:left="0" w:right="0" w:hanging="0"/>
              <w:jc w:val="lef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Mujeres</w:t>
            </w:r>
          </w:p>
        </w:tc>
        <w:tc>
          <w:tcPr>
            <w:tcW w:w="992" w:type="dxa"/>
            <w:tcBorders/>
          </w:tcPr>
          <w:p>
            <w:pPr>
              <w:pStyle w:val="Normal"/>
              <w:widowControl/>
              <w:spacing w:lineRule="auto" w:line="240" w:before="0" w:after="0"/>
              <w:ind w:left="0" w:right="0" w:hanging="0"/>
              <w:jc w:val="lef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Total</w:t>
            </w:r>
          </w:p>
        </w:tc>
        <w:tc>
          <w:tcPr>
            <w:tcW w:w="1003" w:type="dxa"/>
            <w:tcBorders/>
          </w:tcPr>
          <w:p>
            <w:pPr>
              <w:pStyle w:val="Normal"/>
              <w:widowControl/>
              <w:spacing w:lineRule="auto" w:line="240" w:before="0" w:after="0"/>
              <w:ind w:left="0" w:right="0" w:hanging="0"/>
              <w:jc w:val="lef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Mujeres</w:t>
            </w:r>
          </w:p>
        </w:tc>
        <w:tc>
          <w:tcPr>
            <w:tcW w:w="724" w:type="dxa"/>
            <w:tcBorders/>
          </w:tcPr>
          <w:p>
            <w:pPr>
              <w:pStyle w:val="Normal"/>
              <w:widowControl/>
              <w:spacing w:lineRule="auto" w:line="240" w:before="0" w:after="0"/>
              <w:ind w:left="0" w:right="0" w:hanging="0"/>
              <w:jc w:val="lef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Total</w:t>
            </w:r>
          </w:p>
        </w:tc>
      </w:tr>
      <w:tr>
        <w:trPr>
          <w:trHeight w:val="300" w:hRule="atLeast"/>
        </w:trPr>
        <w:tc>
          <w:tcPr>
            <w:tcW w:w="438" w:type="dxa"/>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2018</w:t>
            </w:r>
          </w:p>
        </w:tc>
        <w:tc>
          <w:tcPr>
            <w:tcW w:w="1378"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10</w:t>
            </w:r>
          </w:p>
        </w:tc>
        <w:tc>
          <w:tcPr>
            <w:tcW w:w="992"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94</w:t>
            </w:r>
          </w:p>
        </w:tc>
        <w:tc>
          <w:tcPr>
            <w:tcW w:w="1003"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18</w:t>
            </w:r>
          </w:p>
        </w:tc>
        <w:tc>
          <w:tcPr>
            <w:tcW w:w="724"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104</w:t>
            </w:r>
          </w:p>
        </w:tc>
      </w:tr>
      <w:tr>
        <w:trPr>
          <w:trHeight w:val="300" w:hRule="atLeast"/>
        </w:trPr>
        <w:tc>
          <w:tcPr>
            <w:tcW w:w="438" w:type="dxa"/>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2019</w:t>
            </w:r>
          </w:p>
        </w:tc>
        <w:tc>
          <w:tcPr>
            <w:tcW w:w="1378"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14</w:t>
            </w:r>
          </w:p>
        </w:tc>
        <w:tc>
          <w:tcPr>
            <w:tcW w:w="992"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116</w:t>
            </w:r>
          </w:p>
        </w:tc>
        <w:tc>
          <w:tcPr>
            <w:tcW w:w="1003"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11</w:t>
            </w:r>
          </w:p>
        </w:tc>
        <w:tc>
          <w:tcPr>
            <w:tcW w:w="724"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126</w:t>
            </w:r>
          </w:p>
        </w:tc>
      </w:tr>
      <w:tr>
        <w:trPr>
          <w:trHeight w:val="300" w:hRule="atLeast"/>
        </w:trPr>
        <w:tc>
          <w:tcPr>
            <w:tcW w:w="438" w:type="dxa"/>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2020</w:t>
            </w:r>
          </w:p>
        </w:tc>
        <w:tc>
          <w:tcPr>
            <w:tcW w:w="1378"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15</w:t>
            </w:r>
          </w:p>
        </w:tc>
        <w:tc>
          <w:tcPr>
            <w:tcW w:w="992"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113</w:t>
            </w:r>
          </w:p>
        </w:tc>
        <w:tc>
          <w:tcPr>
            <w:tcW w:w="1003"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30</w:t>
            </w:r>
          </w:p>
        </w:tc>
        <w:tc>
          <w:tcPr>
            <w:tcW w:w="724"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113</w:t>
            </w:r>
          </w:p>
        </w:tc>
      </w:tr>
      <w:tr>
        <w:trPr>
          <w:trHeight w:val="300" w:hRule="atLeast"/>
        </w:trPr>
        <w:tc>
          <w:tcPr>
            <w:tcW w:w="438" w:type="dxa"/>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2021</w:t>
            </w:r>
          </w:p>
        </w:tc>
        <w:tc>
          <w:tcPr>
            <w:tcW w:w="1378"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16</w:t>
            </w:r>
          </w:p>
        </w:tc>
        <w:tc>
          <w:tcPr>
            <w:tcW w:w="992"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110</w:t>
            </w:r>
          </w:p>
        </w:tc>
        <w:tc>
          <w:tcPr>
            <w:tcW w:w="1003"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18</w:t>
            </w:r>
          </w:p>
        </w:tc>
        <w:tc>
          <w:tcPr>
            <w:tcW w:w="724"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119</w:t>
            </w:r>
          </w:p>
        </w:tc>
      </w:tr>
      <w:tr>
        <w:trPr>
          <w:trHeight w:val="300" w:hRule="atLeast"/>
        </w:trPr>
        <w:tc>
          <w:tcPr>
            <w:tcW w:w="438" w:type="dxa"/>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2022</w:t>
            </w:r>
          </w:p>
        </w:tc>
        <w:tc>
          <w:tcPr>
            <w:tcW w:w="1378"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 xml:space="preserve">10 </w:t>
            </w:r>
          </w:p>
        </w:tc>
        <w:tc>
          <w:tcPr>
            <w:tcW w:w="992"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100</w:t>
            </w:r>
          </w:p>
        </w:tc>
        <w:tc>
          <w:tcPr>
            <w:tcW w:w="1003"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14</w:t>
            </w:r>
          </w:p>
        </w:tc>
        <w:tc>
          <w:tcPr>
            <w:tcW w:w="724"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118</w:t>
            </w:r>
          </w:p>
        </w:tc>
      </w:tr>
      <w:tr>
        <w:trPr>
          <w:trHeight w:val="300" w:hRule="atLeast"/>
        </w:trPr>
        <w:tc>
          <w:tcPr>
            <w:tcW w:w="438" w:type="dxa"/>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2023</w:t>
            </w:r>
          </w:p>
        </w:tc>
        <w:tc>
          <w:tcPr>
            <w:tcW w:w="1378"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8</w:t>
            </w:r>
          </w:p>
        </w:tc>
        <w:tc>
          <w:tcPr>
            <w:tcW w:w="992"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95</w:t>
            </w:r>
          </w:p>
        </w:tc>
        <w:tc>
          <w:tcPr>
            <w:tcW w:w="1003"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16</w:t>
            </w:r>
          </w:p>
        </w:tc>
        <w:tc>
          <w:tcPr>
            <w:tcW w:w="724"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96</w:t>
            </w:r>
          </w:p>
        </w:tc>
      </w:tr>
      <w:tr>
        <w:trPr>
          <w:trHeight w:val="300" w:hRule="atLeast"/>
        </w:trPr>
        <w:tc>
          <w:tcPr>
            <w:tcW w:w="438" w:type="dxa"/>
            <w:tcBorders/>
          </w:tcPr>
          <w:p>
            <w:pPr>
              <w:pStyle w:val="Normal"/>
              <w:widowControl/>
              <w:spacing w:lineRule="auto" w:line="240" w:before="0" w:after="0"/>
              <w:ind w:left="0" w:right="0" w:hanging="0"/>
              <w:jc w:val="center"/>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2024</w:t>
            </w:r>
          </w:p>
        </w:tc>
        <w:tc>
          <w:tcPr>
            <w:tcW w:w="1378"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11</w:t>
            </w:r>
          </w:p>
        </w:tc>
        <w:tc>
          <w:tcPr>
            <w:tcW w:w="992"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96</w:t>
            </w:r>
          </w:p>
        </w:tc>
        <w:tc>
          <w:tcPr>
            <w:tcW w:w="1003"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19</w:t>
            </w:r>
          </w:p>
        </w:tc>
        <w:tc>
          <w:tcPr>
            <w:tcW w:w="724" w:type="dxa"/>
            <w:tcBorders/>
          </w:tcPr>
          <w:p>
            <w:pPr>
              <w:pStyle w:val="Normal"/>
              <w:widowControl/>
              <w:spacing w:lineRule="auto" w:line="240" w:before="0" w:after="0"/>
              <w:ind w:left="0" w:right="0" w:hanging="0"/>
              <w:jc w:val="right"/>
              <w:rPr>
                <w:rFonts w:ascii="Times New Roman" w:hAnsi="Times New Roman" w:eastAsia="Times New Roman" w:cs="Times New Roman"/>
                <w:color w:val="000000"/>
                <w:kern w:val="0"/>
                <w:sz w:val="20"/>
                <w:szCs w:val="20"/>
                <w:lang w:val="es-MX" w:eastAsia="es-MX" w:bidi="ar-SA"/>
              </w:rPr>
            </w:pPr>
            <w:r>
              <w:rPr>
                <w:rFonts w:eastAsia="Times New Roman" w:cs="Times New Roman" w:ascii="Times New Roman" w:hAnsi="Times New Roman"/>
                <w:color w:val="000000"/>
                <w:kern w:val="0"/>
                <w:sz w:val="20"/>
                <w:szCs w:val="20"/>
                <w:lang w:val="es-MX" w:eastAsia="es-MX" w:bidi="ar-SA"/>
              </w:rPr>
              <w:t>113</w:t>
            </w:r>
          </w:p>
        </w:tc>
      </w:tr>
    </w:tbl>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Normal"/>
        <w:keepNext w:val="true"/>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59405" cy="1567815"/>
            <wp:effectExtent l="0" t="0" r="0" b="0"/>
            <wp:docPr id="5" name="Objeto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Caption"/>
        <w:spacing w:lineRule="auto" w:line="240" w:before="0" w:after="0"/>
        <w:ind w:left="0" w:right="0" w:hanging="0"/>
        <w:jc w:val="center"/>
        <w:rPr>
          <w:rFonts w:ascii="Times New Roman" w:hAnsi="Times New Roman"/>
          <w:b w:val="false"/>
          <w:b w:val="false"/>
          <w:bCs w:val="false"/>
          <w:color w:val="000000"/>
          <w:sz w:val="20"/>
          <w:szCs w:val="20"/>
        </w:rPr>
      </w:pPr>
      <w:r>
        <w:rPr>
          <w:rFonts w:cs="Times New Roman" w:ascii="Times New Roman" w:hAnsi="Times New Roman"/>
          <w:b w:val="false"/>
          <w:bCs w:val="false"/>
          <w:color w:val="000000"/>
          <w:sz w:val="20"/>
          <w:szCs w:val="20"/>
        </w:rPr>
        <w:t>Figura</w:t>
      </w:r>
      <w:r>
        <w:rPr>
          <w:rFonts w:cs="Times New Roman" w:ascii="Times New Roman" w:hAnsi="Times New Roman"/>
          <w:b w:val="false"/>
          <w:bCs w:val="false"/>
          <w:color w:val="000000"/>
          <w:sz w:val="20"/>
          <w:szCs w:val="20"/>
        </w:rPr>
        <w:t xml:space="preserve"> </w:t>
      </w:r>
      <w:r>
        <w:rPr>
          <w:rFonts w:cs="Times New Roman" w:ascii="Times New Roman" w:hAnsi="Times New Roman"/>
          <w:b w:val="false"/>
          <w:bCs w:val="false"/>
          <w:color w:val="000000"/>
          <w:sz w:val="20"/>
          <w:szCs w:val="20"/>
        </w:rPr>
        <w:fldChar w:fldCharType="begin"/>
      </w:r>
      <w:r>
        <w:rPr>
          <w:sz w:val="20"/>
          <w:b w:val="false"/>
          <w:szCs w:val="20"/>
          <w:bCs w:val="false"/>
          <w:rFonts w:cs="Times New Roman" w:ascii="Times New Roman" w:hAnsi="Times New Roman"/>
          <w:color w:val="000000"/>
        </w:rPr>
        <w:instrText> SEQ Ilustración \* ARABIC </w:instrText>
      </w:r>
      <w:r>
        <w:rPr>
          <w:sz w:val="20"/>
          <w:b w:val="false"/>
          <w:szCs w:val="20"/>
          <w:bCs w:val="false"/>
          <w:rFonts w:cs="Times New Roman" w:ascii="Times New Roman" w:hAnsi="Times New Roman"/>
          <w:color w:val="000000"/>
        </w:rPr>
        <w:fldChar w:fldCharType="separate"/>
      </w:r>
      <w:r>
        <w:rPr>
          <w:sz w:val="20"/>
          <w:b w:val="false"/>
          <w:szCs w:val="20"/>
          <w:bCs w:val="false"/>
          <w:rFonts w:cs="Times New Roman" w:ascii="Times New Roman" w:hAnsi="Times New Roman"/>
          <w:color w:val="000000"/>
        </w:rPr>
        <w:t>2</w:t>
      </w:r>
      <w:r>
        <w:rPr>
          <w:sz w:val="20"/>
          <w:b w:val="false"/>
          <w:szCs w:val="20"/>
          <w:bCs w:val="false"/>
          <w:rFonts w:cs="Times New Roman" w:ascii="Times New Roman" w:hAnsi="Times New Roman"/>
          <w:color w:val="000000"/>
        </w:rPr>
        <w:fldChar w:fldCharType="end"/>
      </w:r>
      <w:r>
        <w:rPr>
          <w:rFonts w:cs="Times New Roman" w:ascii="Times New Roman" w:hAnsi="Times New Roman"/>
          <w:b w:val="false"/>
          <w:bCs w:val="false"/>
          <w:color w:val="000000"/>
          <w:sz w:val="20"/>
          <w:szCs w:val="20"/>
        </w:rPr>
        <w:t>. Comparativa del total de alumnas ingresadas en lo semestres de 2018 y 2019 a la Ingeniería en Sistemas Automotrices en contraste con las que egresaron, teniendo en cuenta que la trayectoria académica es nueve semestres. Fuente: Elaboración propia.</w:t>
      </w:r>
    </w:p>
    <w:p>
      <w:pPr>
        <w:pStyle w:val="Normal"/>
        <w:spacing w:lineRule="auto" w:line="240" w:before="0" w:after="0"/>
        <w:ind w:left="0" w:right="0" w:hanging="0"/>
        <w:jc w:val="center"/>
        <w:rPr>
          <w:rFonts w:cs="Times New Roman"/>
        </w:rPr>
      </w:pPr>
      <w:r>
        <w:rPr>
          <w:rFonts w:ascii="Times New Roman" w:hAnsi="Times New Roman"/>
          <w:b w:val="false"/>
          <w:bCs w:val="false"/>
          <w:color w:val="000000"/>
          <w:sz w:val="20"/>
          <w:szCs w:val="20"/>
        </w:rPr>
      </w:r>
    </w:p>
    <w:p>
      <w:pPr>
        <w:pStyle w:val="Normal"/>
        <w:keepNext w:val="true"/>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2834005" cy="1562100"/>
            <wp:effectExtent l="0" t="0" r="0" b="0"/>
            <wp:docPr id="6" name="Objeto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Caption"/>
        <w:spacing w:lineRule="auto" w:line="240" w:before="0" w:after="0"/>
        <w:ind w:left="0" w:right="0" w:hanging="0"/>
        <w:jc w:val="center"/>
        <w:rPr>
          <w:rFonts w:ascii="Times New Roman" w:hAnsi="Times New Roman"/>
          <w:b w:val="false"/>
          <w:b w:val="false"/>
          <w:bCs w:val="false"/>
          <w:color w:val="000000"/>
          <w:sz w:val="20"/>
          <w:szCs w:val="20"/>
        </w:rPr>
      </w:pPr>
      <w:r>
        <w:rPr>
          <w:rFonts w:cs="Times New Roman" w:ascii="Times New Roman" w:hAnsi="Times New Roman"/>
          <w:b w:val="false"/>
          <w:bCs w:val="false"/>
          <w:i/>
          <w:iCs/>
          <w:color w:val="000000"/>
          <w:sz w:val="20"/>
          <w:szCs w:val="20"/>
        </w:rPr>
        <w:t>Figura</w:t>
      </w:r>
      <w:r>
        <w:rPr>
          <w:rFonts w:cs="Times New Roman" w:ascii="Times New Roman" w:hAnsi="Times New Roman"/>
          <w:b w:val="false"/>
          <w:bCs w:val="false"/>
          <w:color w:val="000000"/>
          <w:sz w:val="20"/>
          <w:szCs w:val="20"/>
        </w:rPr>
        <w:t xml:space="preserve"> </w:t>
      </w:r>
      <w:r>
        <w:rPr>
          <w:rFonts w:cs="Times New Roman" w:ascii="Times New Roman" w:hAnsi="Times New Roman"/>
          <w:b w:val="false"/>
          <w:bCs w:val="false"/>
          <w:color w:val="000000"/>
          <w:sz w:val="20"/>
          <w:szCs w:val="20"/>
        </w:rPr>
        <w:fldChar w:fldCharType="begin"/>
      </w:r>
      <w:r>
        <w:rPr>
          <w:sz w:val="20"/>
          <w:b w:val="false"/>
          <w:szCs w:val="20"/>
          <w:bCs w:val="false"/>
          <w:rFonts w:cs="Times New Roman" w:ascii="Times New Roman" w:hAnsi="Times New Roman"/>
          <w:color w:val="000000"/>
        </w:rPr>
        <w:instrText> SEQ Ilustración \* ARABIC </w:instrText>
      </w:r>
      <w:r>
        <w:rPr>
          <w:sz w:val="20"/>
          <w:b w:val="false"/>
          <w:szCs w:val="20"/>
          <w:bCs w:val="false"/>
          <w:rFonts w:cs="Times New Roman" w:ascii="Times New Roman" w:hAnsi="Times New Roman"/>
          <w:color w:val="000000"/>
        </w:rPr>
        <w:fldChar w:fldCharType="separate"/>
      </w:r>
      <w:r>
        <w:rPr>
          <w:sz w:val="20"/>
          <w:b w:val="false"/>
          <w:szCs w:val="20"/>
          <w:bCs w:val="false"/>
          <w:rFonts w:cs="Times New Roman" w:ascii="Times New Roman" w:hAnsi="Times New Roman"/>
          <w:color w:val="000000"/>
        </w:rPr>
        <w:t>3</w:t>
      </w:r>
      <w:r>
        <w:rPr>
          <w:sz w:val="20"/>
          <w:b w:val="false"/>
          <w:szCs w:val="20"/>
          <w:bCs w:val="false"/>
          <w:rFonts w:cs="Times New Roman" w:ascii="Times New Roman" w:hAnsi="Times New Roman"/>
          <w:color w:val="000000"/>
        </w:rPr>
        <w:fldChar w:fldCharType="end"/>
      </w:r>
      <w:r>
        <w:rPr>
          <w:rFonts w:cs="Times New Roman" w:ascii="Times New Roman" w:hAnsi="Times New Roman"/>
          <w:b w:val="false"/>
          <w:bCs w:val="false"/>
          <w:color w:val="000000"/>
          <w:sz w:val="20"/>
          <w:szCs w:val="20"/>
        </w:rPr>
        <w:t>.</w:t>
      </w:r>
      <w:r>
        <w:rPr>
          <w:rFonts w:ascii="Times New Roman" w:hAnsi="Times New Roman"/>
          <w:b w:val="false"/>
          <w:bCs w:val="false"/>
          <w:color w:val="000000"/>
          <w:sz w:val="20"/>
          <w:szCs w:val="20"/>
        </w:rPr>
        <w:t xml:space="preserve"> </w:t>
      </w:r>
      <w:r>
        <w:rPr>
          <w:rFonts w:cs="Times New Roman" w:ascii="Times New Roman" w:hAnsi="Times New Roman"/>
          <w:b w:val="false"/>
          <w:bCs w:val="false"/>
          <w:color w:val="000000"/>
          <w:sz w:val="20"/>
          <w:szCs w:val="20"/>
        </w:rPr>
        <w:t>Comparativa del total de alumnas ingresadas en lo semestres de 2018 y 2019 a la Ingeniería en Mecatrónica en contraste con las que egresaron, teniendo en cuenta que la trayectoria académica es diez semestres. Fuente: Elaboración propia.</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Tomando en cuenta la situación en la que se encuentra la UPIIH se buscó que la propuesta del GWB fuera interesante para obtener la participación del alumnado y de alguna forma hicieran conciencia sobre la situación al trabajar sobre su propuesta artística, al compartirla con los integrantes de los grupos participantes que buscaron visibilizar, concientizar e incrementar el número de estudiantes mujeres en ambas ingenierías y sobre todo concientizar a los grupos participantes de la importancia de apoyarse como grupo, ser sororas entre las mismas estudiantes y empáticos como alumnado en general para lograr el objetivo de terminar satisfactoriamente sus estudios de ingeniería, por lo que se planteó que una forma de que los alumnos conectaran es a través del arte, ya que de alguna forma es un lenguaje mundial, para ellos la actividad consistió en que de manera libre el estudiantado manifestara a través de alguna forma artística la temática que la IUPAC propuso para este año “Catalizando la diversidad en la ciencia”; permitiendo expresar su opinión, contexto y propuestas al respecto, y que compartieran dentro del mismo grupo su trabajo artístico. Se tomaron fotos de sus productos artístico en diferentes locaciones de la escuela para que la comunidad estudiantil conociera sus trabajos y se visibilizaran sus propuestas.</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ListParagraph"/>
        <w:numPr>
          <w:ilvl w:val="0"/>
          <w:numId w:val="0"/>
        </w:numPr>
        <w:spacing w:lineRule="auto" w:line="240" w:before="0" w:after="0"/>
        <w:ind w:left="1080" w:right="0" w:hanging="0"/>
        <w:jc w:val="both"/>
        <w:rPr>
          <w:rFonts w:ascii="Times New Roman" w:hAnsi="Times New Roman"/>
          <w:sz w:val="20"/>
          <w:szCs w:val="20"/>
        </w:rPr>
      </w:pPr>
      <w:r>
        <w:rPr>
          <w:rFonts w:cs="Times New Roman" w:ascii="Times New Roman" w:hAnsi="Times New Roman"/>
          <w:b/>
          <w:sz w:val="20"/>
          <w:szCs w:val="20"/>
        </w:rPr>
        <w:t xml:space="preserve">III. </w:t>
      </w:r>
      <w:r>
        <w:rPr>
          <w:rFonts w:cs="Times New Roman" w:ascii="Times New Roman" w:hAnsi="Times New Roman"/>
          <w:b/>
          <w:sz w:val="20"/>
          <w:szCs w:val="20"/>
        </w:rPr>
        <w:t>RESULTADOS</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Al exponer los distintos tipos de diversidad que existen, así como los conceptos de equidad e inclusión en los alumnos se buscó hacer conciencia sobre situaciones actuales que viven algunas minorías que buscan hacer ciencia, al mismo tiempo que ellos desde sus acciones impulsen a dejar de lado este tipo de prácticas, que en algunos casos viene inculcada desde sus hogares y su formación y de esta forma se acelere el proceso de aceptación en la sociedad. A través de la expresión artística se buscó que al mismo tiempo que ellos comprendieron el mensaje lo representaran en una forma de arte libre, algunos de los productos que se muestran en las ilustraciones tienen influencia directa de sus contextos familiares y de ubicación geográfica, cabe destacar que el 95% del estudiantado es foráneo, sólo el 5% radica en la zona donde se encuentra ubicada la Unidad Académica, por lo que se muestran bordados, pinturas, composiciones que incluyen objetos artesanales de su lugar de origen, fotografías, carteles e incluso tatuajes temporales. Por ejemplo, en la </w:t>
      </w:r>
      <w:r>
        <w:rPr>
          <w:rFonts w:cs="Times New Roman" w:ascii="Times New Roman" w:hAnsi="Times New Roman"/>
          <w:sz w:val="20"/>
          <w:szCs w:val="20"/>
        </w:rPr>
        <w:t>Figura</w:t>
      </w:r>
      <w:r>
        <w:rPr>
          <w:rFonts w:cs="Times New Roman" w:ascii="Times New Roman" w:hAnsi="Times New Roman"/>
          <w:sz w:val="20"/>
          <w:szCs w:val="20"/>
        </w:rPr>
        <w:t xml:space="preserve"> 4, se observa que tanto hombres como mujeres realizaron bordados tradicionales llamados “Tenangos”, siendo representativos de la zona Otomí-Tepehua del estado de Hidalgo, con relación al tema que el GWB ofrecía este año, algunos otros realizaron pintura en distintas técnicas y lo abordaron desde una perspectiva sobre la equidad de género como se muestra en la </w:t>
      </w:r>
      <w:r>
        <w:rPr>
          <w:rFonts w:cs="Times New Roman" w:ascii="Times New Roman" w:hAnsi="Times New Roman"/>
          <w:sz w:val="20"/>
          <w:szCs w:val="20"/>
        </w:rPr>
        <w:t>Figura</w:t>
      </w:r>
      <w:r>
        <w:rPr>
          <w:rFonts w:cs="Times New Roman" w:ascii="Times New Roman" w:hAnsi="Times New Roman"/>
          <w:sz w:val="20"/>
          <w:szCs w:val="20"/>
        </w:rPr>
        <w:t xml:space="preserve"> 5, mientras que el grupo de la carrera Ingeniería en Sistemas Automotrices donde no hay mujeres inscritas, buscaron abordarlo más desde la inclusión realizando una fotografía en lengua de señas con el eslogan de este año (</w:t>
      </w:r>
      <w:r>
        <w:rPr>
          <w:rFonts w:cs="Times New Roman" w:ascii="Times New Roman" w:hAnsi="Times New Roman"/>
          <w:sz w:val="20"/>
          <w:szCs w:val="20"/>
        </w:rPr>
        <w:t>Figura</w:t>
      </w:r>
      <w:r>
        <w:rPr>
          <w:rFonts w:cs="Times New Roman" w:ascii="Times New Roman" w:hAnsi="Times New Roman"/>
          <w:sz w:val="20"/>
          <w:szCs w:val="20"/>
        </w:rPr>
        <w:t xml:space="preserve"> 6).</w:t>
      </w:r>
      <w:bookmarkStart w:id="0" w:name="_Hlk165559393"/>
      <w:bookmarkEnd w:id="0"/>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p>
      <w:pPr>
        <w:pStyle w:val="Normal"/>
        <w:keepNext w:val="true"/>
        <w:spacing w:lineRule="auto" w:line="240" w:before="0" w:after="0"/>
        <w:ind w:left="0" w:right="0" w:hanging="0"/>
        <w:jc w:val="center"/>
        <w:rPr>
          <w:rFonts w:ascii="Times New Roman" w:hAnsi="Times New Roman"/>
          <w:sz w:val="20"/>
          <w:szCs w:val="20"/>
        </w:rPr>
      </w:pPr>
      <w:r>
        <w:rPr>
          <w:rFonts w:ascii="Times New Roman" w:hAnsi="Times New Roman"/>
          <w:sz w:val="20"/>
          <w:szCs w:val="20"/>
        </w:rPr>
        <mc:AlternateContent>
          <mc:Choice Requires="wpg">
            <w:drawing>
              <wp:inline distT="0" distB="0" distL="0" distR="0" wp14:anchorId="677F3218">
                <wp:extent cx="4136390" cy="1338580"/>
                <wp:effectExtent l="0" t="0" r="0" b="0"/>
                <wp:docPr id="7" name="Forma2"/>
                <a:graphic xmlns:a="http://schemas.openxmlformats.org/drawingml/2006/main">
                  <a:graphicData uri="http://schemas.microsoft.com/office/word/2010/wordprocessingGroup">
                    <wpg:wgp>
                      <wpg:cNvGrpSpPr/>
                      <wpg:grpSpPr>
                        <a:xfrm>
                          <a:off x="0" y="0"/>
                          <a:ext cx="4135680" cy="1338120"/>
                        </a:xfrm>
                      </wpg:grpSpPr>
                      <pic:pic xmlns:pic="http://schemas.openxmlformats.org/drawingml/2006/picture">
                        <pic:nvPicPr>
                          <pic:cNvPr id="0" name="Imagen 7" descr="C:\Users\luise\AppData\Local\Packages\5319275A.WhatsAppDesktop_cv1g1gvanyjgm\TempState\8C3039BD5842DCA3D944FAAB91447818\Imagen de WhatsApp 2024-02-26 a las 12.42.36_09e13227.jpg"/>
                          <pic:cNvPicPr/>
                        </pic:nvPicPr>
                        <pic:blipFill>
                          <a:blip r:embed="rId19"/>
                          <a:srcRect l="0" t="2984" r="4288" b="10106"/>
                          <a:stretch/>
                        </pic:blipFill>
                        <pic:spPr>
                          <a:xfrm rot="16200000">
                            <a:off x="0" y="1440"/>
                            <a:ext cx="1336680" cy="2159640"/>
                          </a:xfrm>
                          <a:prstGeom prst="rect">
                            <a:avLst/>
                          </a:prstGeom>
                          <a:ln w="0">
                            <a:noFill/>
                          </a:ln>
                        </pic:spPr>
                      </pic:pic>
                      <pic:pic xmlns:pic="http://schemas.openxmlformats.org/drawingml/2006/picture">
                        <pic:nvPicPr>
                          <pic:cNvPr id="1" name="Imagen 8" descr="C:\Users\luise\AppData\Local\Packages\5319275A.WhatsAppDesktop_cv1g1gvanyjgm\TempState\71F07BF95F0113EEFAB12552181DD832\Imagen de WhatsApp 2024-03-05 a las 21.17.30_b5c17dcb.jpg"/>
                          <pic:cNvPicPr/>
                        </pic:nvPicPr>
                        <pic:blipFill>
                          <a:blip r:embed="rId20"/>
                          <a:srcRect l="5459" t="15215" r="2135" b="0"/>
                          <a:stretch/>
                        </pic:blipFill>
                        <pic:spPr>
                          <a:xfrm>
                            <a:off x="2203560" y="0"/>
                            <a:ext cx="1932480" cy="1330920"/>
                          </a:xfrm>
                          <a:prstGeom prst="rect">
                            <a:avLst/>
                          </a:prstGeom>
                          <a:ln w="0">
                            <a:noFill/>
                          </a:ln>
                        </pic:spPr>
                      </pic:pic>
                    </wpg:wgp>
                  </a:graphicData>
                </a:graphic>
              </wp:inline>
            </w:drawing>
          </mc:Choice>
          <mc:Fallback>
            <w:pict>
              <v:group id="shape_0" alt="Forma2" style="position:absolute;margin-left:32.4pt;margin-top:-137.75pt;width:293.25pt;height:170.05pt" coordorigin="648,-2755" coordsize="5865,3401">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7" stroked="f" style="position:absolute;left:648;top:-2753;width:2104;height:3400;mso-wrap-style:none;v-text-anchor:middle;rotation:270;mso-position-vertical:top" type="shapetype_75">
                  <v:imagedata r:id="rId19" o:detectmouseclick="t"/>
                  <v:stroke color="#3465a4" joinstyle="round" endcap="flat"/>
                  <w10:wrap type="square"/>
                </v:shape>
                <v:shape id="shape_0" ID="Imagen 8" stroked="f" style="position:absolute;left:3470;top:-2108;width:3042;height:2095;mso-wrap-style:none;v-text-anchor:middle;mso-position-vertical:top" type="shapetype_75">
                  <v:imagedata r:id="rId20" o:detectmouseclick="t"/>
                  <v:stroke color="#3465a4" joinstyle="round" endcap="flat"/>
                </v:shape>
              </v:group>
            </w:pict>
          </mc:Fallback>
        </mc:AlternateContent>
      </w:r>
    </w:p>
    <w:p>
      <w:pPr>
        <w:pStyle w:val="Caption"/>
        <w:spacing w:lineRule="auto" w:line="240" w:before="0" w:after="0"/>
        <w:ind w:left="0" w:right="0" w:hanging="0"/>
        <w:jc w:val="center"/>
        <w:rPr>
          <w:rFonts w:ascii="Times New Roman" w:hAnsi="Times New Roman"/>
          <w:b w:val="false"/>
          <w:b w:val="false"/>
          <w:bCs w:val="false"/>
          <w:color w:val="000000"/>
          <w:sz w:val="20"/>
          <w:szCs w:val="20"/>
        </w:rPr>
      </w:pPr>
      <w:r>
        <w:rPr>
          <w:rFonts w:cs="Times New Roman" w:ascii="Times New Roman" w:hAnsi="Times New Roman"/>
          <w:b w:val="false"/>
          <w:bCs w:val="false"/>
          <w:i/>
          <w:iCs/>
          <w:color w:val="000000"/>
          <w:sz w:val="20"/>
          <w:szCs w:val="20"/>
        </w:rPr>
        <w:t>Figura</w:t>
      </w:r>
      <w:r>
        <w:rPr>
          <w:rFonts w:cs="Times New Roman" w:ascii="Times New Roman" w:hAnsi="Times New Roman"/>
          <w:b w:val="false"/>
          <w:bCs w:val="false"/>
          <w:color w:val="000000"/>
          <w:sz w:val="20"/>
          <w:szCs w:val="20"/>
        </w:rPr>
        <w:t xml:space="preserve"> </w:t>
      </w:r>
      <w:r>
        <w:rPr>
          <w:rFonts w:cs="Times New Roman" w:ascii="Times New Roman" w:hAnsi="Times New Roman"/>
          <w:b w:val="false"/>
          <w:bCs w:val="false"/>
          <w:color w:val="000000"/>
          <w:sz w:val="20"/>
          <w:szCs w:val="20"/>
        </w:rPr>
        <w:fldChar w:fldCharType="begin"/>
      </w:r>
      <w:r>
        <w:rPr>
          <w:sz w:val="20"/>
          <w:b w:val="false"/>
          <w:szCs w:val="20"/>
          <w:bCs w:val="false"/>
          <w:rFonts w:cs="Times New Roman" w:ascii="Times New Roman" w:hAnsi="Times New Roman"/>
          <w:color w:val="000000"/>
        </w:rPr>
        <w:instrText> SEQ Ilustración \* ARABIC </w:instrText>
      </w:r>
      <w:r>
        <w:rPr>
          <w:sz w:val="20"/>
          <w:b w:val="false"/>
          <w:szCs w:val="20"/>
          <w:bCs w:val="false"/>
          <w:rFonts w:cs="Times New Roman" w:ascii="Times New Roman" w:hAnsi="Times New Roman"/>
          <w:color w:val="000000"/>
        </w:rPr>
        <w:fldChar w:fldCharType="separate"/>
      </w:r>
      <w:r>
        <w:rPr>
          <w:sz w:val="20"/>
          <w:b w:val="false"/>
          <w:szCs w:val="20"/>
          <w:bCs w:val="false"/>
          <w:rFonts w:cs="Times New Roman" w:ascii="Times New Roman" w:hAnsi="Times New Roman"/>
          <w:color w:val="000000"/>
        </w:rPr>
        <w:t>4</w:t>
      </w:r>
      <w:r>
        <w:rPr>
          <w:sz w:val="20"/>
          <w:b w:val="false"/>
          <w:szCs w:val="20"/>
          <w:bCs w:val="false"/>
          <w:rFonts w:cs="Times New Roman" w:ascii="Times New Roman" w:hAnsi="Times New Roman"/>
          <w:color w:val="000000"/>
        </w:rPr>
        <w:fldChar w:fldCharType="end"/>
      </w:r>
      <w:r>
        <w:rPr>
          <w:rFonts w:cs="Times New Roman" w:ascii="Times New Roman" w:hAnsi="Times New Roman"/>
          <w:b w:val="false"/>
          <w:bCs w:val="false"/>
          <w:color w:val="000000"/>
          <w:sz w:val="20"/>
          <w:szCs w:val="20"/>
        </w:rPr>
        <w:t xml:space="preserve">: Tenangos y bordados con referencia al Global Woman Breakfast realizado por los alumnos para la expresión artística STEM. Fuente: Elaboración </w:t>
      </w:r>
      <w:r>
        <w:rPr>
          <w:rFonts w:cs="Times New Roman" w:ascii="Times New Roman" w:hAnsi="Times New Roman"/>
          <w:b w:val="false"/>
          <w:bCs w:val="false"/>
          <w:color w:val="000000"/>
          <w:sz w:val="20"/>
          <w:szCs w:val="20"/>
        </w:rPr>
        <w:t>p</w:t>
      </w:r>
      <w:r>
        <w:rPr>
          <w:rFonts w:cs="Times New Roman" w:ascii="Times New Roman" w:hAnsi="Times New Roman"/>
          <w:b w:val="false"/>
          <w:bCs w:val="false"/>
          <w:color w:val="000000"/>
          <w:sz w:val="20"/>
          <w:szCs w:val="20"/>
        </w:rPr>
        <w:t>ropia.</w:t>
      </w:r>
    </w:p>
    <w:p>
      <w:pPr>
        <w:pStyle w:val="Normal"/>
        <w:spacing w:lineRule="auto" w:line="240" w:before="0" w:after="0"/>
        <w:ind w:left="0" w:right="0" w:hanging="0"/>
        <w:jc w:val="center"/>
        <w:rPr>
          <w:rFonts w:cs="Times New Roman"/>
        </w:rPr>
      </w:pPr>
      <w:r>
        <w:rPr>
          <w:rFonts w:ascii="Times New Roman" w:hAnsi="Times New Roman"/>
          <w:b w:val="false"/>
          <w:bCs w:val="false"/>
          <w:color w:val="000000"/>
          <w:sz w:val="20"/>
          <w:szCs w:val="20"/>
        </w:rPr>
      </w:r>
    </w:p>
    <w:p>
      <w:pPr>
        <w:pStyle w:val="Normal"/>
        <w:keepNext w:val="true"/>
        <w:spacing w:lineRule="auto" w:line="240" w:before="0" w:after="0"/>
        <w:ind w:left="0" w:right="0" w:hanging="0"/>
        <w:jc w:val="center"/>
        <w:rPr>
          <w:rFonts w:ascii="Times New Roman" w:hAnsi="Times New Roman"/>
          <w:sz w:val="20"/>
          <w:szCs w:val="20"/>
        </w:rPr>
      </w:pPr>
      <w:r>
        <w:rPr>
          <w:rFonts w:ascii="Times New Roman" w:hAnsi="Times New Roman"/>
          <w:sz w:val="20"/>
          <w:szCs w:val="20"/>
        </w:rPr>
        <mc:AlternateContent>
          <mc:Choice Requires="wpg">
            <w:drawing>
              <wp:inline distT="0" distB="0" distL="0" distR="9525" wp14:anchorId="5D39C44E">
                <wp:extent cx="5020310" cy="3359150"/>
                <wp:effectExtent l="0" t="0" r="9525" b="0"/>
                <wp:docPr id="8" name="Forma3"/>
                <a:graphic xmlns:a="http://schemas.openxmlformats.org/drawingml/2006/main">
                  <a:graphicData uri="http://schemas.microsoft.com/office/word/2010/wordprocessingGroup">
                    <wpg:wgp>
                      <wpg:cNvGrpSpPr/>
                      <wpg:grpSpPr>
                        <a:xfrm>
                          <a:off x="0" y="0"/>
                          <a:ext cx="5019840" cy="3358440"/>
                        </a:xfrm>
                      </wpg:grpSpPr>
                      <pic:pic xmlns:pic="http://schemas.openxmlformats.org/drawingml/2006/picture">
                        <pic:nvPicPr>
                          <pic:cNvPr id="2" name="Imagen 6" descr=""/>
                          <pic:cNvPicPr/>
                        </pic:nvPicPr>
                        <pic:blipFill>
                          <a:blip r:embed="rId21"/>
                          <a:stretch/>
                        </pic:blipFill>
                        <pic:spPr>
                          <a:xfrm>
                            <a:off x="2303280" y="1863000"/>
                            <a:ext cx="2716560" cy="1495440"/>
                          </a:xfrm>
                          <a:prstGeom prst="rect">
                            <a:avLst/>
                          </a:prstGeom>
                          <a:ln w="0">
                            <a:noFill/>
                          </a:ln>
                        </pic:spPr>
                      </pic:pic>
                      <pic:pic xmlns:pic="http://schemas.openxmlformats.org/drawingml/2006/picture">
                        <pic:nvPicPr>
                          <pic:cNvPr id="3" name="Imagen 1" descr=""/>
                          <pic:cNvPicPr/>
                        </pic:nvPicPr>
                        <pic:blipFill>
                          <a:blip r:embed="rId22"/>
                          <a:srcRect l="8026" t="2818" r="11010" b="10010"/>
                          <a:stretch/>
                        </pic:blipFill>
                        <pic:spPr>
                          <a:xfrm>
                            <a:off x="0" y="6840"/>
                            <a:ext cx="2260080" cy="1807200"/>
                          </a:xfrm>
                          <a:prstGeom prst="rect">
                            <a:avLst/>
                          </a:prstGeom>
                          <a:ln w="0">
                            <a:noFill/>
                          </a:ln>
                        </pic:spPr>
                      </pic:pic>
                      <pic:pic xmlns:pic="http://schemas.openxmlformats.org/drawingml/2006/picture">
                        <pic:nvPicPr>
                          <pic:cNvPr id="4" name="Imagen 55" descr=""/>
                          <pic:cNvPicPr/>
                        </pic:nvPicPr>
                        <pic:blipFill>
                          <a:blip r:embed="rId23"/>
                          <a:srcRect l="0" t="0" r="0" b="12321"/>
                          <a:stretch/>
                        </pic:blipFill>
                        <pic:spPr>
                          <a:xfrm>
                            <a:off x="0" y="1856160"/>
                            <a:ext cx="2260440" cy="1501920"/>
                          </a:xfrm>
                          <a:prstGeom prst="rect">
                            <a:avLst/>
                          </a:prstGeom>
                          <a:ln w="0">
                            <a:noFill/>
                          </a:ln>
                        </pic:spPr>
                      </pic:pic>
                      <pic:pic xmlns:pic="http://schemas.openxmlformats.org/drawingml/2006/picture">
                        <pic:nvPicPr>
                          <pic:cNvPr id="5" name="image2.jpg" descr=""/>
                          <pic:cNvPicPr/>
                        </pic:nvPicPr>
                        <pic:blipFill>
                          <a:blip r:embed="rId24"/>
                          <a:stretch/>
                        </pic:blipFill>
                        <pic:spPr>
                          <a:xfrm>
                            <a:off x="2310840" y="0"/>
                            <a:ext cx="2708280" cy="1823760"/>
                          </a:xfrm>
                          <a:prstGeom prst="rect">
                            <a:avLst/>
                          </a:prstGeom>
                          <a:ln w="0">
                            <a:noFill/>
                          </a:ln>
                        </pic:spPr>
                      </pic:pic>
                    </wpg:wgp>
                  </a:graphicData>
                </a:graphic>
              </wp:inline>
            </w:drawing>
          </mc:Choice>
          <mc:Fallback>
            <w:pict>
              <v:group id="shape_0" alt="Forma3" style="position:absolute;margin-left:0pt;margin-top:-264.5pt;width:395.25pt;height:264.45pt" coordorigin="0,-5290" coordsize="7905,5289">
                <v:shape id="shape_0" ID="Imagen 6" stroked="f" style="position:absolute;left:3627;top:-2356;width:4277;height:2354;mso-wrap-style:none;v-text-anchor:middle;mso-position-vertical:top" type="shapetype_75">
                  <v:imagedata r:id="rId21" o:detectmouseclick="t"/>
                  <v:stroke color="#3465a4" joinstyle="round" endcap="flat"/>
                  <w10:wrap type="square"/>
                </v:shape>
                <v:shape id="shape_0" ID="Imagen 1" stroked="f" style="position:absolute;left:0;top:-5279;width:3558;height:2845;mso-wrap-style:none;v-text-anchor:middle;mso-position-vertical:top" type="shapetype_75">
                  <v:imagedata r:id="rId22" o:detectmouseclick="t"/>
                  <v:stroke color="#3465a4" joinstyle="round" endcap="flat"/>
                </v:shape>
                <v:shape id="shape_0" ID="Imagen 55" stroked="f" style="position:absolute;left:0;top:-2367;width:3559;height:2364;mso-wrap-style:none;v-text-anchor:middle;mso-position-vertical:top" type="shapetype_75">
                  <v:imagedata r:id="rId23" o:detectmouseclick="t"/>
                  <v:stroke color="#3465a4" joinstyle="round" endcap="flat"/>
                </v:shape>
                <v:shape id="shape_0" ID="image2.jpg" stroked="f" style="position:absolute;left:3639;top:-5290;width:4264;height:2871;mso-wrap-style:none;v-text-anchor:middle;mso-position-vertical:top" type="shapetype_75">
                  <v:imagedata r:id="rId24" o:detectmouseclick="t"/>
                  <v:stroke color="#3465a4" joinstyle="round" endcap="flat"/>
                </v:shape>
              </v:group>
            </w:pict>
          </mc:Fallback>
        </mc:AlternateContent>
      </w:r>
    </w:p>
    <w:p>
      <w:pPr>
        <w:pStyle w:val="Caption"/>
        <w:spacing w:lineRule="auto" w:line="240" w:before="0" w:after="0"/>
        <w:ind w:left="0" w:right="0" w:hanging="0"/>
        <w:jc w:val="center"/>
        <w:rPr>
          <w:rFonts w:ascii="Times New Roman" w:hAnsi="Times New Roman"/>
          <w:b w:val="false"/>
          <w:b w:val="false"/>
          <w:bCs w:val="false"/>
          <w:color w:val="000000"/>
          <w:sz w:val="20"/>
          <w:szCs w:val="20"/>
        </w:rPr>
      </w:pPr>
      <w:r>
        <w:rPr>
          <w:rFonts w:cs="Times New Roman" w:ascii="Times New Roman" w:hAnsi="Times New Roman"/>
          <w:b w:val="false"/>
          <w:bCs w:val="false"/>
          <w:color w:val="000000"/>
          <w:sz w:val="20"/>
          <w:szCs w:val="20"/>
        </w:rPr>
        <w:t>Figura</w:t>
      </w:r>
      <w:r>
        <w:rPr>
          <w:rFonts w:cs="Times New Roman" w:ascii="Times New Roman" w:hAnsi="Times New Roman"/>
          <w:b w:val="false"/>
          <w:bCs w:val="false"/>
          <w:color w:val="000000"/>
          <w:sz w:val="20"/>
          <w:szCs w:val="20"/>
        </w:rPr>
        <w:t xml:space="preserve"> </w:t>
      </w:r>
      <w:r>
        <w:rPr>
          <w:rFonts w:cs="Times New Roman" w:ascii="Times New Roman" w:hAnsi="Times New Roman"/>
          <w:b w:val="false"/>
          <w:bCs w:val="false"/>
          <w:color w:val="000000"/>
          <w:sz w:val="20"/>
          <w:szCs w:val="20"/>
        </w:rPr>
        <w:fldChar w:fldCharType="begin"/>
      </w:r>
      <w:r>
        <w:rPr>
          <w:sz w:val="20"/>
          <w:b w:val="false"/>
          <w:szCs w:val="20"/>
          <w:bCs w:val="false"/>
          <w:rFonts w:cs="Times New Roman" w:ascii="Times New Roman" w:hAnsi="Times New Roman"/>
          <w:color w:val="000000"/>
        </w:rPr>
        <w:instrText> SEQ Ilustración \* ARABIC </w:instrText>
      </w:r>
      <w:r>
        <w:rPr>
          <w:sz w:val="20"/>
          <w:b w:val="false"/>
          <w:szCs w:val="20"/>
          <w:bCs w:val="false"/>
          <w:rFonts w:cs="Times New Roman" w:ascii="Times New Roman" w:hAnsi="Times New Roman"/>
          <w:color w:val="000000"/>
        </w:rPr>
        <w:fldChar w:fldCharType="separate"/>
      </w:r>
      <w:r>
        <w:rPr>
          <w:sz w:val="20"/>
          <w:b w:val="false"/>
          <w:szCs w:val="20"/>
          <w:bCs w:val="false"/>
          <w:rFonts w:cs="Times New Roman" w:ascii="Times New Roman" w:hAnsi="Times New Roman"/>
          <w:color w:val="000000"/>
        </w:rPr>
        <w:t>5</w:t>
      </w:r>
      <w:r>
        <w:rPr>
          <w:sz w:val="20"/>
          <w:b w:val="false"/>
          <w:szCs w:val="20"/>
          <w:bCs w:val="false"/>
          <w:rFonts w:cs="Times New Roman" w:ascii="Times New Roman" w:hAnsi="Times New Roman"/>
          <w:color w:val="000000"/>
        </w:rPr>
        <w:fldChar w:fldCharType="end"/>
      </w:r>
      <w:r>
        <w:rPr>
          <w:rFonts w:cs="Times New Roman" w:ascii="Times New Roman" w:hAnsi="Times New Roman"/>
          <w:b w:val="false"/>
          <w:bCs w:val="false"/>
          <w:color w:val="000000"/>
          <w:sz w:val="20"/>
          <w:szCs w:val="20"/>
        </w:rPr>
        <w:t>. Galería de la expresión artística STEM. Fuente: Elaboración Propia.</w:t>
      </w:r>
    </w:p>
    <w:p>
      <w:pPr>
        <w:pStyle w:val="Normal"/>
        <w:keepNext w:val="true"/>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4876800" cy="3657600"/>
            <wp:effectExtent l="0" t="0" r="0" b="0"/>
            <wp:docPr id="9"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descr=""/>
                    <pic:cNvPicPr>
                      <a:picLocks noChangeAspect="1" noChangeArrowheads="1"/>
                    </pic:cNvPicPr>
                  </pic:nvPicPr>
                  <pic:blipFill>
                    <a:blip r:embed="rId25"/>
                    <a:stretch>
                      <a:fillRect/>
                    </a:stretch>
                  </pic:blipFill>
                  <pic:spPr bwMode="auto">
                    <a:xfrm>
                      <a:off x="0" y="0"/>
                      <a:ext cx="4876800" cy="3657600"/>
                    </a:xfrm>
                    <a:prstGeom prst="rect">
                      <a:avLst/>
                    </a:prstGeom>
                  </pic:spPr>
                </pic:pic>
              </a:graphicData>
            </a:graphic>
          </wp:inline>
        </w:drawing>
      </w:r>
    </w:p>
    <w:p>
      <w:pPr>
        <w:pStyle w:val="Caption"/>
        <w:spacing w:lineRule="auto" w:line="240" w:before="0" w:after="0"/>
        <w:ind w:left="0" w:right="0" w:hanging="0"/>
        <w:jc w:val="center"/>
        <w:rPr>
          <w:rFonts w:ascii="Times New Roman" w:hAnsi="Times New Roman"/>
          <w:b w:val="false"/>
          <w:b w:val="false"/>
          <w:bCs w:val="false"/>
          <w:color w:val="000000"/>
          <w:sz w:val="20"/>
          <w:szCs w:val="20"/>
        </w:rPr>
      </w:pPr>
      <w:r>
        <w:rPr>
          <w:rFonts w:cs="Times New Roman" w:ascii="Times New Roman" w:hAnsi="Times New Roman"/>
          <w:b w:val="false"/>
          <w:bCs w:val="false"/>
          <w:color w:val="000000"/>
          <w:sz w:val="20"/>
          <w:szCs w:val="20"/>
        </w:rPr>
        <w:t>Figura</w:t>
      </w:r>
      <w:r>
        <w:rPr>
          <w:rFonts w:cs="Times New Roman" w:ascii="Times New Roman" w:hAnsi="Times New Roman"/>
          <w:b w:val="false"/>
          <w:bCs w:val="false"/>
          <w:color w:val="000000"/>
          <w:sz w:val="20"/>
          <w:szCs w:val="20"/>
        </w:rPr>
        <w:t xml:space="preserve"> </w:t>
      </w:r>
      <w:r>
        <w:rPr>
          <w:rFonts w:cs="Times New Roman" w:ascii="Times New Roman" w:hAnsi="Times New Roman"/>
          <w:b w:val="false"/>
          <w:bCs w:val="false"/>
          <w:color w:val="000000"/>
          <w:sz w:val="20"/>
          <w:szCs w:val="20"/>
        </w:rPr>
        <w:fldChar w:fldCharType="begin"/>
      </w:r>
      <w:r>
        <w:rPr>
          <w:sz w:val="20"/>
          <w:b w:val="false"/>
          <w:szCs w:val="20"/>
          <w:bCs w:val="false"/>
          <w:rFonts w:cs="Times New Roman" w:ascii="Times New Roman" w:hAnsi="Times New Roman"/>
          <w:color w:val="000000"/>
        </w:rPr>
        <w:instrText> SEQ Ilustración \* ARABIC </w:instrText>
      </w:r>
      <w:r>
        <w:rPr>
          <w:sz w:val="20"/>
          <w:b w:val="false"/>
          <w:szCs w:val="20"/>
          <w:bCs w:val="false"/>
          <w:rFonts w:cs="Times New Roman" w:ascii="Times New Roman" w:hAnsi="Times New Roman"/>
          <w:color w:val="000000"/>
        </w:rPr>
        <w:fldChar w:fldCharType="separate"/>
      </w:r>
      <w:r>
        <w:rPr>
          <w:sz w:val="20"/>
          <w:b w:val="false"/>
          <w:szCs w:val="20"/>
          <w:bCs w:val="false"/>
          <w:rFonts w:cs="Times New Roman" w:ascii="Times New Roman" w:hAnsi="Times New Roman"/>
          <w:color w:val="000000"/>
        </w:rPr>
        <w:t>6</w:t>
      </w:r>
      <w:r>
        <w:rPr>
          <w:sz w:val="20"/>
          <w:b w:val="false"/>
          <w:szCs w:val="20"/>
          <w:bCs w:val="false"/>
          <w:rFonts w:cs="Times New Roman" w:ascii="Times New Roman" w:hAnsi="Times New Roman"/>
          <w:color w:val="000000"/>
        </w:rPr>
        <w:fldChar w:fldCharType="end"/>
      </w:r>
      <w:r>
        <w:rPr>
          <w:rFonts w:cs="Times New Roman" w:ascii="Times New Roman" w:hAnsi="Times New Roman"/>
          <w:b w:val="false"/>
          <w:bCs w:val="false"/>
          <w:color w:val="000000"/>
          <w:sz w:val="20"/>
          <w:szCs w:val="20"/>
        </w:rPr>
        <w:t xml:space="preserve">. Lenguaje de señas con referencia al tema de este año en el Global Woman Breakfast. Fuente: Elaboración </w:t>
      </w:r>
      <w:r>
        <w:rPr>
          <w:rFonts w:cs="Times New Roman" w:ascii="Times New Roman" w:hAnsi="Times New Roman"/>
          <w:b w:val="false"/>
          <w:bCs w:val="false"/>
          <w:color w:val="000000"/>
          <w:sz w:val="20"/>
          <w:szCs w:val="20"/>
        </w:rPr>
        <w:t>p</w:t>
      </w:r>
      <w:r>
        <w:rPr>
          <w:rFonts w:cs="Times New Roman" w:ascii="Times New Roman" w:hAnsi="Times New Roman"/>
          <w:b w:val="false"/>
          <w:bCs w:val="false"/>
          <w:color w:val="000000"/>
          <w:sz w:val="20"/>
          <w:szCs w:val="20"/>
        </w:rPr>
        <w:t>ropia.</w:t>
      </w:r>
    </w:p>
    <w:p>
      <w:pPr>
        <w:pStyle w:val="Normal"/>
        <w:keepNext w:val="true"/>
        <w:spacing w:lineRule="auto" w:line="240" w:before="0" w:after="0"/>
        <w:ind w:left="0" w:right="0" w:hanging="0"/>
        <w:jc w:val="center"/>
        <w:rPr>
          <w:rFonts w:ascii="Times New Roman" w:hAnsi="Times New Roman"/>
          <w:sz w:val="20"/>
          <w:szCs w:val="20"/>
        </w:rPr>
      </w:pPr>
      <w:r>
        <w:rPr>
          <w:rFonts w:ascii="Times New Roman" w:hAnsi="Times New Roman"/>
          <w:sz w:val="20"/>
          <w:szCs w:val="20"/>
        </w:rPr>
        <w:drawing>
          <wp:inline distT="0" distB="0" distL="0" distR="0">
            <wp:extent cx="5400040" cy="3037840"/>
            <wp:effectExtent l="0" t="0" r="0" b="0"/>
            <wp:docPr id="10" name="image2.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g" descr=""/>
                    <pic:cNvPicPr>
                      <a:picLocks noChangeAspect="1" noChangeArrowheads="1"/>
                    </pic:cNvPicPr>
                  </pic:nvPicPr>
                  <pic:blipFill>
                    <a:blip r:embed="rId26"/>
                    <a:stretch>
                      <a:fillRect/>
                    </a:stretch>
                  </pic:blipFill>
                  <pic:spPr bwMode="auto">
                    <a:xfrm>
                      <a:off x="0" y="0"/>
                      <a:ext cx="5400040" cy="3037840"/>
                    </a:xfrm>
                    <a:prstGeom prst="rect">
                      <a:avLst/>
                    </a:prstGeom>
                  </pic:spPr>
                </pic:pic>
              </a:graphicData>
            </a:graphic>
          </wp:inline>
        </w:drawing>
      </w:r>
    </w:p>
    <w:p>
      <w:pPr>
        <w:pStyle w:val="Caption"/>
        <w:spacing w:lineRule="auto" w:line="240" w:before="0" w:after="0"/>
        <w:ind w:left="0" w:right="0" w:hanging="0"/>
        <w:jc w:val="center"/>
        <w:rPr>
          <w:rFonts w:ascii="Times New Roman" w:hAnsi="Times New Roman"/>
          <w:b w:val="false"/>
          <w:b w:val="false"/>
          <w:bCs w:val="false"/>
          <w:color w:val="000000"/>
          <w:sz w:val="20"/>
          <w:szCs w:val="20"/>
        </w:rPr>
      </w:pPr>
      <w:r>
        <w:rPr>
          <w:rFonts w:cs="Times New Roman" w:ascii="Times New Roman" w:hAnsi="Times New Roman"/>
          <w:b w:val="false"/>
          <w:bCs w:val="false"/>
          <w:color w:val="000000"/>
          <w:sz w:val="20"/>
          <w:szCs w:val="20"/>
        </w:rPr>
        <w:t>Figura</w:t>
      </w:r>
      <w:r>
        <w:rPr>
          <w:rFonts w:cs="Times New Roman" w:ascii="Times New Roman" w:hAnsi="Times New Roman"/>
          <w:b w:val="false"/>
          <w:bCs w:val="false"/>
          <w:color w:val="000000"/>
          <w:sz w:val="20"/>
          <w:szCs w:val="20"/>
        </w:rPr>
        <w:t xml:space="preserve"> </w:t>
      </w:r>
      <w:r>
        <w:rPr>
          <w:rFonts w:cs="Times New Roman" w:ascii="Times New Roman" w:hAnsi="Times New Roman"/>
          <w:b w:val="false"/>
          <w:bCs w:val="false"/>
          <w:color w:val="000000"/>
          <w:sz w:val="20"/>
          <w:szCs w:val="20"/>
        </w:rPr>
        <w:fldChar w:fldCharType="begin"/>
      </w:r>
      <w:r>
        <w:rPr>
          <w:sz w:val="20"/>
          <w:b w:val="false"/>
          <w:szCs w:val="20"/>
          <w:bCs w:val="false"/>
          <w:rFonts w:cs="Times New Roman" w:ascii="Times New Roman" w:hAnsi="Times New Roman"/>
          <w:color w:val="000000"/>
        </w:rPr>
        <w:instrText> SEQ Ilustración \* ARABIC </w:instrText>
      </w:r>
      <w:r>
        <w:rPr>
          <w:sz w:val="20"/>
          <w:b w:val="false"/>
          <w:szCs w:val="20"/>
          <w:bCs w:val="false"/>
          <w:rFonts w:cs="Times New Roman" w:ascii="Times New Roman" w:hAnsi="Times New Roman"/>
          <w:color w:val="000000"/>
        </w:rPr>
        <w:fldChar w:fldCharType="separate"/>
      </w:r>
      <w:r>
        <w:rPr>
          <w:sz w:val="20"/>
          <w:b w:val="false"/>
          <w:szCs w:val="20"/>
          <w:bCs w:val="false"/>
          <w:rFonts w:cs="Times New Roman" w:ascii="Times New Roman" w:hAnsi="Times New Roman"/>
          <w:color w:val="000000"/>
        </w:rPr>
        <w:t>7</w:t>
      </w:r>
      <w:r>
        <w:rPr>
          <w:sz w:val="20"/>
          <w:b w:val="false"/>
          <w:szCs w:val="20"/>
          <w:bCs w:val="false"/>
          <w:rFonts w:cs="Times New Roman" w:ascii="Times New Roman" w:hAnsi="Times New Roman"/>
          <w:color w:val="000000"/>
        </w:rPr>
        <w:fldChar w:fldCharType="end"/>
      </w:r>
      <w:r>
        <w:rPr>
          <w:rFonts w:cs="Times New Roman" w:ascii="Times New Roman" w:hAnsi="Times New Roman"/>
          <w:b w:val="false"/>
          <w:bCs w:val="false"/>
          <w:color w:val="000000"/>
          <w:sz w:val="20"/>
          <w:szCs w:val="20"/>
        </w:rPr>
        <w:t xml:space="preserve">. Alumnos exponiendo sus trabajos de la actividad de Expresión Artística STEM. </w:t>
      </w:r>
      <w:r>
        <w:rPr>
          <w:rFonts w:cs="Times New Roman" w:ascii="Times New Roman" w:hAnsi="Times New Roman"/>
          <w:b w:val="false"/>
          <w:bCs w:val="false"/>
          <w:color w:val="000000"/>
          <w:sz w:val="20"/>
          <w:szCs w:val="20"/>
        </w:rPr>
        <w:t>Fuente: Elaboración propia.</w:t>
      </w:r>
    </w:p>
    <w:p>
      <w:pPr>
        <w:sectPr>
          <w:headerReference w:type="even" r:id="rId27"/>
          <w:headerReference w:type="default" r:id="rId28"/>
          <w:headerReference w:type="first" r:id="rId29"/>
          <w:footerReference w:type="even" r:id="rId30"/>
          <w:footerReference w:type="default" r:id="rId31"/>
          <w:footerReference w:type="first" r:id="rId32"/>
          <w:type w:val="continuous"/>
          <w:pgSz w:w="12240" w:h="15840"/>
          <w:pgMar w:left="1417" w:right="1417" w:header="1417" w:top="2064" w:footer="1417" w:bottom="2092" w:gutter="0"/>
          <w:pgNumType w:fmt="decimal"/>
          <w:formProt w:val="false"/>
          <w:titlePg/>
          <w:textDirection w:val="lrTb"/>
          <w:docGrid w:type="default" w:linePitch="360" w:charSpace="4096"/>
        </w:sectPr>
      </w:pP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La estadística presentada en la sección de metodología muestra la poca participación de las mujeres en ingeniería; los comentarios de los estudiantes al realizar esta actividad coinciden en que los usos y costumbres de sus comunidades no consideran que las mujeres tengan la oportunidad y el apoyo familiar para continuar con estudios universitarios; más bien se considera el que se casen muy jóvenes y formen un hogar. Parte de la diversidad y los conceptos mencionados anteriormente, buscan resaltar las problemáticas que en pleno siglo XXI se siguen viviendo dentro de la ciencia y la ingeniería a lo largo de los años y que en muchas ocasiones han permanecido ocultas. La ciencia no puede negar el valor tan importante que ejerce la diversidad sobre ella, ya que ha sido realmente provechoso pare el desarrollo del conocimiento científico, por tanto, la ciencia debería mantener un carácter más humilde en cuanto a las minorías ya que en la mayoría de los casos parte de estas mismas excepciones. Es importante recalcar que no se trata de culpar a la ciencia, si no de hacer conciencia en las personas que hacen o buscan hacer la ciencia.</w:t>
      </w:r>
      <w:sdt>
        <w:sdtPr>
          <w:citation/>
        </w:sdtPr>
        <w:sdtContent>
          <w:r>
            <w:rPr>
              <w:rFonts w:ascii="Times New Roman" w:hAnsi="Times New Roman"/>
              <w:sz w:val="20"/>
              <w:szCs w:val="20"/>
            </w:rPr>
            <w:fldChar w:fldCharType="begin"/>
          </w:r>
          <w:r>
            <w:rPr>
              <w:sz w:val="20"/>
              <w:szCs w:val="20"/>
              <w:rFonts w:ascii="Times New Roman" w:hAnsi="Times New Roman"/>
            </w:rPr>
            <w:instrText> CITATION Mor20 \l 3082 </w:instrText>
          </w:r>
          <w:r>
            <w:rPr>
              <w:sz w:val="20"/>
              <w:szCs w:val="20"/>
              <w:rFonts w:ascii="Times New Roman" w:hAnsi="Times New Roman"/>
            </w:rPr>
            <w:fldChar w:fldCharType="separate"/>
          </w:r>
          <w:r>
            <w:rPr>
              <w:sz w:val="20"/>
              <w:szCs w:val="20"/>
              <w:rFonts w:ascii="Times New Roman" w:hAnsi="Times New Roman"/>
            </w:rPr>
            <w:t xml:space="preserve"> (Moreno, 2020)</w:t>
          </w:r>
          <w:r>
            <w:rPr>
              <w:sz w:val="20"/>
              <w:szCs w:val="20"/>
              <w:rFonts w:ascii="Times New Roman" w:hAnsi="Times New Roman"/>
            </w:rPr>
            <w:fldChar w:fldCharType="end"/>
          </w:r>
        </w:sdtContent>
      </w:sdt>
      <w:r>
        <w:rPr>
          <w:rFonts w:cs="Times New Roman" w:ascii="Times New Roman" w:hAnsi="Times New Roman"/>
          <w:sz w:val="20"/>
          <w:szCs w:val="20"/>
        </w:rPr>
        <w:t xml:space="preserve">. </w:t>
      </w:r>
      <w:r>
        <w:rPr>
          <w:rFonts w:cs="Times New Roman" w:ascii="Times New Roman" w:hAnsi="Times New Roman"/>
          <w:sz w:val="20"/>
          <w:szCs w:val="20"/>
        </w:rPr>
        <w:t>La reflexión generada con el estudiantado en sus grupos les permite considerar el apoyar a sus familiares, incluso hijos en un futuro para cambiar esta situación y apoyar que más mujeres estudien ingeniería como ellos.</w:t>
      </w:r>
    </w:p>
    <w:p>
      <w:pPr>
        <w:pStyle w:val="Normal"/>
        <w:spacing w:lineRule="auto" w:line="240" w:before="0" w:after="0"/>
        <w:ind w:left="0" w:right="0" w:hanging="0"/>
        <w:rPr>
          <w:rFonts w:ascii="Times New Roman" w:hAnsi="Times New Roman"/>
          <w:sz w:val="20"/>
          <w:szCs w:val="20"/>
        </w:rPr>
      </w:pPr>
      <w:r>
        <w:rPr>
          <w:rFonts w:ascii="Times New Roman" w:hAnsi="Times New Roman"/>
          <w:sz w:val="20"/>
          <w:szCs w:val="20"/>
        </w:rPr>
      </w:r>
    </w:p>
    <w:p>
      <w:pPr>
        <w:pStyle w:val="ListParagraph"/>
        <w:numPr>
          <w:ilvl w:val="0"/>
          <w:numId w:val="0"/>
        </w:numPr>
        <w:spacing w:lineRule="auto" w:line="240" w:before="0" w:after="0"/>
        <w:ind w:left="1080" w:right="0" w:hanging="0"/>
        <w:jc w:val="both"/>
        <w:rPr>
          <w:rFonts w:ascii="Times New Roman" w:hAnsi="Times New Roman"/>
          <w:sz w:val="20"/>
          <w:szCs w:val="20"/>
        </w:rPr>
      </w:pPr>
      <w:r>
        <w:rPr>
          <w:rFonts w:cs="Times New Roman" w:ascii="Times New Roman" w:hAnsi="Times New Roman"/>
          <w:b/>
          <w:sz w:val="20"/>
          <w:szCs w:val="20"/>
        </w:rPr>
        <w:t xml:space="preserve">IV. </w:t>
      </w:r>
      <w:r>
        <w:rPr>
          <w:rFonts w:cs="Times New Roman" w:ascii="Times New Roman" w:hAnsi="Times New Roman"/>
          <w:b/>
          <w:sz w:val="20"/>
          <w:szCs w:val="20"/>
        </w:rPr>
        <w:t>CONCLUSIONES</w:t>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La negación de la existencia de este tipo de problemas o disparidades en la ciencia solo hace más grande el problema, ya que normalmente es provocado por alguna intolerancia en la falta de reconocimiento de la labor que cada individuo tiene, además de que no solamente puede desarrollarse por algún estereotipo desarrollado en la crianza, sino también por la actitud que suelen tener algunas personas dentro la disciplina como los son la arrogancia o el egoísmo y lamentablemente en algunas ocasiones pesan más las malas experiencias que las buenas.</w:t>
      </w:r>
    </w:p>
    <w:p>
      <w:pPr>
        <w:pStyle w:val="Normal"/>
        <w:spacing w:lineRule="auto" w:line="240" w:before="0" w:after="0"/>
        <w:ind w:left="0" w:right="0" w:hanging="0"/>
        <w:jc w:val="both"/>
        <w:rPr>
          <w:rFonts w:cs="Times New Roman"/>
        </w:rPr>
      </w:pPr>
      <w:r>
        <w:rPr>
          <w:rFonts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La actividad realizada generó reflexiones entre el estudiantado, el tomar conciencia sobre la importancia de la participación de las mujeres en la formación de Ingenieras tanto en Sistemas Automotrices como en Mecatrónica, al ser mayoritariamente estudiantes de primer semestre, la actividad para participar de manera inclusiva en el GWB-IUPAC consideró las manifestaciones libres artísticas; incluso con la propuesta de lenguaje de señas se abordó el mensaje, ya que es frecuente que muchos de los libros de ciencia básica e ingeniería no son adaptados para personas con alguna discapacidad como es el caso del lenguaje Braille para personas con discapacidad visual, o incluso el mismo personal docente no está capacitado para atender a personas con discapacidad aditiva- vocal, además que en la mayor parte de bibliotecas de las universidades no se cuenta con estos materiales, buscando también visibilizar esta situación. De manera muy creativa dejaron un mensaje para sus compañeros y en general para la comunidad del IPN en Hidalgo, que fue testigo de esta actividad y que buscó visibilizar la importancia de la participación de las mujeres en la Ingeniería y que permitió abrir un foro para manifestar sus opiniones; y generar reflexiones al respecto para incluso poder provocar un cambio en nuevas generaciones sobre el apoyo, la sororidad, la empatía y el trabajo en grupo para lograr que más estudiantes mujeres culminen su carrera como Ingenieras y que más mujeres opten por carreras relacionadas no solo a la ingeniería, sino en general a áreas STEM. Esta actividad se seguirá realizando como cada año, intentando impactar no sólo a nivel local o de forma personal entre el estudiantado, sino permear al interior de los hogares en diferentes ubicaciones geográficas de donde es originario el 95% del estudiantado participante.</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Web"/>
        <w:spacing w:lineRule="auto" w:line="240" w:before="0" w:afterAutospacing="0" w:after="0"/>
        <w:ind w:left="0" w:right="0" w:hanging="0"/>
        <w:jc w:val="both"/>
        <w:rPr>
          <w:rFonts w:ascii="Times New Roman" w:hAnsi="Times New Roman"/>
          <w:sz w:val="20"/>
          <w:szCs w:val="20"/>
        </w:rPr>
      </w:pPr>
      <w:r>
        <w:rPr>
          <w:rFonts w:ascii="Times New Roman" w:hAnsi="Times New Roman"/>
          <w:b/>
          <w:bCs/>
          <w:sz w:val="20"/>
          <w:szCs w:val="20"/>
        </w:rPr>
        <w:t>REFERENCIAS</w:t>
      </w:r>
    </w:p>
    <w:p>
      <w:pPr>
        <w:pStyle w:val="NormalWeb"/>
        <w:spacing w:lineRule="auto" w:line="240" w:before="0" w:afterAutospacing="0" w:after="0"/>
        <w:ind w:left="0" w:right="0" w:hanging="0"/>
        <w:jc w:val="both"/>
        <w:rPr>
          <w:rFonts w:ascii="Times New Roman" w:hAnsi="Times New Roman"/>
          <w:sz w:val="20"/>
          <w:szCs w:val="20"/>
        </w:rPr>
      </w:pPr>
      <w:r>
        <w:rPr>
          <w:rFonts w:ascii="Times New Roman" w:hAnsi="Times New Roman"/>
          <w:sz w:val="20"/>
          <w:szCs w:val="20"/>
        </w:rPr>
      </w:r>
    </w:p>
    <w:p>
      <w:pPr>
        <w:pStyle w:val="NormalWeb"/>
        <w:spacing w:lineRule="auto" w:line="240" w:before="0" w:afterAutospacing="0" w:after="0"/>
        <w:ind w:left="0" w:right="0" w:hanging="0"/>
        <w:jc w:val="both"/>
        <w:rPr>
          <w:rFonts w:ascii="Times New Roman" w:hAnsi="Times New Roman"/>
          <w:sz w:val="20"/>
          <w:szCs w:val="20"/>
        </w:rPr>
      </w:pPr>
      <w:r>
        <w:rPr>
          <w:rFonts w:ascii="Times New Roman" w:hAnsi="Times New Roman"/>
          <w:sz w:val="20"/>
          <w:szCs w:val="20"/>
        </w:rPr>
        <w:t>Arredondo Trapero, F. G., Vázquez Parra, J. C., &amp; Velázquez Sánchez, L. M. (2019). STEM y Brecha de Género en Latinoamérica. </w:t>
      </w:r>
      <w:r>
        <w:rPr>
          <w:rFonts w:ascii="Times New Roman" w:hAnsi="Times New Roman"/>
          <w:i/>
          <w:iCs/>
          <w:sz w:val="20"/>
          <w:szCs w:val="20"/>
        </w:rPr>
        <w:t>Revista de El Colegio de San Luis</w:t>
      </w:r>
      <w:r>
        <w:rPr>
          <w:rFonts w:ascii="Times New Roman" w:hAnsi="Times New Roman"/>
          <w:sz w:val="20"/>
          <w:szCs w:val="20"/>
        </w:rPr>
        <w:t>, </w:t>
      </w:r>
      <w:r>
        <w:rPr>
          <w:rFonts w:ascii="Times New Roman" w:hAnsi="Times New Roman"/>
          <w:i/>
          <w:iCs/>
          <w:sz w:val="20"/>
          <w:szCs w:val="20"/>
        </w:rPr>
        <w:t>18</w:t>
      </w:r>
      <w:r>
        <w:rPr>
          <w:rFonts w:ascii="Times New Roman" w:hAnsi="Times New Roman"/>
          <w:sz w:val="20"/>
          <w:szCs w:val="20"/>
        </w:rPr>
        <w:t>, 137–158. https://doi.org/10.21696/rcsl9182019947</w:t>
      </w:r>
    </w:p>
    <w:p>
      <w:pPr>
        <w:pStyle w:val="NormalWeb"/>
        <w:spacing w:lineRule="auto" w:line="240" w:beforeAutospacing="0" w:before="0" w:afterAutospacing="0" w:after="0"/>
        <w:ind w:left="0" w:right="0" w:hanging="0"/>
        <w:jc w:val="both"/>
        <w:rPr/>
      </w:pPr>
      <w:r>
        <w:rPr>
          <w:rFonts w:ascii="Times New Roman" w:hAnsi="Times New Roman"/>
          <w:i/>
          <w:iCs/>
          <w:sz w:val="20"/>
          <w:szCs w:val="20"/>
          <w:lang w:val="en-US"/>
        </w:rPr>
        <w:t>CIDH</w:t>
      </w:r>
      <w:r>
        <w:rPr>
          <w:rFonts w:ascii="Times New Roman" w:hAnsi="Times New Roman"/>
          <w:sz w:val="20"/>
          <w:szCs w:val="20"/>
          <w:lang w:val="en-US"/>
        </w:rPr>
        <w:t xml:space="preserve">. (n.d.). </w:t>
      </w:r>
      <w:r>
        <w:rPr>
          <w:rStyle w:val="Url"/>
          <w:rFonts w:ascii="Times New Roman" w:hAnsi="Times New Roman"/>
          <w:sz w:val="20"/>
          <w:szCs w:val="20"/>
          <w:lang w:val="en-US"/>
        </w:rPr>
        <w:t>http://www.tfca.gob.mx/es/TFCA/cbEG</w:t>
      </w:r>
    </w:p>
    <w:p>
      <w:pPr>
        <w:pStyle w:val="NormalWeb"/>
        <w:spacing w:lineRule="auto" w:line="240" w:beforeAutospacing="0" w:before="0" w:afterAutospacing="0" w:after="0"/>
        <w:ind w:left="0" w:right="0" w:hanging="0"/>
        <w:jc w:val="both"/>
        <w:rPr>
          <w:rFonts w:ascii="Times New Roman" w:hAnsi="Times New Roman"/>
          <w:sz w:val="20"/>
          <w:szCs w:val="20"/>
        </w:rPr>
      </w:pPr>
      <w:r>
        <w:rPr/>
      </w:r>
    </w:p>
    <w:p>
      <w:pPr>
        <w:pStyle w:val="NormalWeb"/>
        <w:spacing w:lineRule="auto" w:line="240" w:beforeAutospacing="0" w:before="0" w:afterAutospacing="0" w:after="0"/>
        <w:ind w:left="0" w:right="0" w:hanging="0"/>
        <w:jc w:val="both"/>
        <w:rPr/>
      </w:pPr>
      <w:r>
        <w:rPr>
          <w:rFonts w:ascii="Times New Roman" w:hAnsi="Times New Roman"/>
          <w:sz w:val="20"/>
          <w:szCs w:val="20"/>
        </w:rPr>
        <w:t xml:space="preserve">Coelho, F. (2023, 16 noviembre). </w:t>
      </w:r>
      <w:r>
        <w:rPr>
          <w:rFonts w:ascii="Times New Roman" w:hAnsi="Times New Roman"/>
          <w:i/>
          <w:iCs/>
          <w:sz w:val="20"/>
          <w:szCs w:val="20"/>
        </w:rPr>
        <w:t>Inclusión: Qué es, Significado y Concepto</w:t>
      </w:r>
      <w:r>
        <w:rPr>
          <w:rFonts w:ascii="Times New Roman" w:hAnsi="Times New Roman"/>
          <w:sz w:val="20"/>
          <w:szCs w:val="20"/>
        </w:rPr>
        <w:t xml:space="preserve">. Enciclopedia Significados. </w:t>
      </w:r>
      <w:r>
        <w:rPr>
          <w:rStyle w:val="Url"/>
          <w:rFonts w:ascii="Times New Roman" w:hAnsi="Times New Roman"/>
          <w:sz w:val="20"/>
          <w:szCs w:val="20"/>
        </w:rPr>
        <w:t>https://www.significados.com/inclusion/</w:t>
      </w:r>
    </w:p>
    <w:p>
      <w:pPr>
        <w:pStyle w:val="NormalWeb"/>
        <w:spacing w:lineRule="auto" w:line="240" w:beforeAutospacing="0" w:before="0" w:afterAutospacing="0" w:after="0"/>
        <w:ind w:left="0" w:right="0" w:hanging="0"/>
        <w:jc w:val="both"/>
        <w:rPr>
          <w:rFonts w:ascii="Times New Roman" w:hAnsi="Times New Roman"/>
          <w:sz w:val="20"/>
          <w:szCs w:val="20"/>
        </w:rPr>
      </w:pPr>
      <w:r>
        <w:rPr/>
      </w:r>
    </w:p>
    <w:p>
      <w:pPr>
        <w:pStyle w:val="NormalWeb"/>
        <w:spacing w:lineRule="auto" w:line="240" w:beforeAutospacing="0" w:before="0" w:afterAutospacing="0" w:after="0"/>
        <w:ind w:left="0" w:right="0" w:hanging="0"/>
        <w:jc w:val="both"/>
        <w:rPr/>
      </w:pPr>
      <w:r>
        <w:rPr>
          <w:rFonts w:ascii="Times New Roman" w:hAnsi="Times New Roman"/>
          <w:sz w:val="20"/>
          <w:szCs w:val="20"/>
        </w:rPr>
        <w:t xml:space="preserve">De Enciclopedia Significados, E. (2023, 16 noviembre). </w:t>
      </w:r>
      <w:r>
        <w:rPr>
          <w:rFonts w:ascii="Times New Roman" w:hAnsi="Times New Roman"/>
          <w:i/>
          <w:iCs/>
          <w:sz w:val="20"/>
          <w:szCs w:val="20"/>
        </w:rPr>
        <w:t>Diversidad (Qué es, Concepto, Características y Tipos)</w:t>
      </w:r>
      <w:r>
        <w:rPr>
          <w:rFonts w:ascii="Times New Roman" w:hAnsi="Times New Roman"/>
          <w:sz w:val="20"/>
          <w:szCs w:val="20"/>
        </w:rPr>
        <w:t xml:space="preserve">. </w:t>
      </w:r>
      <w:r>
        <w:rPr>
          <w:rFonts w:ascii="Times New Roman" w:hAnsi="Times New Roman"/>
          <w:sz w:val="20"/>
          <w:szCs w:val="20"/>
          <w:lang w:val="en-US"/>
        </w:rPr>
        <w:t xml:space="preserve">Enciclopedia Significados. </w:t>
      </w:r>
      <w:r>
        <w:rPr>
          <w:rStyle w:val="Url"/>
          <w:rFonts w:ascii="Times New Roman" w:hAnsi="Times New Roman"/>
          <w:sz w:val="20"/>
          <w:szCs w:val="20"/>
          <w:lang w:val="en-US"/>
        </w:rPr>
        <w:t>https://www.significados.com/diversidad/</w:t>
      </w:r>
    </w:p>
    <w:p>
      <w:pPr>
        <w:pStyle w:val="NormalWeb"/>
        <w:spacing w:lineRule="auto" w:line="240" w:before="0" w:afterAutospacing="0" w:after="0"/>
        <w:ind w:left="0" w:right="0" w:hanging="0"/>
        <w:jc w:val="both"/>
        <w:rPr>
          <w:i/>
          <w:i/>
          <w:iCs/>
          <w:lang w:val="en-US"/>
        </w:rPr>
      </w:pPr>
      <w:r>
        <w:rPr>
          <w:rFonts w:ascii="Times New Roman" w:hAnsi="Times New Roman"/>
          <w:sz w:val="20"/>
          <w:szCs w:val="20"/>
        </w:rPr>
      </w:r>
    </w:p>
    <w:p>
      <w:pPr>
        <w:pStyle w:val="NormalWeb"/>
        <w:spacing w:lineRule="auto" w:line="240" w:before="0" w:afterAutospacing="0" w:after="0"/>
        <w:ind w:left="0" w:right="0" w:hanging="0"/>
        <w:jc w:val="both"/>
        <w:rPr>
          <w:rFonts w:ascii="Times New Roman" w:hAnsi="Times New Roman"/>
          <w:sz w:val="20"/>
          <w:szCs w:val="20"/>
        </w:rPr>
      </w:pPr>
      <w:r>
        <w:rPr>
          <w:rFonts w:ascii="Times New Roman" w:hAnsi="Times New Roman"/>
          <w:i/>
          <w:iCs/>
          <w:sz w:val="20"/>
          <w:szCs w:val="20"/>
          <w:lang w:val="en-US"/>
        </w:rPr>
        <w:t>Global women’s breakfast - IUPAC</w:t>
      </w:r>
      <w:r>
        <w:rPr>
          <w:rFonts w:ascii="Times New Roman" w:hAnsi="Times New Roman"/>
          <w:sz w:val="20"/>
          <w:szCs w:val="20"/>
          <w:lang w:val="en-US"/>
        </w:rPr>
        <w:t>. (2024, January 20). IUPAC | International Union of Pure and Applied Chemistry. https://iupac.org/gwb/</w:t>
      </w:r>
    </w:p>
    <w:p>
      <w:pPr>
        <w:pStyle w:val="NormalWeb"/>
        <w:spacing w:lineRule="auto" w:line="240" w:before="0" w:afterAutospacing="0" w:after="0"/>
        <w:ind w:left="0" w:right="0" w:hanging="0"/>
        <w:jc w:val="both"/>
        <w:rPr>
          <w:lang w:val="en-US"/>
        </w:rPr>
      </w:pPr>
      <w:r>
        <w:rPr>
          <w:rFonts w:ascii="Times New Roman" w:hAnsi="Times New Roman"/>
          <w:sz w:val="20"/>
          <w:szCs w:val="20"/>
        </w:rPr>
      </w:r>
    </w:p>
    <w:p>
      <w:pPr>
        <w:pStyle w:val="NormalWeb"/>
        <w:spacing w:lineRule="auto" w:line="240" w:before="0" w:afterAutospacing="0" w:after="0"/>
        <w:ind w:left="0" w:right="0" w:hanging="0"/>
        <w:jc w:val="both"/>
        <w:rPr>
          <w:rFonts w:ascii="Times New Roman" w:hAnsi="Times New Roman"/>
          <w:sz w:val="20"/>
          <w:szCs w:val="20"/>
        </w:rPr>
      </w:pPr>
      <w:r>
        <w:rPr>
          <w:rFonts w:ascii="Times New Roman" w:hAnsi="Times New Roman"/>
          <w:sz w:val="20"/>
          <w:szCs w:val="20"/>
          <w:lang w:val="en-US"/>
        </w:rPr>
        <w:t>Klaus Schwab, Xavier Sala-i-Martín, Espen Barth Eide, Jennifer Blanke. (2014). </w:t>
      </w:r>
      <w:r>
        <w:rPr>
          <w:rFonts w:ascii="Times New Roman" w:hAnsi="Times New Roman"/>
          <w:i/>
          <w:iCs/>
          <w:sz w:val="20"/>
          <w:szCs w:val="20"/>
          <w:lang w:val="en-US"/>
        </w:rPr>
        <w:t>The Global Competitiveness Report</w:t>
      </w:r>
      <w:r>
        <w:rPr>
          <w:rFonts w:ascii="Times New Roman" w:hAnsi="Times New Roman"/>
          <w:sz w:val="20"/>
          <w:szCs w:val="20"/>
          <w:lang w:val="en-US"/>
        </w:rPr>
        <w:t>. Weforum.org. http://www3.weforum.org/docs/WEF_GlobalCompetitivenessReport_2014-15.pdf</w:t>
      </w:r>
    </w:p>
    <w:p>
      <w:pPr>
        <w:pStyle w:val="NormalWeb"/>
        <w:spacing w:lineRule="auto" w:line="240" w:beforeAutospacing="0" w:before="0" w:afterAutospacing="0" w:after="0"/>
        <w:ind w:left="0" w:right="0" w:hanging="0"/>
        <w:jc w:val="both"/>
        <w:rPr>
          <w:rFonts w:ascii="Times New Roman" w:hAnsi="Times New Roman"/>
          <w:sz w:val="20"/>
          <w:szCs w:val="20"/>
        </w:rPr>
      </w:pPr>
      <w:r>
        <w:rPr/>
      </w:r>
    </w:p>
    <w:p>
      <w:pPr>
        <w:pStyle w:val="NormalWeb"/>
        <w:spacing w:lineRule="auto" w:line="240" w:beforeAutospacing="0" w:before="0" w:afterAutospacing="0" w:after="0"/>
        <w:ind w:left="0" w:right="0" w:hanging="0"/>
        <w:jc w:val="both"/>
        <w:rPr/>
      </w:pPr>
      <w:r>
        <w:rPr>
          <w:rFonts w:ascii="Times New Roman" w:hAnsi="Times New Roman"/>
          <w:sz w:val="20"/>
          <w:szCs w:val="20"/>
        </w:rPr>
        <w:t xml:space="preserve">Moreno, C. M. (2022, 3 noviembre). </w:t>
      </w:r>
      <w:r>
        <w:rPr>
          <w:rFonts w:ascii="Times New Roman" w:hAnsi="Times New Roman"/>
          <w:i/>
          <w:iCs/>
          <w:sz w:val="20"/>
          <w:szCs w:val="20"/>
        </w:rPr>
        <w:t>La diversidad en la ciencia</w:t>
      </w:r>
      <w:r>
        <w:rPr>
          <w:rFonts w:ascii="Times New Roman" w:hAnsi="Times New Roman"/>
          <w:sz w:val="20"/>
          <w:szCs w:val="20"/>
        </w:rPr>
        <w:t xml:space="preserve">. Revista Horizonte Independiente. </w:t>
      </w:r>
      <w:r>
        <w:rPr>
          <w:rStyle w:val="Url"/>
          <w:rFonts w:ascii="Times New Roman" w:hAnsi="Times New Roman"/>
          <w:sz w:val="20"/>
          <w:szCs w:val="20"/>
        </w:rPr>
        <w:t>https://horizonteindependiente.com/la-diversidad-en-la-ciencia/#:~:text=La%20diversidad%20muestra%20el%20valor,el%20desarrollo%20del%20conocimiento%20cient%C3%ADfico.</w:t>
      </w:r>
    </w:p>
    <w:p>
      <w:pPr>
        <w:pStyle w:val="NormalWeb"/>
        <w:spacing w:lineRule="auto" w:line="240" w:beforeAutospacing="0" w:before="0" w:afterAutospacing="0" w:after="0"/>
        <w:ind w:left="0" w:right="0" w:hanging="0"/>
        <w:jc w:val="both"/>
        <w:rPr>
          <w:rFonts w:ascii="Times New Roman" w:hAnsi="Times New Roman"/>
          <w:i/>
          <w:i/>
          <w:iCs/>
          <w:sz w:val="20"/>
          <w:szCs w:val="20"/>
          <w:lang w:val="en-US"/>
        </w:rPr>
      </w:pPr>
      <w:r>
        <w:rPr/>
      </w:r>
    </w:p>
    <w:p>
      <w:pPr>
        <w:pStyle w:val="NormalWeb"/>
        <w:spacing w:lineRule="auto" w:line="240" w:beforeAutospacing="0" w:before="0" w:afterAutospacing="0" w:after="0"/>
        <w:ind w:left="0" w:right="0" w:hanging="0"/>
        <w:jc w:val="both"/>
        <w:rPr/>
      </w:pPr>
      <w:r>
        <w:rPr>
          <w:rFonts w:ascii="Times New Roman" w:hAnsi="Times New Roman"/>
          <w:i/>
          <w:iCs/>
          <w:sz w:val="20"/>
          <w:szCs w:val="20"/>
          <w:lang w:val="en-US"/>
        </w:rPr>
        <w:t>STEM ARTISTIC EXPRESSION: Exhibition of works done by UPIIH students. - IUPAC | International Union of Pure and Applied Chemistry</w:t>
      </w:r>
      <w:r>
        <w:rPr>
          <w:rFonts w:ascii="Times New Roman" w:hAnsi="Times New Roman"/>
          <w:sz w:val="20"/>
          <w:szCs w:val="20"/>
          <w:lang w:val="en-US"/>
        </w:rPr>
        <w:t xml:space="preserve">. (2024, 26 febrero). IUPAC | International Union Of Pure And Applied Chemistry. </w:t>
      </w:r>
      <w:r>
        <w:rPr>
          <w:rStyle w:val="Url"/>
          <w:rFonts w:ascii="Times New Roman" w:hAnsi="Times New Roman"/>
          <w:sz w:val="20"/>
          <w:szCs w:val="20"/>
          <w:lang w:val="en-US"/>
        </w:rPr>
        <w:t>https://iupac.org/gwb/2024/stem-artistic-expression-exhibition-of-works-done-by-upiih-students/</w:t>
      </w:r>
    </w:p>
    <w:p>
      <w:pPr>
        <w:pStyle w:val="NormalWeb"/>
        <w:spacing w:lineRule="auto" w:line="240" w:before="0" w:afterAutospacing="0" w:after="0"/>
        <w:ind w:left="0" w:right="0" w:hanging="0"/>
        <w:jc w:val="both"/>
        <w:rPr>
          <w:i/>
          <w:i/>
          <w:iCs/>
          <w:lang w:val="en-US"/>
        </w:rPr>
      </w:pPr>
      <w:r>
        <w:rPr>
          <w:rFonts w:ascii="Times New Roman" w:hAnsi="Times New Roman"/>
          <w:sz w:val="20"/>
          <w:szCs w:val="20"/>
        </w:rPr>
      </w:r>
    </w:p>
    <w:p>
      <w:pPr>
        <w:pStyle w:val="NormalWeb"/>
        <w:spacing w:lineRule="auto" w:line="240" w:before="0" w:afterAutospacing="0" w:after="0"/>
        <w:ind w:left="0" w:right="0" w:hanging="0"/>
        <w:jc w:val="both"/>
        <w:rPr>
          <w:rFonts w:ascii="Times New Roman" w:hAnsi="Times New Roman"/>
          <w:sz w:val="20"/>
          <w:szCs w:val="20"/>
        </w:rPr>
      </w:pPr>
      <w:r>
        <w:rPr>
          <w:rFonts w:ascii="Times New Roman" w:hAnsi="Times New Roman"/>
          <w:i/>
          <w:iCs/>
          <w:sz w:val="20"/>
          <w:szCs w:val="20"/>
          <w:lang w:val="en-US"/>
        </w:rPr>
        <w:t>STEM ARTISTIC EXPRESSION: Exhibition of works done by UPIIH students</w:t>
      </w:r>
      <w:r>
        <w:rPr>
          <w:rFonts w:ascii="Times New Roman" w:hAnsi="Times New Roman"/>
          <w:sz w:val="20"/>
          <w:szCs w:val="20"/>
          <w:lang w:val="en-US"/>
        </w:rPr>
        <w:t>. (2024, February 26). IUPAC | International Union of Pure and Applied Chemistry. https://iupac.org/gwb/2024/stem-artistic-expression-exhibition-of-works-done-by-upiih-students/</w:t>
      </w:r>
    </w:p>
    <w:p>
      <w:pPr>
        <w:pStyle w:val="NormalWeb"/>
        <w:spacing w:lineRule="auto" w:line="240" w:before="0" w:afterAutospacing="0" w:after="0"/>
        <w:ind w:left="0" w:right="0" w:hanging="0"/>
        <w:jc w:val="both"/>
        <w:rPr>
          <w:rFonts w:ascii="Times New Roman" w:hAnsi="Times New Roman"/>
          <w:sz w:val="20"/>
          <w:szCs w:val="20"/>
        </w:rPr>
      </w:pPr>
      <w:r>
        <w:rPr>
          <w:rFonts w:ascii="Times New Roman" w:hAnsi="Times New Roman"/>
          <w:sz w:val="20"/>
          <w:szCs w:val="20"/>
        </w:rPr>
      </w:r>
    </w:p>
    <w:p>
      <w:pPr>
        <w:pStyle w:val="NormalWeb"/>
        <w:spacing w:lineRule="auto" w:line="240" w:before="0" w:afterAutospacing="0" w:after="0"/>
        <w:ind w:left="0" w:right="0" w:hanging="0"/>
        <w:jc w:val="both"/>
        <w:rPr>
          <w:rFonts w:ascii="Times New Roman" w:hAnsi="Times New Roman"/>
          <w:sz w:val="20"/>
          <w:szCs w:val="20"/>
        </w:rPr>
      </w:pPr>
      <w:r>
        <w:rPr>
          <w:rFonts w:ascii="Times New Roman" w:hAnsi="Times New Roman"/>
          <w:sz w:val="20"/>
          <w:szCs w:val="20"/>
        </w:rPr>
        <w:t>United Nations. (n.d.). </w:t>
      </w:r>
      <w:r>
        <w:rPr>
          <w:rFonts w:ascii="Times New Roman" w:hAnsi="Times New Roman"/>
          <w:i/>
          <w:iCs/>
          <w:sz w:val="20"/>
          <w:szCs w:val="20"/>
        </w:rPr>
        <w:t>Objetivos de Desarrollo Sostenible | Naciones Unidas</w:t>
      </w:r>
      <w:r>
        <w:rPr>
          <w:rFonts w:ascii="Times New Roman" w:hAnsi="Times New Roman"/>
          <w:sz w:val="20"/>
          <w:szCs w:val="20"/>
        </w:rPr>
        <w:t xml:space="preserve">. </w:t>
      </w:r>
      <w:r>
        <w:rPr>
          <w:rFonts w:ascii="Times New Roman" w:hAnsi="Times New Roman"/>
          <w:sz w:val="20"/>
          <w:szCs w:val="20"/>
          <w:lang w:val="en-US"/>
        </w:rPr>
        <w:t>Retrieved April 21, 2024, from https://www.un.org/es/impacto-acad%C3%A9mico/page/objetivos-de-desarrollo-sostenible</w:t>
      </w:r>
    </w:p>
    <w:p>
      <w:pPr>
        <w:sectPr>
          <w:type w:val="continuous"/>
          <w:pgSz w:w="12240" w:h="15840"/>
          <w:pgMar w:left="1417" w:right="1417" w:header="1417" w:top="2064" w:footer="1417" w:bottom="2092" w:gutter="0"/>
          <w:cols w:num="2" w:space="282" w:equalWidth="true" w:sep="false"/>
          <w:formProt w:val="false"/>
          <w:textDirection w:val="lrTb"/>
          <w:docGrid w:type="default" w:linePitch="360" w:charSpace="4096"/>
        </w:sectPr>
      </w:pPr>
    </w:p>
    <w:sectPr>
      <w:headerReference w:type="even" r:id="rId33"/>
      <w:headerReference w:type="default" r:id="rId34"/>
      <w:headerReference w:type="first" r:id="rId35"/>
      <w:footerReference w:type="even" r:id="rId36"/>
      <w:footerReference w:type="default" r:id="rId37"/>
      <w:footerReference w:type="first" r:id="rId38"/>
      <w:type w:val="continuous"/>
      <w:pgSz w:w="12240" w:h="15840"/>
      <w:pgMar w:left="1417" w:right="1417" w:header="1417" w:top="2064" w:footer="1417" w:bottom="2092"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swiss"/>
    <w:pitch w:val="variable"/>
  </w:font>
  <w:font w:name="Times New Roman">
    <w:charset w:val="01"/>
    <w:family w:val="roman"/>
    <w:pitch w:val="variable"/>
  </w:font>
  <w:font w:name="Times new roman">
    <w:charset w:val="01"/>
    <w:family w:val="roman"/>
    <w:pitch w:val="variable"/>
  </w:font>
  <w:font w:name="Cantarell">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/Mayo/2024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Juni</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/Mayo/2024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Juni</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/Mayo/2024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Juni</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1"/>
      <w:gridCol w:w="4142"/>
      <w:gridCol w:w="2782"/>
    </w:tblGrid>
    <w:tr>
      <w:trPr/>
      <w:tc>
        <w:tcPr>
          <w:tcW w:w="2481" w:type="dxa"/>
          <w:tcBorders/>
          <w:shd w:fill="auto" w:val="clear"/>
        </w:tcPr>
        <w:p>
          <w:pPr>
            <w:pStyle w:val="Contenidodelatabla"/>
            <w:widowControl w:val="false"/>
            <w:bidi w:val="0"/>
            <w:spacing w:before="0" w:after="0"/>
            <w:ind w:hanging="0"/>
            <w:jc w:val="left"/>
            <w:rPr/>
          </w:pPr>
          <w:r>
            <w:rPr>
              <w:rFonts w:ascii="Times new roman" w:hAnsi="Times new roman"/>
              <w:sz w:val="16"/>
              <w:szCs w:val="16"/>
            </w:rPr>
            <w:t>Recibido: 0</w:t>
          </w:r>
          <w:r>
            <w:rPr>
              <w:rFonts w:ascii="Times new roman" w:hAnsi="Times new roman"/>
              <w:sz w:val="16"/>
              <w:szCs w:val="16"/>
            </w:rPr>
            <w:t>6</w:t>
          </w:r>
          <w:r>
            <w:rPr>
              <w:rFonts w:ascii="Times new roman" w:hAnsi="Times new roman"/>
              <w:sz w:val="16"/>
              <w:szCs w:val="16"/>
            </w:rPr>
            <w:t>/Mayo/2024</w:t>
          </w:r>
        </w:p>
        <w:p>
          <w:pPr>
            <w:pStyle w:val="Contenidodelatabla"/>
            <w:widowControl w:val="false"/>
            <w:bidi w:val="0"/>
            <w:spacing w:before="0" w:after="0"/>
            <w:ind w:hanging="0"/>
            <w:jc w:val="left"/>
            <w:rPr/>
          </w:pPr>
          <w:r>
            <w:rPr>
              <w:rFonts w:ascii="Times new roman" w:hAnsi="Times new roman"/>
              <w:sz w:val="16"/>
              <w:szCs w:val="16"/>
            </w:rPr>
            <w:t xml:space="preserve">Aceptado: </w:t>
          </w:r>
          <w:r>
            <w:rPr>
              <w:rFonts w:ascii="Times new roman" w:hAnsi="Times new roman"/>
              <w:sz w:val="16"/>
              <w:szCs w:val="16"/>
            </w:rPr>
            <w:t>06</w:t>
          </w:r>
          <w:r>
            <w:rPr>
              <w:rFonts w:ascii="Times new roman" w:hAnsi="Times new roman"/>
              <w:sz w:val="16"/>
              <w:szCs w:val="16"/>
            </w:rPr>
            <w:t>/</w:t>
          </w:r>
          <w:r>
            <w:rPr>
              <w:rFonts w:ascii="Times new roman" w:hAnsi="Times new roman"/>
              <w:sz w:val="16"/>
              <w:szCs w:val="16"/>
            </w:rPr>
            <w:t>Juni</w:t>
          </w:r>
          <w:r>
            <w:rPr>
              <w:rFonts w:ascii="Times new roman" w:hAnsi="Times new roman"/>
              <w:sz w:val="16"/>
              <w:szCs w:val="16"/>
            </w:rPr>
            <w:t>o/2024</w:t>
          </w:r>
        </w:p>
      </w:tc>
      <w:tc>
        <w:tcPr>
          <w:tcW w:w="4142" w:type="dxa"/>
          <w:tcBorders/>
          <w:shd w:fill="auto" w:val="clear"/>
        </w:tcPr>
        <w:p>
          <w:pPr>
            <w:pStyle w:val="Contenidodelatabla"/>
            <w:widowControl w:val="false"/>
            <w:bidi w:val="0"/>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bidi w:val="0"/>
            <w:spacing w:before="120" w:after="60"/>
            <w:jc w:val="left"/>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63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2, Julio - Diciembre 2024</w: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63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2, Julio - Diciembre 2024</w:t>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63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2, Julio - Diciembre 2024</w:t>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2"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63</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2</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63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2, Julio - Diciembre 2024</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63</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2</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63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2, Julio - Diciembre 2024</w: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63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2, Julio - Diciembre 2024</w: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2"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63</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2</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63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2, Julio - Diciembre 2024</w:t>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izquierda"/>
      <w:widowControl/>
      <w:bidi w:val="0"/>
      <w:spacing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9, No. 20, pp. 1</w:t>
    </w:r>
    <w:r>
      <w:rPr>
        <w:rFonts w:ascii="Times new roman" w:hAnsi="Times new roman"/>
        <w:b w:val="false"/>
        <w:i/>
        <w:iCs/>
        <w:caps w:val="false"/>
        <w:smallCaps w:val="false"/>
        <w:spacing w:val="0"/>
        <w:sz w:val="16"/>
        <w:szCs w:val="16"/>
      </w:rPr>
      <w:t>63</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7</w:t>
    </w:r>
    <w:r>
      <w:rPr>
        <w:rFonts w:ascii="Times new roman" w:hAnsi="Times new roman"/>
        <w:b w:val="false"/>
        <w:i/>
        <w:iCs/>
        <w:caps w:val="false"/>
        <w:smallCaps w:val="false"/>
        <w:spacing w:val="0"/>
        <w:sz w:val="16"/>
        <w:szCs w:val="16"/>
      </w:rPr>
      <w:t>2, Julio - Diciembre 2024</w:t>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1" name="Imagen9"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9, No. 20, pp. 1</w:t>
          </w:r>
          <w:r>
            <w:rPr>
              <w:rFonts w:eastAsia="Times New Roman" w:cs="Times New Roman" w:ascii="Times new roman" w:hAnsi="Times new roman"/>
              <w:sz w:val="20"/>
              <w:szCs w:val="20"/>
            </w:rPr>
            <w:t>63</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7</w:t>
          </w:r>
          <w:r>
            <w:rPr>
              <w:rFonts w:eastAsia="Times New Roman" w:cs="Times New Roman" w:ascii="Times new roman" w:hAnsi="Times new roman"/>
              <w:sz w:val="20"/>
              <w:szCs w:val="20"/>
            </w:rPr>
            <w:t>2</w:t>
          </w:r>
        </w:p>
        <w:p>
          <w:pPr>
            <w:pStyle w:val="Normal"/>
            <w:widowControl w:val="false"/>
            <w:tabs>
              <w:tab w:val="clear" w:pos="708"/>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2024</w:t>
          </w:r>
        </w:p>
      </w:tc>
      <w:tc>
        <w:tcPr>
          <w:tcW w:w="3689" w:type="dxa"/>
          <w:tcBorders/>
          <w:shd w:fill="auto" w:val="clear"/>
        </w:tcPr>
        <w:p>
          <w:pPr>
            <w:pStyle w:val="Normal"/>
            <w:widowControl w:val="false"/>
            <w:tabs>
              <w:tab w:val="clear" w:pos="708"/>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08"/>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upperRoman"/>
      <w:lvlText w:val="%1."/>
      <w:lvlJc w:val="left"/>
      <w:pPr>
        <w:tabs>
          <w:tab w:val="num" w:pos="0"/>
        </w:tabs>
        <w:ind w:left="1080" w:hanging="72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upperRoman"/>
      <w:lvlText w:val="%1."/>
      <w:lvlJc w:val="left"/>
      <w:pPr>
        <w:tabs>
          <w:tab w:val="num" w:pos="0"/>
        </w:tabs>
        <w:ind w:left="1080" w:hanging="720"/>
      </w:pPr>
      <w:rPr>
        <w:b/>
        <w:bCs/>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ja-JP" w:bidi="ar-SA"/>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Arial"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a14f3"/>
    <w:pPr>
      <w:widowControl/>
      <w:bidi w:val="0"/>
      <w:spacing w:lineRule="auto" w:line="259" w:before="0" w:after="160"/>
      <w:jc w:val="left"/>
    </w:pPr>
    <w:rPr>
      <w:rFonts w:ascii="Calibri" w:hAnsi="Calibri" w:eastAsia="Calibri" w:cs="Arial" w:asciiTheme="minorHAnsi" w:cstheme="minorBidi" w:eastAsiaTheme="minorHAnsi" w:hAnsiTheme="minorHAnsi"/>
      <w:color w:val="auto"/>
      <w:kern w:val="0"/>
      <w:sz w:val="22"/>
      <w:szCs w:val="22"/>
      <w:lang w:val="es-MX" w:eastAsia="en-US" w:bidi="ar-SA"/>
    </w:rPr>
  </w:style>
  <w:style w:type="character" w:styleId="DefaultParagraphFont" w:default="1">
    <w:name w:val="Default Paragraph Font"/>
    <w:uiPriority w:val="1"/>
    <w:semiHidden/>
    <w:unhideWhenUsed/>
    <w:qFormat/>
    <w:rPr/>
  </w:style>
  <w:style w:type="character" w:styleId="Url" w:customStyle="1">
    <w:name w:val="url"/>
    <w:basedOn w:val="DefaultParagraphFont"/>
    <w:qFormat/>
    <w:rsid w:val="003a14f3"/>
    <w:rPr/>
  </w:style>
  <w:style w:type="character" w:styleId="Annotationreference">
    <w:name w:val="annotation reference"/>
    <w:basedOn w:val="DefaultParagraphFont"/>
    <w:uiPriority w:val="99"/>
    <w:semiHidden/>
    <w:unhideWhenUsed/>
    <w:qFormat/>
    <w:rsid w:val="00b9259b"/>
    <w:rPr>
      <w:sz w:val="16"/>
      <w:szCs w:val="16"/>
    </w:rPr>
  </w:style>
  <w:style w:type="character" w:styleId="TextocomentarioCar" w:customStyle="1">
    <w:name w:val="Texto comentario Car"/>
    <w:basedOn w:val="DefaultParagraphFont"/>
    <w:link w:val="Textocomentario"/>
    <w:uiPriority w:val="99"/>
    <w:qFormat/>
    <w:rsid w:val="00b9259b"/>
    <w:rPr>
      <w:sz w:val="20"/>
      <w:szCs w:val="20"/>
    </w:rPr>
  </w:style>
  <w:style w:type="character" w:styleId="AsuntodelcomentarioCar" w:customStyle="1">
    <w:name w:val="Asunto del comentario Car"/>
    <w:basedOn w:val="TextocomentarioCar"/>
    <w:link w:val="Asuntodelcomentario"/>
    <w:uiPriority w:val="99"/>
    <w:semiHidden/>
    <w:qFormat/>
    <w:rsid w:val="00b9259b"/>
    <w:rPr>
      <w:b/>
      <w:bCs/>
      <w:sz w:val="20"/>
      <w:szCs w:val="20"/>
    </w:rPr>
  </w:style>
  <w:style w:type="character" w:styleId="EnlacedeInternet">
    <w:name w:val="Enlace de Internet"/>
    <w:basedOn w:val="DefaultParagraphFont"/>
    <w:uiPriority w:val="99"/>
    <w:unhideWhenUsed/>
    <w:rsid w:val="003727b1"/>
    <w:rPr>
      <w:color w:val="0563C1" w:themeColor="hyperlink"/>
      <w:u w:val="single"/>
    </w:rPr>
  </w:style>
  <w:style w:type="character" w:styleId="UnresolvedMention">
    <w:name w:val="Unresolved Mention"/>
    <w:basedOn w:val="DefaultParagraphFont"/>
    <w:uiPriority w:val="99"/>
    <w:semiHidden/>
    <w:unhideWhenUsed/>
    <w:qFormat/>
    <w:rsid w:val="003727b1"/>
    <w:rPr>
      <w:color w:val="605E5C"/>
      <w:shd w:fill="E1DFDD" w:val="clear"/>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NormalWeb">
    <w:name w:val="Normal (Web)"/>
    <w:basedOn w:val="Normal"/>
    <w:uiPriority w:val="99"/>
    <w:semiHidden/>
    <w:unhideWhenUsed/>
    <w:qFormat/>
    <w:rsid w:val="003a14f3"/>
    <w:pPr>
      <w:spacing w:lineRule="auto" w:line="240" w:beforeAutospacing="1" w:afterAutospacing="1"/>
    </w:pPr>
    <w:rPr>
      <w:rFonts w:ascii="Times New Roman" w:hAnsi="Times New Roman" w:eastAsia="Times New Roman" w:cs="Times New Roman"/>
      <w:sz w:val="24"/>
      <w:szCs w:val="24"/>
      <w:lang w:eastAsia="es-MX"/>
    </w:rPr>
  </w:style>
  <w:style w:type="paragraph" w:styleId="Caption">
    <w:name w:val="caption"/>
    <w:basedOn w:val="Normal"/>
    <w:next w:val="Normal"/>
    <w:uiPriority w:val="35"/>
    <w:unhideWhenUsed/>
    <w:qFormat/>
    <w:rsid w:val="003a14f3"/>
    <w:pPr>
      <w:spacing w:lineRule="auto" w:line="240" w:before="0" w:after="200"/>
    </w:pPr>
    <w:rPr>
      <w:i/>
      <w:iCs/>
      <w:color w:val="44546A" w:themeColor="text2"/>
      <w:sz w:val="18"/>
      <w:szCs w:val="18"/>
    </w:rPr>
  </w:style>
  <w:style w:type="paragraph" w:styleId="ListParagraph">
    <w:name w:val="List Paragraph"/>
    <w:basedOn w:val="Normal"/>
    <w:uiPriority w:val="34"/>
    <w:qFormat/>
    <w:rsid w:val="003a14f3"/>
    <w:pPr>
      <w:spacing w:before="0" w:after="160"/>
      <w:ind w:left="720" w:hanging="0"/>
      <w:contextualSpacing/>
    </w:pPr>
    <w:rPr/>
  </w:style>
  <w:style w:type="paragraph" w:styleId="Annotationtext">
    <w:name w:val="annotation text"/>
    <w:basedOn w:val="Normal"/>
    <w:link w:val="TextocomentarioCar"/>
    <w:uiPriority w:val="99"/>
    <w:unhideWhenUsed/>
    <w:qFormat/>
    <w:rsid w:val="00b9259b"/>
    <w:pPr>
      <w:spacing w:lineRule="auto" w:line="240"/>
    </w:pPr>
    <w:rPr>
      <w:sz w:val="20"/>
      <w:szCs w:val="20"/>
    </w:rPr>
  </w:style>
  <w:style w:type="paragraph" w:styleId="Annotationsubject">
    <w:name w:val="annotation subject"/>
    <w:basedOn w:val="Annotationtext"/>
    <w:next w:val="Annotationtext"/>
    <w:link w:val="AsuntodelcomentarioCar"/>
    <w:uiPriority w:val="99"/>
    <w:semiHidden/>
    <w:unhideWhenUsed/>
    <w:qFormat/>
    <w:rsid w:val="00b9259b"/>
    <w:pPr/>
    <w:rPr>
      <w:b/>
      <w:bCs/>
    </w:rPr>
  </w:style>
  <w:style w:type="paragraph" w:styleId="Cabeceraypie">
    <w:name w:val="Cabecera y pie"/>
    <w:basedOn w:val="Normal"/>
    <w:qFormat/>
    <w:pPr>
      <w:suppressLineNumbers/>
      <w:tabs>
        <w:tab w:val="clear" w:pos="708"/>
        <w:tab w:val="center" w:pos="4703" w:leader="none"/>
        <w:tab w:val="right" w:pos="9406" w:leader="none"/>
      </w:tabs>
    </w:pPr>
    <w:rPr/>
  </w:style>
  <w:style w:type="paragraph" w:styleId="Cabecera">
    <w:name w:val="Header"/>
    <w:basedOn w:val="Cabeceraypie"/>
    <w:pPr>
      <w:suppressLineNumbers/>
    </w:pPr>
    <w:rPr/>
  </w:style>
  <w:style w:type="paragraph" w:styleId="Cabeceraizquierda">
    <w:name w:val="Cabecera izquierda"/>
    <w:basedOn w:val="Cabecera"/>
    <w:qFormat/>
    <w:pPr>
      <w:suppressLineNumbers/>
    </w:pPr>
    <w:rPr/>
  </w:style>
  <w:style w:type="paragraph" w:styleId="Piedepgina">
    <w:name w:val="Footer"/>
    <w:basedOn w:val="Cabeceraypie"/>
    <w:pPr>
      <w:suppressLineNumbers/>
    </w:pPr>
    <w:rPr/>
  </w:style>
  <w:style w:type="paragraph" w:styleId="Contenidodelatabla">
    <w:name w:val="Contenido de la tabla"/>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39"/>
    <w:rsid w:val="003a14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hyperlink" Target="https://iupac.org/gwb/" TargetMode="Externa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image" Target="media/image3.png"/><Relationship Id="rId16" Type="http://schemas.openxmlformats.org/officeDocument/2006/relationships/image" Target="media/image4.png"/><Relationship Id="rId17" Type="http://schemas.openxmlformats.org/officeDocument/2006/relationships/chart" Target="charts/chart1.xml"/><Relationship Id="rId18" Type="http://schemas.openxmlformats.org/officeDocument/2006/relationships/chart" Target="charts/chart2.xml"/><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jpeg"/><Relationship Id="rId25" Type="http://schemas.openxmlformats.org/officeDocument/2006/relationships/image" Target="media/image11.png"/><Relationship Id="rId26" Type="http://schemas.openxmlformats.org/officeDocument/2006/relationships/image" Target="media/image12.jpeg"/><Relationship Id="rId27" Type="http://schemas.openxmlformats.org/officeDocument/2006/relationships/header" Target="header7.xml"/><Relationship Id="rId28" Type="http://schemas.openxmlformats.org/officeDocument/2006/relationships/header" Target="header8.xml"/><Relationship Id="rId29" Type="http://schemas.openxmlformats.org/officeDocument/2006/relationships/header" Target="header9.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footer" Target="footer9.xml"/><Relationship Id="rId33" Type="http://schemas.openxmlformats.org/officeDocument/2006/relationships/header" Target="header10.xml"/><Relationship Id="rId34" Type="http://schemas.openxmlformats.org/officeDocument/2006/relationships/header" Target="header11.xml"/><Relationship Id="rId35" Type="http://schemas.openxmlformats.org/officeDocument/2006/relationships/header" Target="header12.xml"/><Relationship Id="rId36" Type="http://schemas.openxmlformats.org/officeDocument/2006/relationships/footer" Target="footer10.xml"/><Relationship Id="rId37" Type="http://schemas.openxmlformats.org/officeDocument/2006/relationships/footer" Target="footer11.xml"/><Relationship Id="rId38" Type="http://schemas.openxmlformats.org/officeDocument/2006/relationships/footer" Target="footer12.xml"/><Relationship Id="rId39" Type="http://schemas.openxmlformats.org/officeDocument/2006/relationships/numbering" Target="numbering.xml"/><Relationship Id="rId40" Type="http://schemas.openxmlformats.org/officeDocument/2006/relationships/fontTable" Target="fontTable.xml"/><Relationship Id="rId41" Type="http://schemas.openxmlformats.org/officeDocument/2006/relationships/settings" Target="settings.xml"/><Relationship Id="rId42" Type="http://schemas.openxmlformats.org/officeDocument/2006/relationships/theme" Target="theme/theme1.xml"/><Relationship Id="rId43" Type="http://schemas.openxmlformats.org/officeDocument/2006/relationships/customXml" Target="../customXml/item1.xml"/><Relationship Id="rId44" Type="http://schemas.openxmlformats.org/officeDocument/2006/relationships/customXml" Target="../customXml/item2.xml"/><Relationship Id="rId45" Type="http://schemas.openxmlformats.org/officeDocument/2006/relationships/customXml" Target="../customXml/item3.xml"/><Relationship Id="rId46" Type="http://schemas.openxmlformats.org/officeDocument/2006/relationships/customXml" Target="../customXml/item4.xml"/>
</Relationships>
</file>

<file path=word/_rels/header12.xml.rels><?xml version="1.0" encoding="UTF-8"?>
<Relationships xmlns="http://schemas.openxmlformats.org/package/2006/relationships"><Relationship Id="rId1" Type="http://schemas.openxmlformats.org/officeDocument/2006/relationships/image" Target="media/image14.png"/>
</Relationships>
</file>

<file path=word/_rels/header3.xml.rels><?xml version="1.0" encoding="UTF-8"?>
<Relationships xmlns="http://schemas.openxmlformats.org/package/2006/relationships"><Relationship Id="rId1" Type="http://schemas.openxmlformats.org/officeDocument/2006/relationships/image" Target="media/image1.png"/>
</Relationships>
</file>

<file path=word/_rels/header6.xml.rels><?xml version="1.0" encoding="UTF-8"?>
<Relationships xmlns="http://schemas.openxmlformats.org/package/2006/relationships"><Relationship Id="rId1" Type="http://schemas.openxmlformats.org/officeDocument/2006/relationships/image" Target="media/image2.png"/>
</Relationships>
</file>

<file path=word/_rels/header9.xml.rels><?xml version="1.0" encoding="UTF-8"?>
<Relationships xmlns="http://schemas.openxmlformats.org/package/2006/relationships"><Relationship Id="rId1" Type="http://schemas.openxmlformats.org/officeDocument/2006/relationships/image" Target="media/image13.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MX" sz="1200" spc="-1" strike="noStrike">
                <a:solidFill>
                  <a:srgbClr val="595959"/>
                </a:solidFill>
                <a:latin typeface="Calibri"/>
              </a:defRPr>
            </a:pPr>
            <a:r>
              <a:rPr b="0" lang="es-MX" sz="1200" spc="-1" strike="noStrike">
                <a:solidFill>
                  <a:srgbClr val="595959"/>
                </a:solidFill>
                <a:latin typeface="Calibri"/>
              </a:rPr>
              <a:t>Ingeniería en Sistemas Automotrices</a:t>
            </a:r>
          </a:p>
        </c:rich>
      </c:tx>
      <c:overlay val="0"/>
      <c:spPr>
        <a:noFill/>
        <a:ln w="0">
          <a:noFill/>
        </a:ln>
      </c:spPr>
    </c:title>
    <c:autoTitleDeleted val="0"/>
    <c:plotArea>
      <c:barChart>
        <c:barDir val="col"/>
        <c:grouping val="clustered"/>
        <c:varyColors val="0"/>
        <c:ser>
          <c:idx val="0"/>
          <c:order val="0"/>
          <c:tx>
            <c:strRef>
              <c:f>label 0</c:f>
              <c:strCache>
                <c:ptCount val="1"/>
                <c:pt idx="0">
                  <c:v>Alumnas Inscritas</c:v>
                </c:pt>
              </c:strCache>
            </c:strRef>
          </c:tx>
          <c:spPr>
            <a:solidFill>
              <a:srgbClr val="4472c4"/>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2018(1)-2022(2)</c:v>
                </c:pt>
                <c:pt idx="1">
                  <c:v>2018(2)-2023(1)</c:v>
                </c:pt>
                <c:pt idx="2">
                  <c:v>2019(1)-2023(2)</c:v>
                </c:pt>
                <c:pt idx="3">
                  <c:v>2019(2)-2024(1)</c:v>
                </c:pt>
              </c:strCache>
            </c:strRef>
          </c:cat>
          <c:val>
            <c:numRef>
              <c:f>0</c:f>
              <c:numCache>
                <c:formatCode>General</c:formatCode>
                <c:ptCount val="4"/>
                <c:pt idx="0">
                  <c:v>9</c:v>
                </c:pt>
                <c:pt idx="1">
                  <c:v>1</c:v>
                </c:pt>
                <c:pt idx="2">
                  <c:v>7</c:v>
                </c:pt>
                <c:pt idx="3">
                  <c:v>7</c:v>
                </c:pt>
              </c:numCache>
            </c:numRef>
          </c:val>
        </c:ser>
        <c:ser>
          <c:idx val="1"/>
          <c:order val="1"/>
          <c:tx>
            <c:strRef>
              <c:f>label 1</c:f>
              <c:strCache>
                <c:ptCount val="1"/>
                <c:pt idx="0">
                  <c:v>Alumnas Egresadas</c:v>
                </c:pt>
              </c:strCache>
            </c:strRef>
          </c:tx>
          <c:spPr>
            <a:solidFill>
              <a:srgbClr val="ed7d31"/>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2018(1)-2022(2)</c:v>
                </c:pt>
                <c:pt idx="1">
                  <c:v>2018(2)-2023(1)</c:v>
                </c:pt>
                <c:pt idx="2">
                  <c:v>2019(1)-2023(2)</c:v>
                </c:pt>
                <c:pt idx="3">
                  <c:v>2019(2)-2024(1)</c:v>
                </c:pt>
              </c:strCache>
            </c:strRef>
          </c:cat>
          <c:val>
            <c:numRef>
              <c:f>1</c:f>
              <c:numCache>
                <c:formatCode>General</c:formatCode>
                <c:ptCount val="4"/>
                <c:pt idx="0">
                  <c:v>1</c:v>
                </c:pt>
                <c:pt idx="1">
                  <c:v>0</c:v>
                </c:pt>
                <c:pt idx="2">
                  <c:v>0</c:v>
                </c:pt>
                <c:pt idx="3">
                  <c:v>0</c:v>
                </c:pt>
              </c:numCache>
            </c:numRef>
          </c:val>
        </c:ser>
        <c:gapWidth val="219"/>
        <c:overlap val="-27"/>
        <c:axId val="10221343"/>
        <c:axId val="17128105"/>
      </c:barChart>
      <c:catAx>
        <c:axId val="10221343"/>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17128105"/>
        <c:crosses val="autoZero"/>
        <c:auto val="1"/>
        <c:lblAlgn val="ctr"/>
        <c:lblOffset val="100"/>
        <c:noMultiLvlLbl val="0"/>
      </c:catAx>
      <c:valAx>
        <c:axId val="17128105"/>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10221343"/>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MX" sz="1200" spc="-1" strike="noStrike">
                <a:solidFill>
                  <a:srgbClr val="595959"/>
                </a:solidFill>
                <a:latin typeface="Calibri"/>
              </a:defRPr>
            </a:pPr>
            <a:r>
              <a:rPr b="0" lang="es-MX" sz="1200" spc="-1" strike="noStrike">
                <a:solidFill>
                  <a:srgbClr val="595959"/>
                </a:solidFill>
                <a:latin typeface="Calibri"/>
              </a:rPr>
              <a:t>Ingeniería en Mecatrónica</a:t>
            </a:r>
          </a:p>
        </c:rich>
      </c:tx>
      <c:overlay val="0"/>
      <c:spPr>
        <a:noFill/>
        <a:ln w="0">
          <a:noFill/>
        </a:ln>
      </c:spPr>
    </c:title>
    <c:autoTitleDeleted val="0"/>
    <c:plotArea>
      <c:barChart>
        <c:barDir val="col"/>
        <c:grouping val="clustered"/>
        <c:varyColors val="0"/>
        <c:ser>
          <c:idx val="0"/>
          <c:order val="0"/>
          <c:tx>
            <c:strRef>
              <c:f>label 0</c:f>
              <c:strCache>
                <c:ptCount val="1"/>
                <c:pt idx="0">
                  <c:v>Alumnas Inscritas</c:v>
                </c:pt>
              </c:strCache>
            </c:strRef>
          </c:tx>
          <c:spPr>
            <a:solidFill>
              <a:srgbClr val="70ad47"/>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2018(1)-2023(1)</c:v>
                </c:pt>
                <c:pt idx="1">
                  <c:v>2018(2)-2023(1)</c:v>
                </c:pt>
                <c:pt idx="2">
                  <c:v>2019(1)-2023(2)</c:v>
                </c:pt>
                <c:pt idx="3">
                  <c:v>2019(2)-2024(1)</c:v>
                </c:pt>
              </c:strCache>
            </c:strRef>
          </c:cat>
          <c:val>
            <c:numRef>
              <c:f>0</c:f>
              <c:numCache>
                <c:formatCode>General</c:formatCode>
                <c:ptCount val="4"/>
                <c:pt idx="0">
                  <c:v>14</c:v>
                </c:pt>
                <c:pt idx="1">
                  <c:v>4</c:v>
                </c:pt>
                <c:pt idx="2">
                  <c:v>9</c:v>
                </c:pt>
                <c:pt idx="3">
                  <c:v>2</c:v>
                </c:pt>
              </c:numCache>
            </c:numRef>
          </c:val>
        </c:ser>
        <c:ser>
          <c:idx val="1"/>
          <c:order val="1"/>
          <c:tx>
            <c:strRef>
              <c:f>label 1</c:f>
              <c:strCache>
                <c:ptCount val="1"/>
                <c:pt idx="0">
                  <c:v>Alumnas Egresadas</c:v>
                </c:pt>
              </c:strCache>
            </c:strRef>
          </c:tx>
          <c:spPr>
            <a:solidFill>
              <a:srgbClr val="5b9bd5"/>
            </a:solidFill>
            <a:ln w="0">
              <a:noFill/>
            </a:ln>
          </c:spPr>
          <c:invertIfNegative val="0"/>
          <c:dLbls>
            <c:txPr>
              <a:bodyPr wrap="none"/>
              <a:lstStyle/>
              <a:p>
                <a:pPr>
                  <a:defRPr b="0" sz="1000" spc="-1" strike="noStrike">
                    <a:solidFill>
                      <a:srgbClr val="000000"/>
                    </a:solidFill>
                    <a:latin typeface="Calibri"/>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2018(1)-2023(1)</c:v>
                </c:pt>
                <c:pt idx="1">
                  <c:v>2018(2)-2023(1)</c:v>
                </c:pt>
                <c:pt idx="2">
                  <c:v>2019(1)-2023(2)</c:v>
                </c:pt>
                <c:pt idx="3">
                  <c:v>2019(2)-2024(1)</c:v>
                </c:pt>
              </c:strCache>
            </c:strRef>
          </c:cat>
          <c:val>
            <c:numRef>
              <c:f>1</c:f>
              <c:numCache>
                <c:formatCode>General</c:formatCode>
                <c:ptCount val="4"/>
                <c:pt idx="0">
                  <c:v>4</c:v>
                </c:pt>
                <c:pt idx="1">
                  <c:v>0</c:v>
                </c:pt>
                <c:pt idx="2">
                  <c:v>3</c:v>
                </c:pt>
                <c:pt idx="3">
                  <c:v>5</c:v>
                </c:pt>
              </c:numCache>
            </c:numRef>
          </c:val>
        </c:ser>
        <c:gapWidth val="219"/>
        <c:overlap val="-27"/>
        <c:axId val="35613966"/>
        <c:axId val="961983"/>
      </c:barChart>
      <c:catAx>
        <c:axId val="3561396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libri"/>
              </a:defRPr>
            </a:pPr>
          </a:p>
        </c:txPr>
        <c:crossAx val="961983"/>
        <c:crosses val="autoZero"/>
        <c:auto val="1"/>
        <c:lblAlgn val="ctr"/>
        <c:lblOffset val="100"/>
        <c:noMultiLvlLbl val="0"/>
      </c:catAx>
      <c:valAx>
        <c:axId val="961983"/>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b="0" sz="900" spc="-1" strike="noStrike">
                <a:solidFill>
                  <a:srgbClr val="595959"/>
                </a:solidFill>
                <a:latin typeface="Calibri"/>
              </a:defRPr>
            </a:pPr>
          </a:p>
        </c:txPr>
        <c:crossAx val="35613966"/>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libri"/>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bcac856-ce49-4fc6-9735-bc7bed26512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06A37880B218A4487D3962716D5D9B8" ma:contentTypeVersion="9" ma:contentTypeDescription="Create a new document." ma:contentTypeScope="" ma:versionID="71406d8e6944a3751ccbcad7c8b5c44f">
  <xsd:schema xmlns:xsd="http://www.w3.org/2001/XMLSchema" xmlns:xs="http://www.w3.org/2001/XMLSchema" xmlns:p="http://schemas.microsoft.com/office/2006/metadata/properties" xmlns:ns3="ebcac856-ce49-4fc6-9735-bc7bed26512d" xmlns:ns4="055f8c8e-7447-4529-8798-fc1e3d85c7a7" targetNamespace="http://schemas.microsoft.com/office/2006/metadata/properties" ma:root="true" ma:fieldsID="c654b86178cf7498b3ca38965eae2daf" ns3:_="" ns4:_="">
    <xsd:import namespace="ebcac856-ce49-4fc6-9735-bc7bed26512d"/>
    <xsd:import namespace="055f8c8e-7447-4529-8798-fc1e3d85c7a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SearchProperties" minOccurs="0"/>
                <xsd:element ref="ns3:_activity" minOccurs="0"/>
                <xsd:element ref="ns3:MediaServiceObjectDetectorVersion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ac856-ce49-4fc6-9735-bc7bed265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activity" ma:index="14" nillable="true" ma:displayName="_activity" ma:hidden="true" ma:internalName="_activity">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f8c8e-7447-4529-8798-fc1e3d85c7a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DeE13</b:Tag>
    <b:SourceType>InternetSite</b:SourceType>
    <b:Guid>{DA3AD991-EC8B-4738-9400-0FAE302EBF66}</b:Guid>
    <b:Author>
      <b:Author>
        <b:Corporate>De, Equipo</b:Corporate>
      </b:Author>
    </b:Author>
    <b:Title>Diversidad</b:Title>
    <b:InternetSiteTitle>Enciclopedia Significados</b:InternetSiteTitle>
    <b:Year>2013</b:Year>
    <b:Month>10</b:Month>
    <b:Day>23</b:Day>
    <b:URL>Diversidad</b:URL>
    <b:YearAccessed>2024</b:YearAccessed>
    <b:MonthAccessed>04</b:MonthAccessed>
    <b:DayAccessed>19</b:DayAccessed>
    <b:ShortTitle>Diversidad</b:ShortTitle>
    <b:RefOrder>1</b:RefOrder>
  </b:Source>
  <b:Source>
    <b:Tag>UniOb</b:Tag>
    <b:SourceType>InternetSite</b:SourceType>
    <b:Guid>{24BAD402-BF35-47D5-88CC-09E6D6473509}</b:Guid>
    <b:Title>Objetivos de Desarrollo Sostenible</b:Title>
    <b:InternetSiteTitle>Naciones Unidas</b:InternetSiteTitle>
    <b:Year>2015</b:Year>
    <b:Month>09</b:Month>
    <b:Day>25</b:Day>
    <b:URL>https://www.un.org/es/impacto-acad%C3%A9mico/page/objetivos-de-desarrollo-sostenible</b:URL>
    <b:Author>
      <b:Author>
        <b:Corporate>United Nations</b:Corporate>
      </b:Author>
    </b:Author>
    <b:RefOrder>2</b:RefOrder>
  </b:Source>
  <b:Source>
    <b:Tag>Glo20</b:Tag>
    <b:SourceType>InternetSite</b:SourceType>
    <b:Guid>{CDDCCF19-F8C5-4E26-BEF1-7780A09141BF}</b:Guid>
    <b:Title>Global women's breakfast - IUPAC</b:Title>
    <b:InternetSiteTitle>IUPAC | International Union of Pure and Applied Chemistry</b:InternetSiteTitle>
    <b:Year>2024</b:Year>
    <b:Month>01</b:Month>
    <b:Day>20</b:Day>
    <b:URL>https://iupac.org/gwb/</b:URL>
    <b:YearAccessed>2024</b:YearAccessed>
    <b:MonthAccessed>04</b:MonthAccessed>
    <b:DayAccessed>19</b:DayAccessed>
    <b:Comments>Global women's breakfast - IUPAC</b:Comments>
    <b:RefOrder>3</b:RefOrder>
  </b:Source>
  <b:Source>
    <b:Tag>Arr19</b:Tag>
    <b:SourceType>JournalArticle</b:SourceType>
    <b:Guid>{349AF4A2-7303-4441-A670-3B389DD7A14D}</b:Guid>
    <b:Title>STEM y Brecha de Género en Latinoamérica</b:Title>
    <b:Year>2019</b:Year>
    <b:URL>https://www.scielo.org.mx/scielo.php?script=sci_arttext&amp;pid=S1665-899X2019000100137#B38</b:URL>
    <b:Author>
      <b:Author>
        <b:NameList>
          <b:Person>
            <b:Last>Arredondo Trapero</b:Last>
            <b:First>Florina</b:First>
            <b:Middle>Guadalupe</b:Middle>
          </b:Person>
          <b:Person>
            <b:Last>Vázquez Parra</b:Last>
            <b:First>José</b:First>
            <b:Middle>Carlos</b:Middle>
          </b:Person>
          <b:Person>
            <b:Last>Velázquez Sánchez</b:Last>
            <b:First>Luz</b:First>
            <b:Middle>María</b:Middle>
          </b:Person>
        </b:NameList>
      </b:Author>
    </b:Author>
    <b:JournalName>Revista de el colegio de San Luis</b:JournalName>
    <b:Pages>137-158</b:Pages>
    <b:DOI>10.21696/rcsl9182019947</b:DOI>
    <b:RefOrder>4</b:RefOrder>
  </b:Source>
  <b:Source>
    <b:Tag>Kla14</b:Tag>
    <b:SourceType>InternetSite</b:SourceType>
    <b:Guid>{2A18AEE4-86D3-4AB8-99DB-3D8E009EBCA2}</b:Guid>
    <b:Author>
      <b:Author>
        <b:NameList>
          <b:Person>
            <b:Last>Forum</b:Last>
            <b:First>World</b:First>
            <b:Middle>Economic</b:Middle>
          </b:Person>
        </b:NameList>
      </b:Author>
    </b:Author>
    <b:Title>The Global Competitiveness Report</b:Title>
    <b:InternetSiteTitle>Weforum.org</b:InternetSiteTitle>
    <b:Year>2014</b:Year>
    <b:URL>http://www3.weforum.org/docs/WEF_GlobalCompetitivenessReport_2014-15.pdf</b:URL>
    <b:RefOrder>5</b:RefOrder>
  </b:Source>
  <b:Source>
    <b:Tag>CIDH</b:Tag>
    <b:SourceType>InternetSite</b:SourceType>
    <b:Guid>{8A2925F6-BAE7-4B63-8399-49DF858B9F4C}</b:Guid>
    <b:Title>CIDH</b:Title>
    <b:InternetSiteTitle>Gob.mx</b:InternetSiteTitle>
    <b:URL>http://www.tfca.gob.mx/es/TFCA/cbEG</b:URL>
    <b:RefOrder>6</b:RefOrder>
  </b:Source>
  <b:Source>
    <b:Tag>Fab17</b:Tag>
    <b:SourceType>InternetSite</b:SourceType>
    <b:Guid>{D99E4B87-482D-4FD8-933E-7FF9A99EA494}</b:Guid>
    <b:Author>
      <b:Author>
        <b:NameList>
          <b:Person>
            <b:Last>Coelho</b:Last>
            <b:First>Fabian</b:First>
          </b:Person>
        </b:NameList>
      </b:Author>
    </b:Author>
    <b:Title>Inclusión</b:Title>
    <b:InternetSiteTitle>Enciclopedia Significados</b:InternetSiteTitle>
    <b:Year>2017</b:Year>
    <b:Month>08</b:Month>
    <b:Day>28</b:Day>
    <b:URL>https://www.significados.com/inclusion/</b:URL>
    <b:RefOrder>7</b:RefOrder>
  </b:Source>
  <b:Source>
    <b:Tag>Mor20</b:Tag>
    <b:SourceType>InternetSite</b:SourceType>
    <b:Guid>{F2400671-9AC1-4C76-84C3-145547B4FF4D}</b:Guid>
    <b:Author>
      <b:Author>
        <b:NameList>
          <b:Person>
            <b:Last>Moreno</b:Last>
            <b:First>Carlos</b:First>
            <b:Middle>Mario</b:Middle>
          </b:Person>
        </b:NameList>
      </b:Author>
    </b:Author>
    <b:Title>La diversidad en la ciencia </b:Title>
    <b:InternetSiteTitle>Revista Horizonte Independiente</b:InternetSiteTitle>
    <b:Year>2020</b:Year>
    <b:Month>12</b:Month>
    <b:Day>27</b:Day>
    <b:URL>Revista Horizonte Independiente</b:URL>
    <b:RefOrder>8</b:RefOrder>
  </b:Source>
</b:Sources>
</file>

<file path=customXml/itemProps1.xml><?xml version="1.0" encoding="utf-8"?>
<ds:datastoreItem xmlns:ds="http://schemas.openxmlformats.org/officeDocument/2006/customXml" ds:itemID="{7BA349F4-7594-4988-9236-A301F10EC532}">
  <ds:schemaRefs>
    <ds:schemaRef ds:uri="http://schemas.microsoft.com/office/2006/metadata/properties"/>
    <ds:schemaRef ds:uri="http://schemas.microsoft.com/office/infopath/2007/PartnerControls"/>
    <ds:schemaRef ds:uri="ebcac856-ce49-4fc6-9735-bc7bed26512d"/>
  </ds:schemaRefs>
</ds:datastoreItem>
</file>

<file path=customXml/itemProps2.xml><?xml version="1.0" encoding="utf-8"?>
<ds:datastoreItem xmlns:ds="http://schemas.openxmlformats.org/officeDocument/2006/customXml" ds:itemID="{9053C217-D265-41C0-B6A7-A8D980C23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ac856-ce49-4fc6-9735-bc7bed26512d"/>
    <ds:schemaRef ds:uri="055f8c8e-7447-4529-8798-fc1e3d85c7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7028A3-640B-4357-A7B0-55872269067F}">
  <ds:schemaRefs>
    <ds:schemaRef ds:uri="http://schemas.microsoft.com/sharepoint/v3/contenttype/forms"/>
  </ds:schemaRefs>
</ds:datastoreItem>
</file>

<file path=customXml/itemProps4.xml><?xml version="1.0" encoding="utf-8"?>
<ds:datastoreItem xmlns:ds="http://schemas.openxmlformats.org/officeDocument/2006/customXml" ds:itemID="{F4EC1FF3-6435-4506-9F16-6D333BD75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Application>LibreOffice/7.0.4.2$Linux_X86_64 LibreOffice_project/00$Build-2</Application>
  <AppVersion>15.0000</AppVersion>
  <Pages>10</Pages>
  <Words>4166</Words>
  <Characters>23065</Characters>
  <CharactersWithSpaces>27053</CharactersWithSpaces>
  <Paragraphs>188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2024-05-22T05:05:00Z</dcterms:created>
  <dc:creator>Celic Cano Romero</dc:creator>
  <dc:description/>
  <dc:language>es-MX</dc:language>
  <cp:lastModifiedBy/>
  <cp:lastPrinted>2024-05-21T14:59:00Z</cp:lastPrinted>
  <dcterms:modified xsi:type="dcterms:W3CDTF">2024-07-25T16:51:26Z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0x010100406A37880B218A4487D3962716D5D9B8</vt:lpwstr>
  </property>
</Properties>
</file>