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9.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footer9.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Times New Roman" w:hAnsi="Times New Roman"/>
          <w:b w:val="false"/>
          <w:b w:val="false"/>
          <w:bCs w:val="false"/>
          <w:sz w:val="44"/>
          <w:szCs w:val="44"/>
        </w:rPr>
      </w:pPr>
      <w:r>
        <w:rPr>
          <w:rFonts w:eastAsia="Times New Roman" w:cs="Times New Roman" w:ascii="Times New Roman" w:hAnsi="Times New Roman"/>
          <w:b w:val="false"/>
          <w:bCs w:val="false"/>
          <w:sz w:val="44"/>
          <w:szCs w:val="44"/>
        </w:rPr>
        <w:t xml:space="preserve">Análisis de las estrategias de evaluación antes y después de la pandemia de </w:t>
      </w:r>
      <w:r>
        <w:rPr>
          <w:rFonts w:eastAsia="Times New Roman" w:cs="Times New Roman" w:ascii="Times New Roman" w:hAnsi="Times New Roman"/>
          <w:b w:val="false"/>
          <w:bCs w:val="false"/>
          <w:sz w:val="44"/>
          <w:szCs w:val="44"/>
        </w:rPr>
        <w:t>C</w:t>
      </w:r>
      <w:r>
        <w:rPr>
          <w:rFonts w:eastAsia="Times New Roman" w:cs="Times New Roman" w:ascii="Times New Roman" w:hAnsi="Times New Roman"/>
          <w:b w:val="false"/>
          <w:bCs w:val="false"/>
          <w:sz w:val="44"/>
          <w:szCs w:val="44"/>
        </w:rPr>
        <w:t xml:space="preserve">ovid 19  en cálculo diferencial </w:t>
      </w:r>
    </w:p>
    <w:p>
      <w:pPr>
        <w:pStyle w:val="Normal"/>
        <w:spacing w:lineRule="auto" w:line="240" w:before="0" w:after="0"/>
        <w:ind w:left="0" w:right="0" w:hanging="0"/>
        <w:jc w:val="both"/>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r>
    </w:p>
    <w:p>
      <w:pPr>
        <w:pStyle w:val="Normal"/>
        <w:spacing w:lineRule="auto" w:line="240" w:before="0" w:after="0"/>
        <w:ind w:left="0" w:right="0" w:hanging="0"/>
        <w:jc w:val="center"/>
        <w:rPr>
          <w:rFonts w:ascii="Times New Roman" w:hAnsi="Times New Roman"/>
          <w:b w:val="false"/>
          <w:b w:val="false"/>
          <w:bCs w:val="false"/>
          <w:sz w:val="36"/>
          <w:szCs w:val="36"/>
        </w:rPr>
      </w:pPr>
      <w:r>
        <w:rPr>
          <w:rFonts w:eastAsia="Times New Roman" w:cs="Times New Roman" w:ascii="Times New Roman" w:hAnsi="Times New Roman"/>
          <w:b w:val="false"/>
          <w:bCs w:val="false"/>
          <w:sz w:val="36"/>
          <w:szCs w:val="36"/>
        </w:rPr>
        <w:t xml:space="preserve">Impact of evaluation before and after the </w:t>
      </w:r>
      <w:r>
        <w:rPr>
          <w:rFonts w:eastAsia="Times New Roman" w:cs="Times New Roman" w:ascii="Times New Roman" w:hAnsi="Times New Roman"/>
          <w:b w:val="false"/>
          <w:bCs w:val="false"/>
          <w:sz w:val="36"/>
          <w:szCs w:val="36"/>
        </w:rPr>
        <w:t>C</w:t>
      </w:r>
      <w:r>
        <w:rPr>
          <w:rFonts w:eastAsia="Times New Roman" w:cs="Times New Roman" w:ascii="Times New Roman" w:hAnsi="Times New Roman"/>
          <w:b w:val="false"/>
          <w:bCs w:val="false"/>
          <w:sz w:val="36"/>
          <w:szCs w:val="36"/>
        </w:rPr>
        <w:t>ovid 19 pandemic on differential calculus</w:t>
      </w:r>
    </w:p>
    <w:p>
      <w:pPr>
        <w:pStyle w:val="Normal"/>
        <w:pBdr/>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pBdr/>
        <w:spacing w:lineRule="auto" w:line="240" w:before="0" w:after="0"/>
        <w:ind w:left="0" w:right="0" w:hanging="0"/>
        <w:jc w:val="center"/>
        <w:rPr>
          <w:rFonts w:ascii="Times New Roman" w:hAnsi="Times New Roman"/>
          <w:sz w:val="24"/>
          <w:szCs w:val="24"/>
        </w:rPr>
      </w:pPr>
      <w:r>
        <w:rPr>
          <w:rFonts w:ascii="Times New Roman" w:hAnsi="Times New Roman"/>
          <w:sz w:val="24"/>
          <w:szCs w:val="24"/>
        </w:rPr>
        <w:t>Mirna Yamili Yam Puc</w:t>
      </w:r>
      <w:r>
        <w:rPr>
          <w:rFonts w:ascii="Times New Roman" w:hAnsi="Times New Roman"/>
          <w:sz w:val="24"/>
          <w:szCs w:val="24"/>
          <w:vertAlign w:val="superscript"/>
        </w:rPr>
        <w:t>1*</w:t>
      </w:r>
      <w:r>
        <w:rPr>
          <w:rFonts w:ascii="Times New Roman" w:hAnsi="Times New Roman"/>
          <w:sz w:val="24"/>
          <w:szCs w:val="24"/>
        </w:rPr>
        <w:t>, Heidy Flor Aguilar Gómez</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sz w:val="24"/>
          <w:szCs w:val="24"/>
        </w:rPr>
        <w:t>y Diana Aracelly  Loria Arjona</w:t>
      </w:r>
      <w:r>
        <w:rPr>
          <w:rFonts w:ascii="Times New Roman" w:hAnsi="Times New Roman"/>
          <w:sz w:val="24"/>
          <w:szCs w:val="24"/>
          <w:vertAlign w:val="superscript"/>
        </w:rPr>
        <w:t>1</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vertAlign w:val="superscript"/>
        </w:rPr>
        <w:t>1</w:t>
      </w:r>
      <w:r>
        <w:rPr>
          <w:rFonts w:eastAsia="Times New Roman" w:cs="Times New Roman" w:ascii="Times New Roman" w:hAnsi="Times New Roman"/>
          <w:i/>
          <w:iCs/>
          <w:sz w:val="24"/>
          <w:szCs w:val="24"/>
        </w:rPr>
        <w:t>Tecnológico Nacional de México campus Valladolid, carretera Valladolid - Tizimín, Km. 3.5, Tablaje Catastral No. 8850, CP 97780, Valladolid, Yucatán, México.</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eastAsia="Times New Roman" w:cs="Times New Roman" w:ascii="Times New Roman" w:hAnsi="Times New Roman"/>
          <w:b w:val="false"/>
          <w:bCs w:val="false"/>
          <w:i/>
          <w:iCs/>
          <w:color w:val="000000"/>
          <w:sz w:val="20"/>
          <w:szCs w:val="20"/>
        </w:rPr>
        <w:t>*Corresponding author:</w:t>
      </w:r>
    </w:p>
    <w:p>
      <w:pPr>
        <w:pStyle w:val="Normal"/>
        <w:pBdr/>
        <w:shd w:val="clear" w:color="auto" w:fill="FFFFFF"/>
        <w:bidi w:val="0"/>
        <w:spacing w:lineRule="auto" w:line="240" w:before="0" w:after="0"/>
        <w:ind w:left="0" w:right="0" w:hanging="0"/>
        <w:jc w:val="center"/>
        <w:textAlignment w:val="baseline"/>
        <w:rPr>
          <w:rFonts w:ascii="Times New Roman" w:hAnsi="Times New Roman" w:eastAsia="Times New Roman" w:cs="Times New Roman"/>
          <w:bCs/>
          <w:sz w:val="20"/>
          <w:szCs w:val="20"/>
        </w:rPr>
      </w:pPr>
      <w:r>
        <w:rPr>
          <w:rFonts w:eastAsia="Times New Roman" w:cs="Times New Roman" w:ascii="Times New Roman" w:hAnsi="Times New Roman"/>
          <w:b w:val="false"/>
          <w:bCs w:val="false"/>
          <w:i/>
          <w:iCs/>
          <w:color w:val="000000"/>
          <w:sz w:val="20"/>
          <w:szCs w:val="20"/>
          <w:u w:val="none"/>
          <w:lang w:val="es-CL" w:eastAsia="es-ES_tradnl"/>
        </w:rPr>
        <w:t>mirna.yp@valladolid.tecnm.mx</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8" w:right="1418" w:header="1417" w:top="1983" w:footer="1418" w:bottom="2093" w:gutter="0"/>
          <w:pgNumType w:start="1" w:fmt="decimal"/>
          <w:formProt w:val="false"/>
          <w:titlePg/>
          <w:textDirection w:val="lrTb"/>
          <w:docGrid w:type="default" w:linePitch="299" w:charSpace="4096"/>
        </w:sectPr>
      </w:pP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Resumen: La evaluación formativa y sumativa de la asignatura de cálculo diferencial se ha ido adaptando a las condiciones presentadas ante la pandemia del COVID-19 durante la cual las estrategias de enseñanza y los criterios de evaluación sufrieron cambios significativos. La investigación tuvo como objetivo el análisis de las estrategias de evaluación empleadas por los docentes antes, durante y después de la pandemia COVID 19, por medio del diseño experimental con un enfoque cuantitativo. La recolecta de información fue a través de cuestionarios dirigidos a los docentes que imparten la asignatura y de las listas de calificaciones grupales finales de los semestres B del periodo 2019 - 2023. Como resultado se determina que existe una disminución en los índices de reprobación durante la pandemia en las clases virtuales a diferencia de las sesiones presenciales, a la vez que se establece un bajo desempeño del estudiante en las evaluaciones escritas presenciales.</w:t>
      </w:r>
    </w:p>
    <w:p>
      <w:pPr>
        <w:pStyle w:val="Normal"/>
        <w:spacing w:lineRule="auto" w:line="240" w:before="0" w:after="0"/>
        <w:ind w:left="0" w:right="0" w:hanging="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Palabras claves: Evaluación, estrategias, cálculo diferencial, enseñanza.</w:t>
      </w:r>
    </w:p>
    <w:p>
      <w:pPr>
        <w:pStyle w:val="Normal"/>
        <w:spacing w:lineRule="auto" w:line="240" w:before="0" w:after="0"/>
        <w:ind w:left="0" w:right="0" w:hanging="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 xml:space="preserve">Abstract: </w:t>
      </w:r>
      <w:r>
        <w:rPr>
          <w:rFonts w:eastAsia="Times New Roman" w:cs="Times New Roman" w:ascii="Times New Roman" w:hAnsi="Times New Roman"/>
          <w:b/>
          <w:bCs/>
          <w:color w:val="202124"/>
          <w:sz w:val="20"/>
          <w:szCs w:val="20"/>
        </w:rPr>
        <w:t>The formative and summative evaluation of the differential calculus subject has been adapted to the conditions presented by the COVID-19 pandemic during which teaching strategies and evaluation criteria underwent significant changes. The objective of the research was to analyze the evaluation strategies used by teachers before, during and after the COVID 19 pandemic, through experimental design with a quantitative approach. The information was collected through questionnaires directed to the teachers who teach the subject and the lists of final group grades of the B semesters of the period 2019 - 2023. As a result, it is determined that there is a decrease in the failure rates during the pandemic in virtual classes unlike in-person sessions, while low student performance is established in in-person written evaluations.</w:t>
      </w:r>
    </w:p>
    <w:p>
      <w:pPr>
        <w:pStyle w:val="Normal"/>
        <w:spacing w:lineRule="auto" w:line="240" w:before="0" w:after="0"/>
        <w:ind w:left="0" w:right="0" w:hanging="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Keywords: Evaluation, strategies, differential calculus, teaching.</w:t>
      </w:r>
    </w:p>
    <w:p>
      <w:pPr>
        <w:pStyle w:val="Normal"/>
        <w:spacing w:lineRule="auto" w:line="240" w:before="0" w:after="0"/>
        <w:ind w:left="0" w:right="0" w:hanging="0"/>
        <w:jc w:val="both"/>
        <w:rPr>
          <w:rFonts w:ascii="Times New Roman" w:hAnsi="Times New Roman" w:eastAsia="Times New Roman" w:cs="Times New Roman"/>
          <w:color w:val="FF0000"/>
          <w:sz w:val="20"/>
          <w:szCs w:val="20"/>
        </w:rPr>
      </w:pPr>
      <w:r>
        <w:rPr>
          <w:rFonts w:eastAsia="Times New Roman" w:cs="Times New Roman" w:ascii="Times New Roman" w:hAnsi="Times New Roman"/>
          <w:color w:val="FF0000"/>
          <w:sz w:val="20"/>
          <w:szCs w:val="20"/>
        </w:rPr>
      </w:r>
    </w:p>
    <w:p>
      <w:pPr>
        <w:pStyle w:val="Normal"/>
        <w:numPr>
          <w:ilvl w:val="0"/>
          <w:numId w:val="0"/>
        </w:numPr>
        <w:spacing w:lineRule="auto" w:line="240" w:before="0" w:after="0"/>
        <w:ind w:left="72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 </w:t>
      </w:r>
      <w:r>
        <w:rPr>
          <w:rFonts w:eastAsia="Times New Roman" w:cs="Times New Roman" w:ascii="Times New Roman" w:hAnsi="Times New Roman"/>
          <w:b/>
          <w:sz w:val="20"/>
          <w:szCs w:val="20"/>
        </w:rPr>
        <w:t>INTRODUCCIÓN</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asignatura de cálculo diferencial se encuentra en la rama de las ciencias básicas de todos los planes de estudio que se ofertan en el Instituto Tecnológico Superior de Valladolid por lo que es considerada base para los cálculos y asignaturas de los diversos perfiles del estudiante, impartida en el primer semestre y que requiere de conocimientos previos de álgebra, trigonometría y geometría, motivo por el cual es considerada una de las asignaturas complejas desde el punto de vista del estudiante de nuevo ingreso además de que existen diferentes factores que conllevan a la disminución en los índices de aprovechamiento.</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El objetivo de la investigación es el análisis de las estrategias de evaluación empleadas por los docentes antes, durante y después de la pandemia COVID 19 a través de la comparación de los resultados obtenidos en el desempeño de los estudiantes con el propósito de establecer cuáles son las estrategias más pertinentes que permitan disminuir los porcentajes de reprobación en la asignatura de cálculo diferencial.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El estudio que se realiza es pertinente y relevante debido a que la asignatura de cálculo diferencial se imparte en todas las ingenierías del Instituto Tecnológico Superior de Valladolid y es antecedente de otras asignaturas avanzadas relacionadas con los diferentes perfiles de Ingeniería.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numPr>
          <w:ilvl w:val="0"/>
          <w:numId w:val="0"/>
        </w:numPr>
        <w:spacing w:lineRule="auto" w:line="240" w:before="0" w:after="0"/>
        <w:ind w:left="72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II. </w:t>
      </w:r>
      <w:r>
        <w:rPr>
          <w:rFonts w:eastAsia="Times New Roman" w:cs="Times New Roman" w:ascii="Times New Roman" w:hAnsi="Times New Roman"/>
          <w:b/>
          <w:sz w:val="20"/>
          <w:szCs w:val="20"/>
        </w:rPr>
        <w:t>MARCO TEÓRICO Y/O METODOLOGÍA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Las asignaturas de matemáticas que componen el perfil ingenieril son importantes y prioritarias como base del conocimiento que los estudiantes deben adquirir al principio de su modelo educativo con el fin de contemplar o reforzar los conocimientos y saberes que el alumno debe poseer para continuar efectivamente con su plan de estudios desde el primer hasta el octavo semestre.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Según Gruezo et al. (2022), numerosas han sido las contribuciones de la Matemática al desarrollo de la ingeniería, al brindarle un lenguaje preciso, exacto y consistente para expresar las bases de conocimientos técnicos, científicos, empíricos y aplicados.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Coincidiendo con el autor que las matemáticas son el pilar de las asignaturas específicas de las diferentes ingenierías, lo que conlleva a crear ligaduras entre estas con el fin de reforzar los vínculos entre sus contenidos aplicables. En el caso de cálculo diferencial algunas carreras la tienen ligada con cálculo integral y a su vez, a cálculo vectorial y/o a ecuaciones diferenciales para crear un vínculo de importancia entre estas.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Para Justo et al.,(2022), además de implementar estrategias educativas digitales, deben considerarse otras estrategias para disminuir los índices de reprobación como asesorías académicas, y que los docentes tutores o los de la asignatura le den un seguimiento a los alumnos que no les va bien en la asignatura.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Es necesario mencionar que aunado a las ideas de los autores y el seguimiento académico de los alumnos, se requiere el interés de este último para aprender, estar motivado, sea responsable de su aprendizaje y cumpla con las actividades y criterios para los temas de la asignatura.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Para Mora (2023), los recursos educativos digitales como plataformas, softwares, moodle entre otros,  permite que se tengan otras opciones como recursos y actividades para el alumno relacionadas con las tics, la cual hace que se innove en la educación siempre y cuando se preparen los docentes para aplicar dichas estrategias.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bookmarkStart w:id="0" w:name="_GoBack"/>
      <w:bookmarkEnd w:id="0"/>
      <w:r>
        <w:rPr>
          <w:rFonts w:eastAsia="Times New Roman" w:cs="Times New Roman" w:ascii="Times New Roman" w:hAnsi="Times New Roman"/>
          <w:sz w:val="20"/>
          <w:szCs w:val="20"/>
        </w:rPr>
        <w:t>La forma de enseñar debe ir cambiando de lo tradicional al uso de las nuevas tecnologías que permitan que los alumnos usen lo que tienen a su alcance, razonen en lo que hacen y  participen activamente en su proceso de enseñanza aprendizaje.</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Como estrategia para disminuir los índices de reprobación se sugieren cursos de refuerzo a alumnos en riesgo además de  darles un seguimiento académico desde que ingresan a la escuela, motivarlos a buscar quieran aprender pero sobre todo a ser mejores como estudiantes  (Perilla, Valencia y Chacon, 2022).</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motivación a estudiar la carrera, es importante para querer aprender, si no se cuenta con las habilidades matemáticas se deben de  buscar las estrategias para ser mejores, asesorías académicas, acompañamiento en tutorías, asesoría par, ver videos, practicar ejercicios entre otras.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plataforma moodle como herramienta que contiene recursos educativos como complemento en las estrategias de enseñanza es considerada como una buena idea para aplicar en la asignatura de cálculo diferencial, esto según Morantes, Dugarte y Herrera (2019).</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Las estrategias que incluyen recursos educativos digitales ya forman parte de los procesos de enseñanza aprendizaje, se vive en una era tecnológica por lo que es necesario implementarla.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Por otro lado, en el área de ciencias básicas principalmente en los cálculos, la prueba escrita es una estrategia de evaluación ampliamente utilizada por los docentes para valorar los avances de los estudiantes en los programas de estudio, dado que se considera que el estudiante tiene la posibilidad de demostrar las habilidades adquiridas de una manera individual y específica. Es por lo anterior, que antes de la pandemia el examen escrito estaba presente en los criterios de evaluación en  un mayor número de unidades de la asignatura de Cálculo Diferencial, complementada por otras actividades como resolución de ejercicios, portafolios de evidencias y Proyectos integradores en equipo a diferencia de los criterios de evaluación durante y después de la pandemia en las cuales disminuyó su uso intercambiandola con actividades integradoras en clase o en su caso con evaluaciones a través de la plataforma Moodle institucional. A continuación se realiza una descripción breve de los contenidos en cada criterio de evaluación:</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Resolución de ejercicios:</w:t>
      </w:r>
      <w:r>
        <w:rPr>
          <w:rFonts w:eastAsia="Times New Roman" w:cs="Times New Roman" w:ascii="Times New Roman" w:hAnsi="Times New Roman"/>
          <w:sz w:val="20"/>
          <w:szCs w:val="20"/>
        </w:rPr>
        <w:t xml:space="preserve"> Ejercicios propuestos del tema que se realizan de manera individual en el salón de clase.</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Portafolio de evidencias:</w:t>
      </w:r>
      <w:r>
        <w:rPr>
          <w:rFonts w:eastAsia="Times New Roman" w:cs="Times New Roman" w:ascii="Times New Roman" w:hAnsi="Times New Roman"/>
          <w:sz w:val="20"/>
          <w:szCs w:val="20"/>
        </w:rPr>
        <w:t xml:space="preserve"> Recolecta de ejercicios realizados en el tema y corregidos en caso de requerirse que se entregan de manera individual.</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Proyectos integradores:</w:t>
      </w:r>
      <w:r>
        <w:rPr>
          <w:rFonts w:eastAsia="Times New Roman" w:cs="Times New Roman" w:ascii="Times New Roman" w:hAnsi="Times New Roman"/>
          <w:sz w:val="20"/>
          <w:szCs w:val="20"/>
        </w:rPr>
        <w:t xml:space="preserve"> Ejercicios propuestos del tema realizados en equipos de cuatro integrantes en el salón de clase.</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Examen escrito:</w:t>
      </w:r>
      <w:r>
        <w:rPr>
          <w:rFonts w:eastAsia="Times New Roman" w:cs="Times New Roman" w:ascii="Times New Roman" w:hAnsi="Times New Roman"/>
          <w:sz w:val="20"/>
          <w:szCs w:val="20"/>
        </w:rPr>
        <w:t xml:space="preserve"> Ejercicios del tema que se realizan de manera individual y presencial. Generalmente se consideran entre 8 y 10 problemas a resolver en un lapso de 90 minutos. Los problemas son abiertos pudiendo ser de respuesta corta o larga.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Examen en línea:</w:t>
      </w:r>
      <w:r>
        <w:rPr>
          <w:rFonts w:eastAsia="Times New Roman" w:cs="Times New Roman" w:ascii="Times New Roman" w:hAnsi="Times New Roman"/>
          <w:sz w:val="20"/>
          <w:szCs w:val="20"/>
        </w:rPr>
        <w:t xml:space="preserve"> Ejercicios del tema que se realizan de manera individual a través de la plataforma Moodle institucional. Generalmente se consideran entre 10 y 15 problemas abiertos o de opción múltiple a resolver en un lapso de 90 minutos. El examen se abre en un periodo de tiempo determinado con una única oportunidad para contestar y provienen de un banco de preguntas que se tiene del tema.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t>T</w:t>
      </w:r>
      <w:r>
        <w:rPr>
          <w:rFonts w:eastAsia="Times New Roman" w:cs="Times New Roman" w:ascii="Times New Roman" w:hAnsi="Times New Roman"/>
          <w:sz w:val="20"/>
          <w:szCs w:val="20"/>
        </w:rPr>
        <w:t>abla 1, se presentan los cambios realizados por los docentes que imparten la asignatura de cálculo diferencial en los criterios de evaluación antes, durante y después de la pandemia.</w:t>
      </w:r>
    </w:p>
    <w:p>
      <w:pPr>
        <w:sectPr>
          <w:type w:val="continuous"/>
          <w:pgSz w:w="12240" w:h="15840"/>
          <w:pgMar w:left="1418" w:right="1418" w:header="1417" w:top="1983" w:footer="1418" w:bottom="2093" w:gutter="0"/>
          <w:cols w:num="2" w:space="282" w:equalWidth="true" w:sep="false"/>
          <w:formProt w:val="false"/>
          <w:textDirection w:val="lrTb"/>
          <w:docGrid w:type="default" w:linePitch="299" w:charSpace="4096"/>
        </w:sectPr>
      </w:pP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1. Criterios de evaluación de la asignatura de cálculo diferencial. Fuente: Elaboración propia.</w:t>
      </w:r>
    </w:p>
    <w:tbl>
      <w:tblPr>
        <w:tblStyle w:val="a6"/>
        <w:tblW w:w="8790" w:type="dxa"/>
        <w:jc w:val="center"/>
        <w:tblInd w:w="0" w:type="dxa"/>
        <w:tblLayout w:type="fixed"/>
        <w:tblCellMar>
          <w:top w:w="0" w:type="dxa"/>
          <w:left w:w="100" w:type="dxa"/>
          <w:bottom w:w="0" w:type="dxa"/>
          <w:right w:w="100" w:type="dxa"/>
        </w:tblCellMar>
        <w:tblLook w:val="0600" w:noHBand="1" w:noVBand="1" w:firstColumn="0" w:lastRow="0" w:lastColumn="0" w:firstRow="0"/>
      </w:tblPr>
      <w:tblGrid>
        <w:gridCol w:w="1305"/>
        <w:gridCol w:w="1274"/>
        <w:gridCol w:w="2610"/>
        <w:gridCol w:w="1186"/>
        <w:gridCol w:w="2415"/>
      </w:tblGrid>
      <w:tr>
        <w:trPr>
          <w:trHeight w:val="435" w:hRule="atLeast"/>
        </w:trPr>
        <w:tc>
          <w:tcPr>
            <w:tcW w:w="8790" w:type="dxa"/>
            <w:gridSpan w:val="5"/>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Antes</w:t>
            </w:r>
          </w:p>
        </w:tc>
      </w:tr>
      <w:tr>
        <w:trPr>
          <w:trHeight w:val="435" w:hRule="atLeast"/>
        </w:trPr>
        <w:tc>
          <w:tcPr>
            <w:tcW w:w="1305"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Semestre</w:t>
            </w:r>
          </w:p>
        </w:tc>
        <w:tc>
          <w:tcPr>
            <w:tcW w:w="1274"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Temas</w:t>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Criterios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Puntaje</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Modalidad</w:t>
            </w:r>
          </w:p>
        </w:tc>
      </w:tr>
      <w:tr>
        <w:trPr>
          <w:trHeight w:val="435" w:hRule="atLeast"/>
        </w:trPr>
        <w:tc>
          <w:tcPr>
            <w:tcW w:w="1305" w:type="dxa"/>
            <w:vMerge w:val="restart"/>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2019 B</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restart"/>
            <w:tcBorders>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1, 2 ,3 Y 4</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Portafolio de evidencias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30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Presencial</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continue"/>
            <w:tcBorders>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Proyecto integrador</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30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Presencial</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continue"/>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Examen escrito</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40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Presencial</w:t>
            </w:r>
          </w:p>
        </w:tc>
      </w:tr>
      <w:tr>
        <w:trPr>
          <w:trHeight w:val="435" w:hRule="atLeast"/>
        </w:trPr>
        <w:tc>
          <w:tcPr>
            <w:tcW w:w="1305"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5</w:t>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Proyecto integrador</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100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Presencial</w:t>
            </w:r>
          </w:p>
        </w:tc>
      </w:tr>
      <w:tr>
        <w:trPr>
          <w:trHeight w:val="435" w:hRule="atLeast"/>
        </w:trPr>
        <w:tc>
          <w:tcPr>
            <w:tcW w:w="8790" w:type="dxa"/>
            <w:gridSpan w:val="5"/>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Durante</w:t>
            </w:r>
          </w:p>
        </w:tc>
      </w:tr>
      <w:tr>
        <w:trPr>
          <w:trHeight w:val="435" w:hRule="atLeast"/>
        </w:trPr>
        <w:tc>
          <w:tcPr>
            <w:tcW w:w="1305"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Semestre</w:t>
            </w:r>
          </w:p>
        </w:tc>
        <w:tc>
          <w:tcPr>
            <w:tcW w:w="1274"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Temas</w:t>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Criterios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Puntaje</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Modalidad</w:t>
            </w:r>
          </w:p>
        </w:tc>
      </w:tr>
      <w:tr>
        <w:trPr>
          <w:trHeight w:val="435" w:hRule="atLeast"/>
        </w:trPr>
        <w:tc>
          <w:tcPr>
            <w:tcW w:w="1305" w:type="dxa"/>
            <w:vMerge w:val="restart"/>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2020 B</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restart"/>
            <w:tcBorders>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1, 2, 3 y 4</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Resolución de ejercicios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60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continue"/>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Examen en línea</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40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w:t>
            </w:r>
          </w:p>
        </w:tc>
      </w:tr>
      <w:tr>
        <w:trPr>
          <w:trHeight w:val="435" w:hRule="atLeast"/>
        </w:trPr>
        <w:tc>
          <w:tcPr>
            <w:tcW w:w="1305"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5</w:t>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Proyecto integrador</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100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w:t>
            </w:r>
          </w:p>
        </w:tc>
      </w:tr>
      <w:tr>
        <w:trPr>
          <w:trHeight w:val="435" w:hRule="atLeast"/>
        </w:trPr>
        <w:tc>
          <w:tcPr>
            <w:tcW w:w="1305" w:type="dxa"/>
            <w:vMerge w:val="restart"/>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2021 B</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restart"/>
            <w:tcBorders>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1, 2, 3 y 4</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Proyecto integrador</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70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continue"/>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Examen en línea</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30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w:t>
            </w:r>
          </w:p>
        </w:tc>
      </w:tr>
      <w:tr>
        <w:trPr>
          <w:trHeight w:val="435" w:hRule="atLeast"/>
        </w:trPr>
        <w:tc>
          <w:tcPr>
            <w:tcW w:w="1305"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5</w:t>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Proyecto integrador</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100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w:t>
            </w:r>
          </w:p>
        </w:tc>
      </w:tr>
      <w:tr>
        <w:trPr>
          <w:trHeight w:val="435" w:hRule="atLeast"/>
        </w:trPr>
        <w:tc>
          <w:tcPr>
            <w:tcW w:w="8790" w:type="dxa"/>
            <w:gridSpan w:val="5"/>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Después</w:t>
            </w:r>
          </w:p>
        </w:tc>
      </w:tr>
      <w:tr>
        <w:trPr>
          <w:trHeight w:val="435" w:hRule="atLeast"/>
        </w:trPr>
        <w:tc>
          <w:tcPr>
            <w:tcW w:w="1305" w:type="dxa"/>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Semestre</w:t>
            </w:r>
          </w:p>
        </w:tc>
        <w:tc>
          <w:tcPr>
            <w:tcW w:w="1274"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Temas</w:t>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Criterios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Puntaje</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b/>
                <w:b/>
                <w:sz w:val="20"/>
                <w:szCs w:val="20"/>
              </w:rPr>
            </w:pPr>
            <w:r>
              <w:rPr>
                <w:rFonts w:ascii="Times New Roman" w:hAnsi="Times New Roman"/>
                <w:b/>
                <w:sz w:val="20"/>
                <w:szCs w:val="20"/>
              </w:rPr>
              <w:t>Modalidad</w:t>
            </w:r>
          </w:p>
        </w:tc>
      </w:tr>
      <w:tr>
        <w:trPr>
          <w:trHeight w:val="435" w:hRule="atLeast"/>
        </w:trPr>
        <w:tc>
          <w:tcPr>
            <w:tcW w:w="1305" w:type="dxa"/>
            <w:vMerge w:val="restart"/>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2022 B</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restart"/>
            <w:tcBorders>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1 y 2</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Resolución de ejercicios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60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continue"/>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Portafolio de evidencias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40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restart"/>
            <w:tcBorders>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3 y 4</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Resolución de ejercicios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30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continue"/>
            <w:tcBorders>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Portafolio de evidencias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30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continue"/>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Examen escrito</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40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5</w:t>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Proyecto integrador</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100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restart"/>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2023 B</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restart"/>
            <w:tcBorders>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1 y 2</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Resolución de ejercicios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60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continue"/>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Portafolio de evidencias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40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restart"/>
            <w:tcBorders>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3 y 4</w:t>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Resolución de ejercicios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30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continue"/>
            <w:tcBorders>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Portafolio de evidencias</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30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continue"/>
            <w:tcBorders>
              <w:left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vMerge w:val="continue"/>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Examen escrito</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40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r>
        <w:trPr>
          <w:trHeight w:val="435" w:hRule="atLeast"/>
        </w:trPr>
        <w:tc>
          <w:tcPr>
            <w:tcW w:w="1305" w:type="dxa"/>
            <w:vMerge w:val="continue"/>
            <w:tcBorders>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tc>
        <w:tc>
          <w:tcPr>
            <w:tcW w:w="1274"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5</w:t>
            </w:r>
          </w:p>
        </w:tc>
        <w:tc>
          <w:tcPr>
            <w:tcW w:w="2610"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Proyecto integrador</w:t>
            </w:r>
          </w:p>
        </w:tc>
        <w:tc>
          <w:tcPr>
            <w:tcW w:w="1186"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100</w:t>
            </w:r>
          </w:p>
        </w:tc>
        <w:tc>
          <w:tcPr>
            <w:tcW w:w="2415" w:type="dxa"/>
            <w:tcBorders>
              <w:bottom w:val="single" w:sz="8" w:space="0" w:color="000000"/>
              <w:right w:val="single" w:sz="8" w:space="0" w:color="000000"/>
            </w:tcBorders>
            <w:shd w:color="auto" w:fill="auto" w:val="clear"/>
          </w:tcPr>
          <w:p>
            <w:pPr>
              <w:pStyle w:val="Normal"/>
              <w:widowControl w:val="false"/>
              <w:spacing w:lineRule="auto" w:line="240" w:before="0" w:after="0"/>
              <w:ind w:left="0" w:right="0" w:hanging="0"/>
              <w:jc w:val="both"/>
              <w:rPr>
                <w:rFonts w:ascii="Times New Roman" w:hAnsi="Times New Roman"/>
                <w:sz w:val="20"/>
                <w:szCs w:val="20"/>
              </w:rPr>
            </w:pPr>
            <w:r>
              <w:rPr>
                <w:rFonts w:ascii="Times New Roman" w:hAnsi="Times New Roman"/>
                <w:sz w:val="20"/>
                <w:szCs w:val="20"/>
              </w:rPr>
              <w:t>Moodle/presencial</w:t>
            </w:r>
          </w:p>
        </w:tc>
      </w:tr>
    </w:tbl>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sectPr>
          <w:headerReference w:type="even" r:id="rId8"/>
          <w:headerReference w:type="default" r:id="rId9"/>
          <w:headerReference w:type="first" r:id="rId10"/>
          <w:footerReference w:type="even" r:id="rId11"/>
          <w:footerReference w:type="default" r:id="rId12"/>
          <w:footerReference w:type="first" r:id="rId13"/>
          <w:type w:val="continuous"/>
          <w:pgSz w:w="12240" w:h="15840"/>
          <w:pgMar w:left="1418" w:right="1418" w:header="1417" w:top="1983" w:footer="1418" w:bottom="2093" w:gutter="0"/>
          <w:pgNumType w:fmt="decimal"/>
          <w:formProt w:val="false"/>
          <w:titlePg/>
          <w:textDirection w:val="lrTb"/>
          <w:docGrid w:type="default" w:linePitch="299" w:charSpace="4096"/>
        </w:sectPr>
      </w:pP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Los criterios de evaluación se aplicaron en todas las ingenierías que se ofertan en el instituto, las cuales son:</w:t>
      </w:r>
    </w:p>
    <w:p>
      <w:pPr>
        <w:pStyle w:val="Normal"/>
        <w:numPr>
          <w:ilvl w:val="0"/>
          <w:numId w:val="2"/>
        </w:numPr>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Ingeniería en Administración </w:t>
      </w:r>
    </w:p>
    <w:p>
      <w:pPr>
        <w:pStyle w:val="Normal"/>
        <w:numPr>
          <w:ilvl w:val="0"/>
          <w:numId w:val="2"/>
        </w:numPr>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Ingeniería ambiental </w:t>
      </w:r>
    </w:p>
    <w:p>
      <w:pPr>
        <w:pStyle w:val="Normal"/>
        <w:numPr>
          <w:ilvl w:val="0"/>
          <w:numId w:val="2"/>
        </w:numPr>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Ingeniería Civil </w:t>
      </w:r>
    </w:p>
    <w:p>
      <w:pPr>
        <w:pStyle w:val="Normal"/>
        <w:numPr>
          <w:ilvl w:val="0"/>
          <w:numId w:val="2"/>
        </w:numPr>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Ingeniería Industrial </w:t>
      </w:r>
    </w:p>
    <w:p>
      <w:pPr>
        <w:pStyle w:val="Normal"/>
        <w:numPr>
          <w:ilvl w:val="0"/>
          <w:numId w:val="2"/>
        </w:numPr>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Ingeniería en Sistemas Computacionales </w:t>
      </w:r>
    </w:p>
    <w:p>
      <w:pPr>
        <w:pStyle w:val="Normal"/>
        <w:pBdr/>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bookmarkStart w:id="1" w:name="_heading=h.gjdgxs"/>
      <w:bookmarkEnd w:id="1"/>
      <w:r>
        <w:rPr>
          <w:rFonts w:eastAsia="Times New Roman" w:cs="Times New Roman" w:ascii="Times New Roman" w:hAnsi="Times New Roman"/>
          <w:sz w:val="20"/>
          <w:szCs w:val="20"/>
        </w:rPr>
        <w:t>Cabe mencionar que se pudo aplicar de esta manera por el trabajo colegiado que se realiza entre los docentes que imparten la asignatura, ya que la instrumentación es la misma para todos los planes de estudio. Antes de la pandemia era un común denominador que las evaluaciones que incluyen pruebas escritas, mientras que cuando se declaró el confinamiento y las instituciones se vieron obligadas a adaptarse a la modalidad en línea, lo que generó un impactó debido a que no se contaban con las herramientas y la capacitación para ello, los docentes se vieron en la necesidad de modificar los criterios de evaluación convirtiendo las pruebas escritas presenciales en pruebas escritas a distancia, lo que significó que los estudiantes contaron con la ventaja de poder realizar los procedimientos de manera grupal y con el apoyo de los recursos tecnológicos que tuvieron a mano, implicando un menor esfuerzo. Al retornar a clases presenciales, en academia se acordó reducir el número de pruebas escritas para que la adaptación del estudiante sea de manera gradual hasta regresar a los criterios anteriores, sin embargo, no ha sido posible que sea de  manera integral ya que los estudiantes muestran mucha dificultad y resistencia para prepararse para estas evaluaciones.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metodología que se utilizó para hacer este análisis fue como primer paso la recolección de la información de los criterios de evaluación de la asignatura de Cálculo diferencial durante los semestres B de los cursos escolares que abarcan del 2019 a 2023 contemplando el periodo desde el inicio de la contingencia hasta esa fecha mediante los cuestionarios aplicados a los seis docentes que imparten la asignatura de Cálculo Diferencial. Posteriormente, se solicitaron las actas de calificaciones grupales finales de las diferentes ingenierías en el mismo periodo para realizar una comparación entre los diferentes semestres al Departamento de Control Escolar. Una vez recolectada la información se analizaron los criterios y los puntajes asignados a los mismos a través de tablas para realizar las comparaciones respectivas y el impacto de los cambios generados en los resultados de la evaluación formativa y sumativa.</w:t>
      </w:r>
    </w:p>
    <w:p>
      <w:pPr>
        <w:pStyle w:val="Normal"/>
        <w:pBdr/>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pBdr/>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pBdr/>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III. RESULTADOS O AVANCES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Los resultados de aprovechamiento que se obtuvieron se muestran desde la tabla 2 hasta la tabla 6, considerando que están por Ingeniería respecto al número y porcentajes de aprobados y reprobados.</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t>T</w:t>
      </w:r>
      <w:r>
        <w:rPr>
          <w:rFonts w:eastAsia="Times New Roman" w:cs="Times New Roman" w:ascii="Times New Roman" w:hAnsi="Times New Roman"/>
          <w:sz w:val="20"/>
          <w:szCs w:val="20"/>
        </w:rPr>
        <w:t>abla 2 se observa que los porcentajes de aprovechamiento para la carrera de Ingeniería en Administración aumentaron durante el periodo que se evalúa y de 2019 a 2022 se tenían dos grupos de primer semestre en la carrera y en el semestre 2023 solamente se contó con un grupo de primer semestre.</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2. Aprovechamiento de la carrera de Ingeniería en Administración.  Fuente: Elaboración propia.</w:t>
      </w:r>
    </w:p>
    <w:tbl>
      <w:tblPr>
        <w:tblStyle w:val="a7"/>
        <w:tblW w:w="4535" w:type="dxa"/>
        <w:jc w:val="center"/>
        <w:tblInd w:w="0" w:type="dxa"/>
        <w:tblLayout w:type="fixed"/>
        <w:tblCellMar>
          <w:top w:w="0" w:type="dxa"/>
          <w:left w:w="100" w:type="dxa"/>
          <w:bottom w:w="0" w:type="dxa"/>
          <w:right w:w="100" w:type="dxa"/>
        </w:tblCellMar>
        <w:tblLook w:val="0600" w:noHBand="1" w:noVBand="1" w:firstColumn="0" w:lastRow="0" w:lastColumn="0" w:firstRow="0"/>
      </w:tblPr>
      <w:tblGrid>
        <w:gridCol w:w="690"/>
        <w:gridCol w:w="656"/>
        <w:gridCol w:w="770"/>
        <w:gridCol w:w="770"/>
        <w:gridCol w:w="825"/>
        <w:gridCol w:w="823"/>
      </w:tblGrid>
      <w:tr>
        <w:trPr>
          <w:trHeight w:val="330" w:hRule="atLeast"/>
        </w:trPr>
        <w:tc>
          <w:tcPr>
            <w:tcW w:w="4534" w:type="dxa"/>
            <w:gridSpan w:val="6"/>
            <w:tcBorders>
              <w:top w:val="single" w:sz="8" w:space="0" w:color="000000"/>
              <w:left w:val="single" w:sz="8" w:space="0" w:color="000000"/>
              <w:bottom w:val="single" w:sz="8" w:space="0" w:color="000000"/>
              <w:right w:val="single" w:sz="8" w:space="0" w:color="000000"/>
            </w:tcBorders>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Ingeniería en Administración</w:t>
            </w:r>
          </w:p>
        </w:tc>
      </w:tr>
      <w:tr>
        <w:trPr>
          <w:trHeight w:val="6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Semestre</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Total de alumnos</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Número de aprobados</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de aprobados</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Número de reprobados</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de reprobados</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2019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91</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59</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65</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32</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35</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2020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89</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79</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89</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10</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11</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2021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84</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65</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77</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19</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23</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2022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83</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70</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84</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13</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16</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2023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42</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39</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93</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w:t>
            </w:r>
          </w:p>
        </w:tc>
      </w:tr>
    </w:tbl>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 xml:space="preserve">En la </w:t>
      </w:r>
      <w:r>
        <w:rPr>
          <w:rFonts w:eastAsia="Times New Roman" w:cs="Times New Roman" w:ascii="Times New Roman" w:hAnsi="Times New Roman"/>
          <w:color w:val="000000"/>
          <w:sz w:val="20"/>
          <w:szCs w:val="20"/>
        </w:rPr>
        <w:t>T</w:t>
      </w:r>
      <w:r>
        <w:rPr>
          <w:rFonts w:eastAsia="Times New Roman" w:cs="Times New Roman" w:ascii="Times New Roman" w:hAnsi="Times New Roman"/>
          <w:color w:val="000000"/>
          <w:sz w:val="20"/>
          <w:szCs w:val="20"/>
        </w:rPr>
        <w:t>abla 3 se muestra que para la carrera de Ingeniería ambiental  la cual solamente cuenta con  un grupo de primer semestre,  los porcentajes de aprovechamiento disminuyeron con los criterios que se utilizaron.</w:t>
      </w:r>
    </w:p>
    <w:p>
      <w:pPr>
        <w:pStyle w:val="Normal"/>
        <w:pBdr/>
        <w:spacing w:lineRule="auto" w:line="240" w:before="0" w:after="0"/>
        <w:ind w:left="0" w:right="0" w:hanging="0"/>
        <w:jc w:val="both"/>
        <w:rPr>
          <w:rFonts w:eastAsia="Times New Roman" w:cs="Times New Roman"/>
          <w:color w:val="000000"/>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eastAsia="Times New Roman" w:cs="Times New Roman" w:ascii="Times New Roman" w:hAnsi="Times New Roman"/>
          <w:b/>
          <w:i/>
          <w:sz w:val="20"/>
          <w:szCs w:val="20"/>
        </w:rPr>
        <w:t xml:space="preserve"> </w:t>
      </w:r>
      <w:r>
        <w:rPr>
          <w:rFonts w:eastAsia="Times New Roman" w:cs="Times New Roman" w:ascii="Times New Roman" w:hAnsi="Times New Roman"/>
          <w:b/>
          <w:bCs/>
          <w:i w:val="false"/>
          <w:iCs w:val="false"/>
          <w:sz w:val="20"/>
          <w:szCs w:val="20"/>
        </w:rPr>
        <w:t>Tabla 3. Aprovechamiento de la carrera de Ingeniería Ambiental. Fuente: Elaboración propia.</w:t>
      </w:r>
    </w:p>
    <w:tbl>
      <w:tblPr>
        <w:tblStyle w:val="a8"/>
        <w:tblW w:w="4535" w:type="dxa"/>
        <w:jc w:val="center"/>
        <w:tblInd w:w="0" w:type="dxa"/>
        <w:tblLayout w:type="fixed"/>
        <w:tblCellMar>
          <w:top w:w="0" w:type="dxa"/>
          <w:left w:w="100" w:type="dxa"/>
          <w:bottom w:w="0" w:type="dxa"/>
          <w:right w:w="100" w:type="dxa"/>
        </w:tblCellMar>
        <w:tblLook w:val="0600" w:noHBand="1" w:noVBand="1" w:firstColumn="0" w:lastRow="0" w:lastColumn="0" w:firstRow="0"/>
      </w:tblPr>
      <w:tblGrid>
        <w:gridCol w:w="690"/>
        <w:gridCol w:w="656"/>
        <w:gridCol w:w="770"/>
        <w:gridCol w:w="770"/>
        <w:gridCol w:w="825"/>
        <w:gridCol w:w="823"/>
      </w:tblGrid>
      <w:tr>
        <w:trPr>
          <w:trHeight w:val="435" w:hRule="atLeast"/>
        </w:trPr>
        <w:tc>
          <w:tcPr>
            <w:tcW w:w="4534" w:type="dxa"/>
            <w:gridSpan w:val="6"/>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Ingeniería Ambiental</w:t>
            </w:r>
          </w:p>
        </w:tc>
      </w:tr>
      <w:tr>
        <w:trPr>
          <w:trHeight w:val="634"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Semestre</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Total de alumnos</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Número de aprobados</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de aprobados</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Número de reprobados</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de reprobados</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2019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36</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28</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78</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22</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2020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28</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22</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79</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6</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21</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2021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40</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34</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85</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6</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15</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2022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39</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33</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85</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6</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15</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2023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40</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27</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68</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13</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32</w:t>
            </w:r>
          </w:p>
        </w:tc>
      </w:tr>
    </w:tbl>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 xml:space="preserve">Para la carrera de Ingeniería civil en la </w:t>
      </w:r>
      <w:r>
        <w:rPr>
          <w:rFonts w:eastAsia="Times New Roman" w:cs="Times New Roman" w:ascii="Times New Roman" w:hAnsi="Times New Roman"/>
          <w:color w:val="000000"/>
          <w:sz w:val="20"/>
          <w:szCs w:val="20"/>
        </w:rPr>
        <w:t>T</w:t>
      </w:r>
      <w:r>
        <w:rPr>
          <w:rFonts w:eastAsia="Times New Roman" w:cs="Times New Roman" w:ascii="Times New Roman" w:hAnsi="Times New Roman"/>
          <w:color w:val="000000"/>
          <w:sz w:val="20"/>
          <w:szCs w:val="20"/>
        </w:rPr>
        <w:t>abla 4 se muestra que los porcentajes de aprovechamiento tuvieron un cambio significativo en la reducción  de estos,  cabe mencionar que en el semestre 2021 B se tuvieron tres grupos de primer semestre.</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4. Aprovechamiento de la carrera de Ingeniería Civil. Fuente: Elaboración propia.</w:t>
      </w:r>
    </w:p>
    <w:tbl>
      <w:tblPr>
        <w:tblStyle w:val="a9"/>
        <w:tblW w:w="4535" w:type="dxa"/>
        <w:jc w:val="center"/>
        <w:tblInd w:w="0" w:type="dxa"/>
        <w:tblLayout w:type="fixed"/>
        <w:tblCellMar>
          <w:top w:w="0" w:type="dxa"/>
          <w:left w:w="100" w:type="dxa"/>
          <w:bottom w:w="0" w:type="dxa"/>
          <w:right w:w="100" w:type="dxa"/>
        </w:tblCellMar>
        <w:tblLook w:val="0600" w:noHBand="1" w:noVBand="1" w:firstColumn="0" w:lastRow="0" w:lastColumn="0" w:firstRow="0"/>
      </w:tblPr>
      <w:tblGrid>
        <w:gridCol w:w="690"/>
        <w:gridCol w:w="656"/>
        <w:gridCol w:w="770"/>
        <w:gridCol w:w="770"/>
        <w:gridCol w:w="825"/>
        <w:gridCol w:w="823"/>
      </w:tblGrid>
      <w:tr>
        <w:trPr>
          <w:trHeight w:val="435" w:hRule="atLeast"/>
        </w:trPr>
        <w:tc>
          <w:tcPr>
            <w:tcW w:w="4534" w:type="dxa"/>
            <w:gridSpan w:val="6"/>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Ingeniería Civil</w:t>
            </w:r>
          </w:p>
        </w:tc>
      </w:tr>
      <w:tr>
        <w:trPr>
          <w:trHeight w:val="634"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Semestre</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Total de alumnos</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Número de aprobados</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de aprobados</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Número de reprobados</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de reprobados</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2019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91</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75</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82</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16</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18</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2020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91</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81</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89</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10</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11</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2021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129</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113</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88</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16</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12</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2022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85</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73</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86</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12</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14</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2023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80</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67</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84</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13</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16</w:t>
            </w:r>
          </w:p>
        </w:tc>
      </w:tr>
    </w:tbl>
    <w:p>
      <w:pPr>
        <w:pStyle w:val="Normal"/>
        <w:pBdr/>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 xml:space="preserve">En la </w:t>
      </w:r>
      <w:r>
        <w:rPr>
          <w:rFonts w:eastAsia="Times New Roman" w:cs="Times New Roman" w:ascii="Times New Roman" w:hAnsi="Times New Roman"/>
          <w:color w:val="000000"/>
          <w:sz w:val="20"/>
          <w:szCs w:val="20"/>
        </w:rPr>
        <w:t>T</w:t>
      </w:r>
      <w:r>
        <w:rPr>
          <w:rFonts w:eastAsia="Times New Roman" w:cs="Times New Roman" w:ascii="Times New Roman" w:hAnsi="Times New Roman"/>
          <w:color w:val="000000"/>
          <w:sz w:val="20"/>
          <w:szCs w:val="20"/>
        </w:rPr>
        <w:t>abla 5 se muestra que para la carrera de Ingeniería industrial que cuenta solo con un grupo de primer semestre,  los porcentajes de aprovechamiento aumentaron a diferencia del último semestre en el cual disminuyeron.</w:t>
      </w:r>
    </w:p>
    <w:p>
      <w:pPr>
        <w:pStyle w:val="Normal"/>
        <w:spacing w:lineRule="auto" w:line="240" w:before="0" w:after="0"/>
        <w:ind w:left="0" w:right="0" w:hanging="0"/>
        <w:jc w:val="both"/>
        <w:rPr>
          <w:rFonts w:ascii="Times New Roman" w:hAnsi="Times New Roman" w:eastAsia="Times New Roman" w:cs="Times New Roman"/>
          <w:b/>
          <w:b/>
          <w:i/>
          <w:i/>
          <w:sz w:val="20"/>
          <w:szCs w:val="20"/>
        </w:rPr>
      </w:pPr>
      <w:r>
        <w:rPr>
          <w:rFonts w:eastAsia="Times New Roman" w:cs="Times New Roman" w:ascii="Times New Roman" w:hAnsi="Times New Roman"/>
          <w:b/>
          <w:i/>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5. Aprovechamiento de la carrera de Ingeniería Industrial. Fuente: Elaboración propia.</w:t>
      </w:r>
    </w:p>
    <w:tbl>
      <w:tblPr>
        <w:tblStyle w:val="aa"/>
        <w:tblW w:w="4535" w:type="dxa"/>
        <w:jc w:val="center"/>
        <w:tblInd w:w="0" w:type="dxa"/>
        <w:tblLayout w:type="fixed"/>
        <w:tblCellMar>
          <w:top w:w="0" w:type="dxa"/>
          <w:left w:w="100" w:type="dxa"/>
          <w:bottom w:w="0" w:type="dxa"/>
          <w:right w:w="100" w:type="dxa"/>
        </w:tblCellMar>
        <w:tblLook w:val="0600" w:noHBand="1" w:noVBand="1" w:firstColumn="0" w:lastRow="0" w:lastColumn="0" w:firstRow="0"/>
      </w:tblPr>
      <w:tblGrid>
        <w:gridCol w:w="690"/>
        <w:gridCol w:w="656"/>
        <w:gridCol w:w="770"/>
        <w:gridCol w:w="770"/>
        <w:gridCol w:w="825"/>
        <w:gridCol w:w="823"/>
      </w:tblGrid>
      <w:tr>
        <w:trPr>
          <w:trHeight w:val="435" w:hRule="atLeast"/>
        </w:trPr>
        <w:tc>
          <w:tcPr>
            <w:tcW w:w="4534" w:type="dxa"/>
            <w:gridSpan w:val="6"/>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Ingeniería Industrial</w:t>
            </w:r>
          </w:p>
        </w:tc>
      </w:tr>
      <w:tr>
        <w:trPr>
          <w:trHeight w:val="60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Semestre</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Total de alumnos</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Número de aprobados</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de aprobados</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Número de reprobados</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de reprobados</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2019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45</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39</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87</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6</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13</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2020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44</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38</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86</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6</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14</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2021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47</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41</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87</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6</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13</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2022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45</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41</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91</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4</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w:t>
            </w:r>
          </w:p>
        </w:tc>
      </w:tr>
      <w:tr>
        <w:trPr>
          <w:trHeight w:val="435"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2023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41</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24</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59</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17</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41</w:t>
            </w:r>
          </w:p>
        </w:tc>
      </w:tr>
    </w:tbl>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  </w:t>
      </w:r>
    </w:p>
    <w:p>
      <w:pPr>
        <w:pStyle w:val="Normal"/>
        <w:pBdr/>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color w:val="000000"/>
          <w:sz w:val="20"/>
          <w:szCs w:val="20"/>
        </w:rPr>
        <w:t>Para la carrera de Ingeniería en Sistemas Computacionales el cual  en los semestres 2022 B y 2023 B se tienen tres grupos de primer semestre,  el porcentaje de aprovechamiento fue aumentando pero en el último semestre disminuyó.</w:t>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i/>
          <w:sz w:val="20"/>
          <w:szCs w:val="20"/>
        </w:rPr>
        <w:t xml:space="preserve"> </w:t>
      </w:r>
    </w:p>
    <w:p>
      <w:pPr>
        <w:pStyle w:val="Normal"/>
        <w:pBdr/>
        <w:spacing w:lineRule="auto" w:line="240" w:before="0" w:after="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6. Aprovechamiento de la carrera de Ingeniería en Sistemas Computacionales. Fuente: Elaboración propia.</w:t>
      </w:r>
    </w:p>
    <w:tbl>
      <w:tblPr>
        <w:tblStyle w:val="ab"/>
        <w:tblW w:w="4535" w:type="dxa"/>
        <w:jc w:val="center"/>
        <w:tblInd w:w="0" w:type="dxa"/>
        <w:tblLayout w:type="fixed"/>
        <w:tblCellMar>
          <w:top w:w="0" w:type="dxa"/>
          <w:left w:w="100" w:type="dxa"/>
          <w:bottom w:w="0" w:type="dxa"/>
          <w:right w:w="100" w:type="dxa"/>
        </w:tblCellMar>
        <w:tblLook w:val="0600" w:noHBand="1" w:noVBand="1" w:firstColumn="0" w:lastRow="0" w:lastColumn="0" w:firstRow="0"/>
      </w:tblPr>
      <w:tblGrid>
        <w:gridCol w:w="690"/>
        <w:gridCol w:w="656"/>
        <w:gridCol w:w="770"/>
        <w:gridCol w:w="770"/>
        <w:gridCol w:w="825"/>
        <w:gridCol w:w="823"/>
      </w:tblGrid>
      <w:tr>
        <w:trPr>
          <w:trHeight w:val="439" w:hRule="atLeast"/>
        </w:trPr>
        <w:tc>
          <w:tcPr>
            <w:tcW w:w="4534" w:type="dxa"/>
            <w:gridSpan w:val="6"/>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Ingeniería en Sistemas Computacionales</w:t>
            </w:r>
          </w:p>
        </w:tc>
      </w:tr>
      <w:tr>
        <w:trPr>
          <w:trHeight w:val="600"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Semestre</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Total de alumnos</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Número de aprobados</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de aprobados</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Número de reprobados</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de reprobados</w:t>
            </w:r>
          </w:p>
        </w:tc>
      </w:tr>
      <w:tr>
        <w:trPr>
          <w:trHeight w:val="439"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2019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92</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58</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63</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34</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37</w:t>
            </w:r>
          </w:p>
        </w:tc>
      </w:tr>
      <w:tr>
        <w:trPr>
          <w:trHeight w:val="439"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2020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92</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70</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76</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22</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24</w:t>
            </w:r>
          </w:p>
        </w:tc>
      </w:tr>
      <w:tr>
        <w:trPr>
          <w:trHeight w:val="439"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2021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84</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70</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83</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14</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17</w:t>
            </w:r>
          </w:p>
        </w:tc>
      </w:tr>
      <w:tr>
        <w:trPr>
          <w:trHeight w:val="439"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2022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109</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99</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91</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10</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9</w:t>
            </w:r>
          </w:p>
        </w:tc>
      </w:tr>
      <w:tr>
        <w:trPr>
          <w:trHeight w:val="439" w:hRule="atLeast"/>
        </w:trPr>
        <w:tc>
          <w:tcPr>
            <w:tcW w:w="690" w:type="dxa"/>
            <w:tcBorders>
              <w:left w:val="single" w:sz="8" w:space="0" w:color="000000"/>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2023 B</w:t>
            </w:r>
          </w:p>
        </w:tc>
        <w:tc>
          <w:tcPr>
            <w:tcW w:w="656"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114</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93</w:t>
            </w:r>
          </w:p>
        </w:tc>
        <w:tc>
          <w:tcPr>
            <w:tcW w:w="770"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82</w:t>
            </w:r>
          </w:p>
        </w:tc>
        <w:tc>
          <w:tcPr>
            <w:tcW w:w="825"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21</w:t>
            </w:r>
          </w:p>
        </w:tc>
        <w:tc>
          <w:tcPr>
            <w:tcW w:w="823" w:type="dxa"/>
            <w:tcBorders>
              <w:bottom w:val="single" w:sz="8" w:space="0" w:color="000000"/>
              <w:right w:val="single" w:sz="8" w:space="0" w:color="000000"/>
            </w:tcBorders>
            <w:shd w:color="auto" w:fill="auto" w:val="clear"/>
          </w:tcPr>
          <w:p>
            <w:pPr>
              <w:pStyle w:val="Normal"/>
              <w:widowControl w:val="false"/>
              <w:pBdr/>
              <w:spacing w:lineRule="auto" w:line="240" w:before="0" w:after="0"/>
              <w:ind w:left="0" w:right="0" w:hanging="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18</w:t>
            </w:r>
          </w:p>
        </w:tc>
      </w:tr>
    </w:tbl>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  </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 continuación se presenta en la </w:t>
      </w:r>
      <w:r>
        <w:rPr>
          <w:rFonts w:eastAsia="Times New Roman" w:cs="Times New Roman" w:ascii="Times New Roman" w:hAnsi="Times New Roman"/>
          <w:sz w:val="20"/>
          <w:szCs w:val="20"/>
        </w:rPr>
        <w:t>T</w:t>
      </w:r>
      <w:r>
        <w:rPr>
          <w:rFonts w:eastAsia="Times New Roman" w:cs="Times New Roman" w:ascii="Times New Roman" w:hAnsi="Times New Roman"/>
          <w:sz w:val="20"/>
          <w:szCs w:val="20"/>
        </w:rPr>
        <w:t>abla 7 los promedios grupales finales obtenidos por cada una de las carreras en la asignatura de cálculo diferencial, en la cual se evidencian cambios significativos en algunas ingenierías como son Ambiental e Industrial en las cuales se observa el menor promedio grupal de manera general después de la pandemia.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7. Promedios grupales finales de las diferentes carreras. Fuente: Elaboración propia.</w:t>
      </w:r>
    </w:p>
    <w:tbl>
      <w:tblPr>
        <w:tblStyle w:val="ac"/>
        <w:tblW w:w="4535" w:type="dxa"/>
        <w:jc w:val="center"/>
        <w:tblInd w:w="0" w:type="dxa"/>
        <w:tblLayout w:type="fixed"/>
        <w:tblCellMar>
          <w:top w:w="0" w:type="dxa"/>
          <w:left w:w="80" w:type="dxa"/>
          <w:bottom w:w="0" w:type="dxa"/>
          <w:right w:w="80" w:type="dxa"/>
        </w:tblCellMar>
        <w:tblLook w:val="0600" w:noHBand="1" w:noVBand="1" w:firstColumn="0" w:lastRow="0" w:lastColumn="0" w:firstRow="0"/>
      </w:tblPr>
      <w:tblGrid>
        <w:gridCol w:w="1784"/>
        <w:gridCol w:w="550"/>
        <w:gridCol w:w="550"/>
        <w:gridCol w:w="551"/>
        <w:gridCol w:w="549"/>
        <w:gridCol w:w="550"/>
      </w:tblGrid>
      <w:tr>
        <w:trPr>
          <w:trHeight w:val="375" w:hRule="atLeast"/>
        </w:trPr>
        <w:tc>
          <w:tcPr>
            <w:tcW w:w="1784"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Carrera</w:t>
            </w:r>
          </w:p>
        </w:tc>
        <w:tc>
          <w:tcPr>
            <w:tcW w:w="550" w:type="dxa"/>
            <w:tcBorders>
              <w:top w:val="single" w:sz="6" w:space="0" w:color="000000"/>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19B</w:t>
            </w:r>
          </w:p>
        </w:tc>
        <w:tc>
          <w:tcPr>
            <w:tcW w:w="550" w:type="dxa"/>
            <w:tcBorders>
              <w:top w:val="single" w:sz="6" w:space="0" w:color="000000"/>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20B</w:t>
            </w:r>
          </w:p>
        </w:tc>
        <w:tc>
          <w:tcPr>
            <w:tcW w:w="551" w:type="dxa"/>
            <w:tcBorders>
              <w:top w:val="single" w:sz="6" w:space="0" w:color="000000"/>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21B</w:t>
            </w:r>
          </w:p>
        </w:tc>
        <w:tc>
          <w:tcPr>
            <w:tcW w:w="549" w:type="dxa"/>
            <w:tcBorders>
              <w:top w:val="single" w:sz="6" w:space="0" w:color="000000"/>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22B</w:t>
            </w:r>
          </w:p>
        </w:tc>
        <w:tc>
          <w:tcPr>
            <w:tcW w:w="550" w:type="dxa"/>
            <w:tcBorders>
              <w:top w:val="single" w:sz="6" w:space="0" w:color="000000"/>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23B</w:t>
            </w:r>
          </w:p>
        </w:tc>
      </w:tr>
      <w:tr>
        <w:trPr>
          <w:trHeight w:val="375" w:hRule="atLeast"/>
        </w:trPr>
        <w:tc>
          <w:tcPr>
            <w:tcW w:w="1784" w:type="dxa"/>
            <w:tcBorders>
              <w:left w:val="single" w:sz="6" w:space="0" w:color="000000"/>
              <w:bottom w:val="single" w:sz="6" w:space="0" w:color="000000"/>
              <w:right w:val="single" w:sz="6" w:space="0" w:color="000000"/>
            </w:tcBorders>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Ingeniería en Administración</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54.43</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73.88</w:t>
            </w:r>
          </w:p>
        </w:tc>
        <w:tc>
          <w:tcPr>
            <w:tcW w:w="551"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65.69</w:t>
            </w:r>
          </w:p>
        </w:tc>
        <w:tc>
          <w:tcPr>
            <w:tcW w:w="549"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70.55</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80.57</w:t>
            </w:r>
          </w:p>
        </w:tc>
      </w:tr>
      <w:tr>
        <w:trPr>
          <w:trHeight w:val="375" w:hRule="atLeast"/>
        </w:trPr>
        <w:tc>
          <w:tcPr>
            <w:tcW w:w="1784" w:type="dxa"/>
            <w:tcBorders>
              <w:left w:val="single" w:sz="6" w:space="0" w:color="000000"/>
              <w:bottom w:val="single" w:sz="6" w:space="0" w:color="000000"/>
              <w:right w:val="single" w:sz="6" w:space="0" w:color="000000"/>
            </w:tcBorders>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Ingeniería ambiental</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61.81</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67.07</w:t>
            </w:r>
          </w:p>
        </w:tc>
        <w:tc>
          <w:tcPr>
            <w:tcW w:w="551"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74.08</w:t>
            </w:r>
          </w:p>
        </w:tc>
        <w:tc>
          <w:tcPr>
            <w:tcW w:w="549"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71.41</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56.30</w:t>
            </w:r>
          </w:p>
        </w:tc>
      </w:tr>
      <w:tr>
        <w:trPr>
          <w:trHeight w:val="375" w:hRule="atLeast"/>
        </w:trPr>
        <w:tc>
          <w:tcPr>
            <w:tcW w:w="1784" w:type="dxa"/>
            <w:tcBorders>
              <w:left w:val="single" w:sz="6" w:space="0" w:color="000000"/>
              <w:bottom w:val="single" w:sz="6" w:space="0" w:color="000000"/>
              <w:right w:val="single" w:sz="6" w:space="0" w:color="000000"/>
            </w:tcBorders>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Ingeniería Civil</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69.29</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80.60</w:t>
            </w:r>
          </w:p>
        </w:tc>
        <w:tc>
          <w:tcPr>
            <w:tcW w:w="551"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76.16</w:t>
            </w:r>
          </w:p>
        </w:tc>
        <w:tc>
          <w:tcPr>
            <w:tcW w:w="549"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71.40</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73.24</w:t>
            </w:r>
          </w:p>
        </w:tc>
      </w:tr>
      <w:tr>
        <w:trPr>
          <w:trHeight w:val="375" w:hRule="atLeast"/>
        </w:trPr>
        <w:tc>
          <w:tcPr>
            <w:tcW w:w="1784" w:type="dxa"/>
            <w:tcBorders>
              <w:left w:val="single" w:sz="6" w:space="0" w:color="000000"/>
              <w:bottom w:val="single" w:sz="6" w:space="0" w:color="000000"/>
              <w:right w:val="single" w:sz="6" w:space="0" w:color="000000"/>
            </w:tcBorders>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Ingeniería Industrial</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68.00</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71.95</w:t>
            </w:r>
          </w:p>
        </w:tc>
        <w:tc>
          <w:tcPr>
            <w:tcW w:w="551"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73.36</w:t>
            </w:r>
          </w:p>
        </w:tc>
        <w:tc>
          <w:tcPr>
            <w:tcW w:w="549"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73.84</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51.17</w:t>
            </w:r>
          </w:p>
        </w:tc>
      </w:tr>
      <w:tr>
        <w:trPr>
          <w:trHeight w:val="375" w:hRule="atLeast"/>
        </w:trPr>
        <w:tc>
          <w:tcPr>
            <w:tcW w:w="1784" w:type="dxa"/>
            <w:tcBorders>
              <w:left w:val="single" w:sz="6" w:space="0" w:color="000000"/>
              <w:bottom w:val="single" w:sz="6" w:space="0" w:color="000000"/>
              <w:right w:val="single" w:sz="6" w:space="0" w:color="000000"/>
            </w:tcBorders>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Ingeniería en Sistemas Computacionales</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62.44</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59.83</w:t>
            </w:r>
          </w:p>
        </w:tc>
        <w:tc>
          <w:tcPr>
            <w:tcW w:w="551"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74.32</w:t>
            </w:r>
          </w:p>
        </w:tc>
        <w:tc>
          <w:tcPr>
            <w:tcW w:w="549"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79.30</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67.82</w:t>
            </w:r>
          </w:p>
        </w:tc>
      </w:tr>
      <w:tr>
        <w:trPr>
          <w:trHeight w:val="375" w:hRule="atLeast"/>
        </w:trPr>
        <w:tc>
          <w:tcPr>
            <w:tcW w:w="1784" w:type="dxa"/>
            <w:tcBorders>
              <w:left w:val="single" w:sz="6" w:space="0" w:color="000000"/>
              <w:bottom w:val="single" w:sz="6" w:space="0" w:color="000000"/>
              <w:right w:val="single" w:sz="6" w:space="0" w:color="000000"/>
            </w:tcBorders>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Promedio</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63.19</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7.067</w:t>
            </w:r>
          </w:p>
        </w:tc>
        <w:tc>
          <w:tcPr>
            <w:tcW w:w="551"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72.72</w:t>
            </w:r>
          </w:p>
        </w:tc>
        <w:tc>
          <w:tcPr>
            <w:tcW w:w="549"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73.30</w:t>
            </w:r>
          </w:p>
        </w:tc>
        <w:tc>
          <w:tcPr>
            <w:tcW w:w="550" w:type="dxa"/>
            <w:tcBorders>
              <w:bottom w:val="single" w:sz="6" w:space="0" w:color="000000"/>
              <w:right w:val="single" w:sz="6" w:space="0" w:color="000000"/>
            </w:tcBorders>
            <w:vAlign w:val="bottom"/>
          </w:tcPr>
          <w:p>
            <w:pPr>
              <w:pStyle w:val="Normal"/>
              <w:widowControl w:val="false"/>
              <w:pBdr/>
              <w:spacing w:lineRule="auto" w:line="240" w:before="0" w:after="0"/>
              <w:ind w:left="0" w:right="0" w:hanging="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65.82</w:t>
            </w:r>
          </w:p>
        </w:tc>
      </w:tr>
    </w:tbl>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 acuerdo al análisis de los resultados obtenidos en el rendimiento de los estudiantes en los diferentes momentos, se puede determinar que existen criterios de evaluación que permiten disminuir los índices de reprobación, como son la resolución de ejercicios, proyectos integradores y evaluación en línea y con este último se fortalece el desarrollo de habilidades en el uso de las tecnologías de información. </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sz w:val="20"/>
          <w:szCs w:val="20"/>
        </w:rPr>
        <w:t>IV. REFLEXIONES O CONCLUSIONES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Comparando los resultados de aprobados y reprobados en las diferentes ingenierías con la implementación de los mismos criterios de evaluación se determina que para la carrera de Ingeniería en Administración se tuvo un aumento en los índices de aprovechamiento con los cambios que se realizaron. En el caso de las carreras de Ambiental, Industrial y Sistemas Computacionales al inicio de la pandemia se presentó un aumento en los mismos porcentajes, sin embargo, en el último semestre de estudio se mostró una disminución significativa; a diferencia de Ingeniería Civil en la cual existió el mismo comportamiento de aumento y disminución pero con porcentajes no significativos, es decir, sin mayores cambios a considerar.</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relación a los promedios grupales finales por semestre de alumnos que cursaron la asignatura de Cálculo diferencial, se determina que los valores obtenidos antes de la pandemia son más bajos que los de durante la pandemia y posteriormente hay un ligero incremento en el semestre 2022B, disminuyendo en el 2023B.</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Por lo que se concluye que los cambios en los criterios de evaluación inciden en la disminución de los índices de reprobación de los estudiantes ya que fueron representativos en la mayoría de las ingenierías, así mismo, se identificó que los estudiantes tienen un buen manejo en las tecnologías de la información para la resolución de ejercicios y de las evaluaciones en línea, así como, trabajar en equipo en la actividad de proyectos integradores, considerando que hay estudiantes que cuentan con una especialidad específica en el área de las matemáticas que permite integrarlos en diferentes equipos.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cuanto a las evaluaciones escritas que se realizaban de manera presencial antes de la pandemia, los estudiantes se muestran temerosos con el solo hecho de mencionar que es una evaluación individual; lo que repercute en los índices de reprobación porque los estudiantes hoy en día solicitan actividades sencillas que no requieren de mucho esfuerzo ni complejidad por lo que dentro de los criterios de evaluación se sugiere disminuir la frecuencia en su aplicación. </w:t>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color w:val="000000"/>
          <w:sz w:val="20"/>
          <w:szCs w:val="20"/>
        </w:rPr>
        <w:t>R</w:t>
      </w:r>
      <w:r>
        <w:rPr>
          <w:rFonts w:eastAsia="Times New Roman" w:cs="Times New Roman" w:ascii="Times New Roman" w:hAnsi="Times New Roman"/>
          <w:b/>
          <w:sz w:val="20"/>
          <w:szCs w:val="20"/>
        </w:rPr>
        <w:t>EFERENCIAS</w:t>
      </w:r>
      <w:r>
        <w:rPr>
          <w:rFonts w:eastAsia="Times New Roman" w:cs="Times New Roman" w:ascii="Times New Roman" w:hAnsi="Times New Roman"/>
          <w:sz w:val="20"/>
          <w:szCs w:val="20"/>
        </w:rPr>
        <w:t xml:space="preserve">. </w:t>
      </w:r>
    </w:p>
    <w:p>
      <w:pPr>
        <w:pStyle w:val="Normal"/>
        <w:pBdr/>
        <w:spacing w:lineRule="auto" w:line="240" w:before="0" w:after="0"/>
        <w:ind w:left="0" w:right="0" w:hanging="0"/>
        <w:jc w:val="both"/>
        <w:rPr>
          <w:rFonts w:ascii="Times New Roman" w:hAnsi="Times New Roman" w:eastAsia="Times New Roman" w:cs="Times New Roman"/>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sz w:val="20"/>
          <w:szCs w:val="20"/>
        </w:rPr>
        <w:t xml:space="preserve">Mora Casasola, M. F. (2023). Implementación de recursos educativos digitales, una revisión sistemática desde la enseñanza del Cálculo Diferencial. Matemáticas, Educación e Internet </w:t>
      </w:r>
      <w:r>
        <w:rPr>
          <w:rFonts w:eastAsia="Arial" w:cs="Arial" w:ascii="Times New Roman" w:hAnsi="Times New Roman"/>
          <w:color w:val="555555"/>
          <w:sz w:val="20"/>
          <w:szCs w:val="20"/>
          <w:highlight w:val="white"/>
        </w:rPr>
        <w:t xml:space="preserve">  </w:t>
      </w:r>
      <w:hyperlink r:id="rId14">
        <w:r>
          <w:rPr>
            <w:rFonts w:eastAsia="Arial" w:cs="Arial" w:ascii="Times New Roman" w:hAnsi="Times New Roman"/>
            <w:color w:val="1155CC"/>
            <w:sz w:val="20"/>
            <w:szCs w:val="20"/>
            <w:highlight w:val="white"/>
            <w:u w:val="single"/>
          </w:rPr>
          <w:t>https://doi.org/10.18845/rdmei.v24i1.6709</w:t>
        </w:r>
      </w:hyperlink>
    </w:p>
    <w:p>
      <w:pPr>
        <w:pStyle w:val="Normal"/>
        <w:pBdr/>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Morantes-Moncada, Graciela; Dugarte-Peña, Edwin; Herrera-Díaz, Jhobana Perfil del aprendiz estratégico para el estudio de Cálculo Diferencial mediado por las TIC Logos Ciencia &amp; Tecnología, vol. 11, núm. 3, 2019 Policía Nacional de Colombia Disponible en: http://www.redalyc.org/articulo.oa?id=517762280013 DOI: 10.22335/rlct.v11i3.864 </w:t>
      </w:r>
    </w:p>
    <w:p>
      <w:pPr>
        <w:pStyle w:val="Normal"/>
        <w:pBdr/>
        <w:spacing w:lineRule="auto" w:line="240" w:before="0" w:after="0"/>
        <w:ind w:left="0" w:right="0" w:hanging="0"/>
        <w:jc w:val="both"/>
        <w:rPr>
          <w:rFonts w:ascii="Times New Roman" w:hAnsi="Times New Roman" w:eastAsia="Times New Roman" w:cs="Times New Roman"/>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sz w:val="20"/>
          <w:szCs w:val="20"/>
        </w:rPr>
        <w:t xml:space="preserve">Gruezo, M. E., Capurro, E. E., &amp; Gorina, A. (2022). Enseñanza de la matemática como vía en la resolución de problemas. Inblueditorial: Esmeraldas, Ecuador. </w:t>
      </w:r>
      <w:hyperlink r:id="rId15">
        <w:r>
          <w:rPr>
            <w:rFonts w:eastAsia="Times New Roman" w:cs="Times New Roman" w:ascii="Times New Roman" w:hAnsi="Times New Roman"/>
            <w:color w:val="1155CC"/>
            <w:sz w:val="20"/>
            <w:szCs w:val="20"/>
            <w:u w:val="single"/>
          </w:rPr>
          <w:t>http://scielo.sld.cu/scielo.php?pid=S2218-36202023000400030&amp;script=sci_arttext</w:t>
        </w:r>
      </w:hyperlink>
    </w:p>
    <w:p>
      <w:pPr>
        <w:pStyle w:val="Normal"/>
        <w:pBdr/>
        <w:spacing w:lineRule="auto" w:line="240" w:before="0" w:after="0"/>
        <w:ind w:left="0" w:right="0" w:hanging="0"/>
        <w:jc w:val="both"/>
        <w:rPr>
          <w:rFonts w:ascii="Times New Roman" w:hAnsi="Times New Roman" w:eastAsia="Times New Roman" w:cs="Times New Roman"/>
          <w:sz w:val="20"/>
          <w:szCs w:val="20"/>
        </w:rPr>
      </w:pPr>
      <w:r>
        <w:rPr/>
      </w:r>
    </w:p>
    <w:p>
      <w:pPr>
        <w:pStyle w:val="Normal"/>
        <w:pBdr/>
        <w:spacing w:lineRule="auto" w:line="240" w:before="0" w:after="0"/>
        <w:ind w:left="0" w:right="0" w:hanging="0"/>
        <w:jc w:val="both"/>
        <w:rPr/>
      </w:pPr>
      <w:r>
        <w:rPr>
          <w:rFonts w:eastAsia="Times New Roman" w:cs="Times New Roman" w:ascii="Times New Roman" w:hAnsi="Times New Roman"/>
          <w:sz w:val="20"/>
          <w:szCs w:val="20"/>
        </w:rPr>
        <w:t xml:space="preserve">Justo López, A. C., Castro García, L., Aguilar Salinas, W. E., y Fuentes Lara, M. D.  (2021). Estrategias educativas digitales como apoyo a cursos de ciencias básicas de ingeniería. Apertura, 13(1), 52-67. </w:t>
      </w:r>
      <w:hyperlink r:id="rId16">
        <w:r>
          <w:rPr>
            <w:rFonts w:eastAsia="Times New Roman" w:cs="Times New Roman" w:ascii="Times New Roman" w:hAnsi="Times New Roman"/>
            <w:color w:val="1155CC"/>
            <w:sz w:val="20"/>
            <w:szCs w:val="20"/>
            <w:u w:val="single"/>
          </w:rPr>
          <w:t>https://doi.org/10.32870/Ap.v13n1.1983</w:t>
        </w:r>
      </w:hyperlink>
    </w:p>
    <w:p>
      <w:pPr>
        <w:pStyle w:val="Normal"/>
        <w:spacing w:lineRule="auto" w:line="240" w:before="0" w:after="0"/>
        <w:ind w:left="0" w:right="0" w:hanging="0"/>
        <w:jc w:val="both"/>
        <w:rPr>
          <w:rFonts w:ascii="Times New Roman" w:hAnsi="Times New Roman" w:eastAsia="Times New Roman" w:cs="Times New Roman"/>
          <w:sz w:val="20"/>
          <w:szCs w:val="20"/>
        </w:rPr>
      </w:pPr>
      <w:r>
        <w:rPr/>
      </w:r>
    </w:p>
    <w:p>
      <w:pPr>
        <w:pStyle w:val="Normal"/>
        <w:spacing w:lineRule="auto" w:line="240" w:before="0" w:after="0"/>
        <w:ind w:left="0" w:right="0" w:hanging="0"/>
        <w:jc w:val="both"/>
        <w:rPr/>
      </w:pPr>
      <w:r>
        <w:rPr>
          <w:rFonts w:eastAsia="Times New Roman" w:cs="Times New Roman" w:ascii="Times New Roman" w:hAnsi="Times New Roman"/>
          <w:sz w:val="20"/>
          <w:szCs w:val="20"/>
        </w:rPr>
        <w:t xml:space="preserve">Perilla, S., Valencia, H. y Chacón, M. (2022). Factores que afectan el desempeño en Cálculo Diferencial en la Universidad Santo Tomás. Revista Interamericana de Investigación, Educación y Pedagogía, 15(2), 37-68. </w:t>
      </w:r>
      <w:hyperlink r:id="rId17">
        <w:r>
          <w:rPr>
            <w:rFonts w:eastAsia="Times New Roman" w:cs="Times New Roman" w:ascii="Times New Roman" w:hAnsi="Times New Roman"/>
            <w:color w:val="1155CC"/>
            <w:sz w:val="20"/>
            <w:szCs w:val="20"/>
            <w:u w:val="single"/>
          </w:rPr>
          <w:t>https://doi.org/10.15332/25005421.6624</w:t>
        </w:r>
      </w:hyperlink>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sectPr>
          <w:type w:val="continuous"/>
          <w:pgSz w:w="12240" w:h="15840"/>
          <w:pgMar w:left="1418" w:right="1418" w:header="1417" w:top="1983" w:footer="1418" w:bottom="2093" w:gutter="0"/>
          <w:cols w:num="2" w:space="282" w:equalWidth="true" w:sep="false"/>
          <w:formProt w:val="false"/>
          <w:textDirection w:val="lrTb"/>
          <w:docGrid w:type="default" w:linePitch="299" w:charSpace="4096"/>
        </w:sectPr>
      </w:pPr>
    </w:p>
    <w:sectPr>
      <w:headerReference w:type="even" r:id="rId18"/>
      <w:headerReference w:type="default" r:id="rId19"/>
      <w:headerReference w:type="first" r:id="rId20"/>
      <w:footerReference w:type="even" r:id="rId21"/>
      <w:footerReference w:type="default" r:id="rId22"/>
      <w:footerReference w:type="first" r:id="rId23"/>
      <w:type w:val="continuous"/>
      <w:pgSz w:w="12240" w:h="15840"/>
      <w:pgMar w:left="1418" w:right="1418" w:header="1417" w:top="1983" w:footer="1418" w:bottom="2093" w:gutter="0"/>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 w:name="Times new roman">
    <w:charset w:val="01"/>
    <w:family w:val="roman"/>
    <w:pitch w:val="variable"/>
  </w:font>
  <w:font w:name="Cantarell">
    <w:charset w:val="01"/>
    <w:family w:val="roman"/>
    <w:pitch w:val="variable"/>
  </w:font>
  <w:font w:name="Times New Roman">
    <w:charset w:val="01"/>
    <w:family w:val="auto"/>
    <w:pitch w:val="variable"/>
  </w:font>
  <w:font w:name="Courier New">
    <w:charset w:val="01"/>
    <w:family w:val="auto"/>
    <w:pitch w:val="fixed"/>
  </w:font>
  <w:font w:name="Noto Sans 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110"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3</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10</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110"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3</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10</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110"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3</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/2024</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10</w:t>
          </w:r>
          <w:r>
            <w:rPr>
              <w:rFonts w:ascii="Times new roman" w:hAnsi="Times new roman"/>
              <w:sz w:val="16"/>
              <w:szCs w:val="16"/>
            </w:rPr>
            <w:t>/</w:t>
          </w:r>
          <w:r>
            <w:rPr>
              <w:rFonts w:ascii="Times new roman" w:hAnsi="Times new roman"/>
              <w:sz w:val="16"/>
              <w:szCs w:val="16"/>
            </w:rPr>
            <w:t>Juni</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53</w:t>
    </w:r>
    <w:r>
      <w:rPr>
        <w:rFonts w:ascii="Times new roman" w:hAnsi="Times new roman"/>
        <w:b w:val="false"/>
        <w:i/>
        <w:iCs/>
        <w:caps w:val="false"/>
        <w:smallCaps w:val="false"/>
        <w:spacing w:val="0"/>
        <w:sz w:val="16"/>
        <w:szCs w:val="16"/>
      </w:rPr>
      <w:t>, Julio - Diciembre 2024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53</w:t>
    </w:r>
    <w:r>
      <w:rPr>
        <w:rFonts w:ascii="Times new roman" w:hAnsi="Times new roman"/>
        <w:b w:val="false"/>
        <w:i/>
        <w:iCs/>
        <w:caps w:val="false"/>
        <w:smallCaps w:val="false"/>
        <w:spacing w:val="0"/>
        <w:sz w:val="16"/>
        <w:szCs w:val="16"/>
      </w:rPr>
      <w:t>, Julio - Diciembre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7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7</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53</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53</w:t>
    </w:r>
    <w:r>
      <w:rPr>
        <w:rFonts w:ascii="Times new roman" w:hAnsi="Times new roman"/>
        <w:b w:val="false"/>
        <w:i/>
        <w:iCs/>
        <w:caps w:val="false"/>
        <w:smallCaps w:val="false"/>
        <w:spacing w:val="0"/>
        <w:sz w:val="16"/>
        <w:szCs w:val="16"/>
      </w:rPr>
      <w:t>, Julio - Diciembre 2024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53</w:t>
    </w:r>
    <w:r>
      <w:rPr>
        <w:rFonts w:ascii="Times new roman" w:hAnsi="Times new roman"/>
        <w:b w:val="false"/>
        <w:i/>
        <w:iCs/>
        <w:caps w:val="false"/>
        <w:smallCaps w:val="false"/>
        <w:spacing w:val="0"/>
        <w:sz w:val="16"/>
        <w:szCs w:val="16"/>
      </w:rPr>
      <w:t>, Julio - Diciembre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7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2"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7</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53</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53</w:t>
    </w:r>
    <w:r>
      <w:rPr>
        <w:rFonts w:ascii="Times new roman" w:hAnsi="Times new roman"/>
        <w:b w:val="false"/>
        <w:i/>
        <w:iCs/>
        <w:caps w:val="false"/>
        <w:smallCaps w:val="false"/>
        <w:spacing w:val="0"/>
        <w:sz w:val="16"/>
        <w:szCs w:val="16"/>
      </w:rPr>
      <w:t>, Julio - Diciembre 2024</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9, No. 20, pp. 1</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53</w:t>
    </w:r>
    <w:r>
      <w:rPr>
        <w:rFonts w:ascii="Times new roman" w:hAnsi="Times new roman"/>
        <w:b w:val="false"/>
        <w:i/>
        <w:iCs/>
        <w:caps w:val="false"/>
        <w:smallCaps w:val="false"/>
        <w:spacing w:val="0"/>
        <w:sz w:val="16"/>
        <w:szCs w:val="16"/>
      </w:rPr>
      <w:t>, Julio - Diciembre 2024</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7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3" name="Imagen9"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9"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9, No. 20, pp. 1</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7</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53</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evenAndOddHeaders/>
  <w:compat>
    <w:compatSetting w:name="compatibilityMode" w:uri="http://schemas.microsoft.com/office/word" w:val="14"/>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MX"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MX" w:eastAsia="es-MX" w:bidi="ar-SA"/>
    </w:rPr>
  </w:style>
  <w:style w:type="paragraph" w:styleId="Ttulo1">
    <w:name w:val="Heading 1"/>
    <w:basedOn w:val="Normal"/>
    <w:next w:val="Normal"/>
    <w:qFormat/>
    <w:pPr>
      <w:keepNext w:val="true"/>
      <w:keepLines/>
      <w:spacing w:before="480" w:after="120"/>
      <w:outlineLvl w:val="0"/>
    </w:pPr>
    <w:rPr>
      <w:b/>
      <w:sz w:val="48"/>
      <w:szCs w:val="48"/>
    </w:rPr>
  </w:style>
  <w:style w:type="paragraph" w:styleId="Ttulo2">
    <w:name w:val="Heading 2"/>
    <w:basedOn w:val="Normal"/>
    <w:next w:val="Normal"/>
    <w:qFormat/>
    <w:pPr>
      <w:keepNext w:val="true"/>
      <w:keepLines/>
      <w:spacing w:before="360" w:after="80"/>
      <w:outlineLvl w:val="1"/>
    </w:pPr>
    <w:rPr>
      <w:b/>
      <w:sz w:val="36"/>
      <w:szCs w:val="36"/>
    </w:rPr>
  </w:style>
  <w:style w:type="paragraph" w:styleId="Ttulo3">
    <w:name w:val="Heading 3"/>
    <w:basedOn w:val="Normal"/>
    <w:next w:val="Normal"/>
    <w:qFormat/>
    <w:pPr>
      <w:keepNext w:val="true"/>
      <w:keepLines/>
      <w:spacing w:before="280" w:after="80"/>
      <w:outlineLvl w:val="2"/>
    </w:pPr>
    <w:rPr>
      <w:b/>
      <w:sz w:val="28"/>
      <w:szCs w:val="28"/>
    </w:rPr>
  </w:style>
  <w:style w:type="paragraph" w:styleId="Ttulo4">
    <w:name w:val="Heading 4"/>
    <w:basedOn w:val="Normal"/>
    <w:next w:val="Normal"/>
    <w:qFormat/>
    <w:pPr>
      <w:keepNext w:val="true"/>
      <w:keepLines/>
      <w:spacing w:before="240" w:after="40"/>
      <w:outlineLvl w:val="3"/>
    </w:pPr>
    <w:rPr>
      <w:b/>
      <w:sz w:val="24"/>
      <w:szCs w:val="24"/>
    </w:rPr>
  </w:style>
  <w:style w:type="paragraph" w:styleId="Ttulo5">
    <w:name w:val="Heading 5"/>
    <w:basedOn w:val="Normal"/>
    <w:next w:val="Normal"/>
    <w:qFormat/>
    <w:pPr>
      <w:keepNext w:val="true"/>
      <w:keepLines/>
      <w:spacing w:before="220" w:after="40"/>
      <w:outlineLvl w:val="4"/>
    </w:pPr>
    <w:rPr>
      <w:b/>
    </w:rPr>
  </w:style>
  <w:style w:type="paragraph" w:styleId="Ttulo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semiHidden/>
    <w:unhideWhenUsed/>
    <w:qFormat/>
    <w:rsid w:val="00964950"/>
    <w:pPr>
      <w:spacing w:lineRule="auto" w:line="240" w:beforeAutospacing="1" w:afterAutospacing="1"/>
    </w:pPr>
    <w:rPr>
      <w:rFonts w:ascii="Times New Roman" w:hAnsi="Times New Roman" w:eastAsia="Times New Roman" w:cs="Times New Roman"/>
      <w:sz w:val="24"/>
      <w:szCs w:val="24"/>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suppressLineNumbers/>
      <w:tabs>
        <w:tab w:val="clear" w:pos="720"/>
        <w:tab w:val="center" w:pos="4702" w:leader="none"/>
        <w:tab w:val="right" w:pos="9404" w:leader="none"/>
      </w:tabs>
    </w:pPr>
    <w:rPr/>
  </w:style>
  <w:style w:type="paragraph" w:styleId="Contenidodelatabla">
    <w:name w:val="Contenido de la tabla"/>
    <w:basedOn w:val="Normal"/>
    <w:qFormat/>
    <w:pPr/>
    <w:rPr/>
  </w:style>
  <w:style w:type="paragraph" w:styleId="Cabeceraizquierda">
    <w:name w:val="Cabecera izquierda"/>
    <w:basedOn w:val="Cabecera"/>
    <w:qFormat/>
    <w:pPr>
      <w:suppressLineNumbers/>
      <w:tabs>
        <w:tab w:val="clear" w:pos="720"/>
        <w:tab w:val="center" w:pos="4703" w:leader="none"/>
        <w:tab w:val="right" w:pos="9406"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yperlink" Target="https://doi.org/10.18845/rdmei.v24i1.6709" TargetMode="External"/><Relationship Id="rId15" Type="http://schemas.openxmlformats.org/officeDocument/2006/relationships/hyperlink" Target="http://scielo.sld.cu/scielo.php?pid=S2218-36202023000400030&amp;script=sci_arttext" TargetMode="External"/><Relationship Id="rId16" Type="http://schemas.openxmlformats.org/officeDocument/2006/relationships/hyperlink" Target="https://doi.org/10.32870/Ap.v13n1.1983" TargetMode="External"/><Relationship Id="rId17" Type="http://schemas.openxmlformats.org/officeDocument/2006/relationships/hyperlink" Target="https://doi.org/10.15332/25005421.6624" TargetMode="Externa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Relationship Id="rId29" Type="http://schemas.openxmlformats.org/officeDocument/2006/relationships/customXml" Target="../customXml/item2.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2.png"/>
</Relationships>
</file>

<file path=word/_rels/header9.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roundtripDataSignature="AMtx7mgOzq5npeGLPEUN8+tY0mDYzxaH/Q==">CgMxLjAyCGguZ2pkZ3hzOAByITFXOHB5QUNnZjVLVTFLb3loQmMybWZ6Q1RxbGM4Vjd4Wg==</go:docsCustomData>
</go:gDocsCustomXmlDataStorage>
</file>

<file path=customXml/itemProps1.xml><?xml version="1.0" encoding="utf-8"?>
<ds:datastoreItem xmlns:ds="http://schemas.openxmlformats.org/officeDocument/2006/customXml" ds:itemID="{87279F78-7269-4853-B749-B32C737C56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914</TotalTime>
  <Application>LibreOffice/7.0.4.2$Linux_X86_64 LibreOffice_project/00$Build-2</Application>
  <AppVersion>15.0000</AppVersion>
  <Pages>7</Pages>
  <Words>3295</Words>
  <Characters>17893</Characters>
  <CharactersWithSpaces>20830</CharactersWithSpaces>
  <Paragraphs>412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2024-05-03T22:22:00Z</dcterms:created>
  <dc:creator/>
  <dc:description/>
  <dc:language>es-MX</dc:language>
  <cp:lastModifiedBy/>
  <dcterms:modified xsi:type="dcterms:W3CDTF">2024-07-24T09:46:13Z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