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9.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footer9.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cs="Times New Roman" w:ascii="Times New Roman" w:hAnsi="Times New Roman"/>
          <w:b w:val="false"/>
          <w:bCs w:val="false"/>
          <w:color w:val="000000"/>
          <w:sz w:val="44"/>
          <w:szCs w:val="44"/>
          <w:shd w:fill="FFFFFF" w:val="clear"/>
          <w:lang w:val="es"/>
        </w:rPr>
        <w:t>Estrategia en la enseñanza y aprendizaje de matemáticas con base en la opinión estudiantil acerca de su desempeño académico</w:t>
      </w:r>
    </w:p>
    <w:p>
      <w:pPr>
        <w:pStyle w:val="Normal"/>
        <w:spacing w:lineRule="auto" w:line="240" w:before="0" w:after="0"/>
        <w:ind w:left="0" w:right="0" w:hanging="0"/>
        <w:jc w:val="both"/>
        <w:rPr>
          <w:rFonts w:ascii="Times New Roman" w:hAnsi="Times New Roman" w:cs="Times New Roman"/>
          <w:b w:val="false"/>
          <w:b w:val="false"/>
          <w:bCs w:val="false"/>
          <w:color w:val="000000"/>
          <w:sz w:val="20"/>
          <w:szCs w:val="20"/>
          <w:shd w:fill="FFFFFF" w:val="clear"/>
        </w:rPr>
      </w:pPr>
      <w:r>
        <w:rPr>
          <w:rFonts w:cs="Times New Roman" w:ascii="Times New Roman" w:hAnsi="Times New Roman"/>
          <w:b w:val="false"/>
          <w:bCs w:val="false"/>
          <w:color w:val="000000"/>
          <w:sz w:val="20"/>
          <w:szCs w:val="20"/>
          <w:shd w:fill="FFFFFF" w:val="clear"/>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cs="Times New Roman" w:ascii="Times New Roman" w:hAnsi="Times New Roman"/>
          <w:b w:val="false"/>
          <w:bCs w:val="false"/>
          <w:color w:val="000000"/>
          <w:sz w:val="36"/>
          <w:szCs w:val="36"/>
          <w:shd w:fill="FFFFFF" w:val="clear"/>
          <w:lang w:val="en"/>
        </w:rPr>
        <w:t>Strategy in the teaching and learning of mathematics based on student opinion about their academic performance</w:t>
      </w:r>
    </w:p>
    <w:p>
      <w:pPr>
        <w:pStyle w:val="Normal"/>
        <w:spacing w:lineRule="auto" w:line="240" w:before="0" w:after="0"/>
        <w:ind w:left="0" w:right="0" w:hanging="0"/>
        <w:jc w:val="both"/>
        <w:rPr>
          <w:rFonts w:ascii="Times New Roman" w:hAnsi="Times New Roman" w:cs="Times New Roman"/>
          <w:b/>
          <w:b/>
          <w:color w:val="000000"/>
          <w:sz w:val="20"/>
          <w:szCs w:val="20"/>
          <w:shd w:fill="FFFFFF" w:val="clear"/>
          <w:lang w:val="en"/>
        </w:rPr>
      </w:pPr>
      <w:r>
        <w:rPr>
          <w:rFonts w:cs="Times New Roman" w:ascii="Times New Roman" w:hAnsi="Times New Roman"/>
          <w:b/>
          <w:color w:val="000000"/>
          <w:sz w:val="20"/>
          <w:szCs w:val="20"/>
          <w:shd w:fill="FFFFFF" w:val="clear"/>
          <w:lang w:val="en"/>
        </w:rPr>
      </w:r>
    </w:p>
    <w:p>
      <w:pPr>
        <w:pStyle w:val="Normal"/>
        <w:pBdr/>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color w:val="000000"/>
          <w:sz w:val="24"/>
          <w:szCs w:val="24"/>
        </w:rPr>
        <w:t>Delta María Sosa Cordero</w:t>
      </w:r>
      <w:r>
        <w:rPr>
          <w:rFonts w:eastAsia="Times New Roman" w:cs="Times New Roman" w:ascii="Times New Roman" w:hAnsi="Times New Roman"/>
          <w:color w:val="000000"/>
          <w:sz w:val="24"/>
          <w:szCs w:val="24"/>
          <w:vertAlign w:val="superscript"/>
        </w:rPr>
        <w:t>1*</w:t>
      </w:r>
    </w:p>
    <w:p>
      <w:pPr>
        <w:pStyle w:val="Normal"/>
        <w:pBdr/>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sz w:val="24"/>
          <w:szCs w:val="24"/>
        </w:rPr>
      </w:pPr>
      <w:r>
        <w:rPr>
          <w:rFonts w:eastAsia="Times New Roman" w:cs="TimesNewRomanPS-ItalicMT" w:ascii="Times New Roman" w:hAnsi="Times New Roman"/>
          <w:i/>
          <w:iCs/>
          <w:color w:val="000000"/>
          <w:sz w:val="24"/>
          <w:szCs w:val="24"/>
          <w:vertAlign w:val="superscript"/>
        </w:rPr>
        <w:t>1</w:t>
      </w:r>
      <w:r>
        <w:rPr>
          <w:rFonts w:eastAsia="Times New Roman" w:cs="TimesNewRomanPS-ItalicMT" w:ascii="Times New Roman" w:hAnsi="Times New Roman"/>
          <w:i/>
          <w:iCs/>
          <w:color w:val="000000"/>
          <w:sz w:val="24"/>
          <w:szCs w:val="24"/>
        </w:rPr>
        <w:t>Universidad Autónoma de Yucatán, Facultad de Ingeniería Química, Grupo de Investigación de Competitividad, Logística y Gestión de Operaciones, Periférico Norte, Kilómetro 33.5 Tablaje Catastral 13615, Chuburná de Hidalgo Inn, CP 97203, Mérida, Yucatán, México.</w:t>
      </w:r>
    </w:p>
    <w:p>
      <w:pPr>
        <w:pStyle w:val="Normal"/>
        <w:pBdr/>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spacing w:lineRule="auto" w:line="240" w:before="0" w:after="0"/>
        <w:ind w:left="0" w:right="0" w:hanging="0"/>
        <w:jc w:val="center"/>
        <w:rPr>
          <w:rFonts w:ascii="Times New Roman" w:hAnsi="Times New Roman" w:cs="Times New Roman"/>
          <w:b w:val="false"/>
          <w:b w:val="false"/>
          <w:bCs w:val="false"/>
          <w:i/>
          <w:i/>
          <w:iCs/>
          <w:sz w:val="20"/>
          <w:szCs w:val="20"/>
        </w:rPr>
      </w:pPr>
      <w:r>
        <w:rPr>
          <w:rFonts w:cs="Times New Roman" w:ascii="Times New Roman" w:hAnsi="Times New Roman"/>
          <w:b w:val="false"/>
          <w:bCs w:val="false"/>
          <w:i/>
          <w:iCs/>
          <w:sz w:val="20"/>
          <w:szCs w:val="20"/>
        </w:rPr>
        <w:t>scordero@correo.uady.mx</w:t>
      </w:r>
    </w:p>
    <w:p>
      <w:pPr>
        <w:pStyle w:val="Normal"/>
        <w:spacing w:lineRule="auto" w:line="240" w:before="0" w:after="0"/>
        <w:ind w:left="0" w:right="0" w:hanging="0"/>
        <w:jc w:val="both"/>
        <w:rPr>
          <w:rFonts w:cs="Times New Roman"/>
          <w:b/>
          <w:b/>
          <w:bCs/>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44" w:footer="1417" w:bottom="2109"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rPr>
        <w:t>Resumen. Se presenta una comparación entre el desempeño académico de los estudiantes en cálculo integral correspondientes a cuatro períodos académicos: antes, durante y después de la pandemia de COVID-19. Esta comparación permite conocer el contexto de las desigualdades en el desempeño académico de los estudiantes de ingeniería en los primeros semestres. El objetivo principal de este trabajo es presentar una nueva estrategia de enseñanza y aprendizaje antes de la segunda evaluación, diseñada con base en las opiniones de los estudiantes, obtenidas mediante una breve encuesta aplicada después de la primera evaluación durante el curso actual de cálculo integral de enero a mayo 2024. Finalmente se realizó una prueba de t de Student, usando 5% de significancia, para comprobar que sí se logró mejoría en el desempeño académico correspondiente a la segunda evaluación. Esta nueva estrategia de enseñanza y aprendizaje formará parte de la mejora continua de la enseñanza y aprendizaje de los estudiantes de ingeniería.</w:t>
      </w:r>
    </w:p>
    <w:p>
      <w:pPr>
        <w:pStyle w:val="Normal"/>
        <w:spacing w:lineRule="auto" w:line="240" w:before="0" w:after="0"/>
        <w:ind w:left="0" w:right="0" w:hanging="0"/>
        <w:jc w:val="both"/>
        <w:rPr>
          <w:lang w:val="es"/>
        </w:rPr>
      </w:pPr>
      <w:r>
        <w:rPr>
          <w:rFonts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lang w:val="es"/>
        </w:rPr>
        <w:t>Palabras clave: desigualdades, evaluación, estrategia, mejora, calidad.</w:t>
      </w:r>
    </w:p>
    <w:p>
      <w:pPr>
        <w:pStyle w:val="Normal"/>
        <w:spacing w:lineRule="auto" w:line="240" w:before="0" w:after="0"/>
        <w:ind w:left="0" w:right="0" w:hanging="0"/>
        <w:jc w:val="both"/>
        <w:rPr>
          <w:rFonts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lang w:val="en-US"/>
        </w:rPr>
        <w:t>Abstract. A comparison is presented between the academic performance of students in integral calculus corresponding to four academic periods: before, during, and after the COVID-19 pandemic. This comparison provides an insight into the context of inequalities in the academic performance of engineering students in the first semesters. The main objective of this work is to present a new teaching and learning strategy before the second assessment, designed based on the opinions of the students, obtained through a brief survey applied after the first assessment during the current course of integral calculus from January to May 2024. Finally, a Student's t-test was performed, using 5% significance, to verify that an improvement was achieved in the academic performance corresponding to the second evaluation. This new teaching and learning strategy will be part of the continuous improvement of the teaching and learning of engineering students.</w:t>
      </w:r>
    </w:p>
    <w:p>
      <w:pPr>
        <w:pStyle w:val="Normal"/>
        <w:spacing w:lineRule="auto" w:line="240" w:before="0" w:after="0"/>
        <w:ind w:left="0" w:right="0" w:hanging="0"/>
        <w:jc w:val="both"/>
        <w:rPr>
          <w:rFonts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lang w:val="en"/>
        </w:rPr>
        <w:t>Keywords: inequalities, evaluation, strategy, improvement, qualit</w:t>
      </w:r>
      <w:r>
        <w:rPr>
          <w:rFonts w:cs="Times New Roman" w:ascii="Times New Roman" w:hAnsi="Times New Roman"/>
          <w:b/>
          <w:bCs/>
          <w:sz w:val="20"/>
          <w:szCs w:val="20"/>
          <w:lang w:val="en"/>
        </w:rPr>
        <w:t>y.</w:t>
      </w:r>
    </w:p>
    <w:p>
      <w:pPr>
        <w:pStyle w:val="Normal"/>
        <w:spacing w:lineRule="auto" w:line="240" w:before="0" w:after="0"/>
        <w:ind w:left="0" w:right="0" w:hanging="0"/>
        <w:jc w:val="both"/>
        <w:rPr>
          <w:rFonts w:ascii="Times New Roman" w:hAnsi="Times New Roman" w:cs="Times New Roman"/>
          <w:sz w:val="20"/>
          <w:szCs w:val="20"/>
          <w:lang w:val="en-GB"/>
        </w:rPr>
      </w:pPr>
      <w:r>
        <w:rPr>
          <w:rFonts w:cs="Times New Roman" w:ascii="Times New Roman" w:hAnsi="Times New Roman"/>
          <w:sz w:val="20"/>
          <w:szCs w:val="20"/>
          <w:lang w:val="en-GB"/>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lang w:val="es"/>
        </w:rPr>
        <w:t xml:space="preserve">I. </w:t>
      </w:r>
      <w:r>
        <w:rPr>
          <w:rFonts w:cs="Times New Roman" w:ascii="Times New Roman" w:hAnsi="Times New Roman"/>
          <w:b/>
          <w:sz w:val="20"/>
          <w:szCs w:val="20"/>
          <w:lang w:val="es"/>
        </w:rPr>
        <w:t>INTRODUCCIÓN</w:t>
      </w:r>
    </w:p>
    <w:p>
      <w:pPr>
        <w:pStyle w:val="Normal"/>
        <w:tabs>
          <w:tab w:val="clear" w:pos="708"/>
          <w:tab w:val="left" w:pos="1560" w:leader="none"/>
        </w:tabs>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La evaluación de los aprendizajes de los estudiantes es un ámbito de la evaluación educativa con muchos retos en todos los niveles y en particular, en el nivel de educación superior se presentan situaciones complejas que afectan el desempeño académico de los estudiantes al enfrentar cambios necesarios en los procesos de enseñanza y aprendizaje, incluyendo la modalidad en la evaluación durante varios períodos académicos como consecuencia de la pandemia de COVID-19.</w:t>
      </w:r>
    </w:p>
    <w:p>
      <w:pPr>
        <w:pStyle w:val="Normal"/>
        <w:tabs>
          <w:tab w:val="clear" w:pos="708"/>
          <w:tab w:val="left" w:pos="1560" w:leader="none"/>
        </w:tabs>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Como se menciona en Mateo (2006), evaluar es, ante todo y en primer lugar, apreciar, establecer el valor de un objeto, un servicio, una acción o un proceso de recolección y análisis de información relevante que facilite la toma de decisiones. Siendo también la evaluación un proceso generador de cultura evaluativa que implica ejercer una acción crítica, diseñar alternativas de acción y establecer compromisos.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w:t>
      </w:r>
      <w:r>
        <w:rPr>
          <w:rFonts w:cs="Times New Roman" w:ascii="Times New Roman" w:hAnsi="Times New Roman"/>
          <w:bCs/>
          <w:sz w:val="20"/>
          <w:szCs w:val="20"/>
        </w:rPr>
        <w:t xml:space="preserve">n </w:t>
      </w:r>
      <w:r>
        <w:rPr>
          <w:rFonts w:cs="Times New Roman" w:ascii="Times New Roman" w:hAnsi="Times New Roman"/>
          <w:sz w:val="20"/>
          <w:szCs w:val="20"/>
        </w:rPr>
        <w:t>la Facultad de Ingeniería Química (FIQ) de la Universidad Autónoma de Yucatán (UADY) se ofrecen cuatro programas de ingeniería: Ingeniería Química Industrial (IQI), Ingeniería Industrial Logística (IIL), Ingeniería en Biotecnología (IB), Ingeniería en Alimentos (IA) con acreditación vigente ante el Consejo de Acreditación para la Enseñanza de la Ingeniería (CACEI).</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Además, se imparte la Licenciatura Institucional en Química Aplicada (LIQA) compartida con la Facultad de Química (FQ), con acreditación vigente por el Consejo Nacional para la Evaluación de Programas de Ciencias Químicas (CONAECQ).</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Se debe mencionar que </w:t>
      </w:r>
      <w:r>
        <w:rPr>
          <w:rFonts w:cs="Times New Roman" w:ascii="Times New Roman" w:hAnsi="Times New Roman"/>
          <w:sz w:val="20"/>
          <w:szCs w:val="20"/>
        </w:rPr>
        <w:t>desde el 2017 se organizaron todas las asignaturas de las tres áreas de ciencias básicas: matemáticas, física y química, que se imparten en los primeros dos años de cada uno de los programas de estudios, en un respectivo Tronco Común (TC) de ciencias básicas.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Esto permite que, en cada curso del TC puedan inscribirse alumnos de las cuatro carreras de ingeniería, favoreciendo la integración interna de los estudiantes y el desarrollo de habilidades sociales entre los estudiantes de los diferentes programas.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el Modelo Educativo para la Formación Integral (UADY, 2021), se menciona que el desempeño académico de los estudiantes se valora con base al dominio en el desarrollo de las competencias y tienen una representación cuantitativa y cualitativa: No Acreditado (NA) para calificaciones menores que 70, Suficiente (S) para calificaciones entre 70 y 79; Satisfactorio (SA) para calificaciones entre 80 y 89 y Sobresaliente (SS) para calificaciones entre 99 y 100.</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Este trabajo se enfoca en el curso de Cálculo Integral TC, que se imparte en segundo semestre de cada una las cuatro carreras de ingeniería. Es un curso obligatorio y se sugiere haber aprobado el curso de Cálculo Diferencial TC impartido en primer semestre.</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mencionar que estas asignaturas no tienen seriación administrativa, esto es para contribuir a la flexibilidad curricular de los programas de estudio. Por esta razón es frecuente que, algunos estudiantes se inscriban al curso de cálculo integral sin haber aprobado o siquiera concluido el curso de cálculo diferencial.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formación flexible se incorpora como política educativa nacional en México, como parte de las recomendaciones de la Organización para la Cooperación y el Desarrollo Económico (OCDE) para las Instituciones de Educación Superior.</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Desde el inicio de la asignatura se les presenta a los estudiantes la propuesta de organización del curso, los recursos disponibles para el curso, horarios de asesoría presencial y el sistema de evaluación; también incluye fechas de finalización de actividades y presentación de trabajos y fechas de evaluaciones. La información se encuentra también en un documento descargable.</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desempeño académico es</w:t>
      </w:r>
      <w:r>
        <w:rPr>
          <w:rFonts w:cs="Times New Roman" w:ascii="Times New Roman" w:hAnsi="Times New Roman"/>
          <w:sz w:val="20"/>
          <w:szCs w:val="20"/>
          <w:lang w:val="es"/>
        </w:rPr>
        <w:t xml:space="preserve"> la calificación final, en este caso corresponde al promedio de las tres calificaciones parciales que corresponden a cada una de las tres unidades del curso mencionado.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Cada una de esas calificaciones parciales se conforman de</w:t>
      </w:r>
      <w:r>
        <w:rPr>
          <w:rFonts w:cs="Times New Roman" w:ascii="Times New Roman" w:hAnsi="Times New Roman"/>
          <w:sz w:val="20"/>
          <w:szCs w:val="20"/>
          <w:lang w:val="es"/>
        </w:rPr>
        <w:t xml:space="preserve"> una carpeta de evidencias de aprendizaje (30%) y una actividad de evaluación (70%). Se trata de la evaluación formativa y la evaluación sumativa respectivamente.</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objetivo principal de este trabajo se divide en dos partes, en la primera parte se presenta un análisis del desempeño académico de los estudiantes en el curso de Cálculo Integral TC durante los últimos cuatro períodos académicos consecutivos, corresponde desde enero de 2020 hasta mayo de 2023. Para observar la tendencia durante y después de la pandemia y el contexto de aprendizaje de los estudiantes.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Como se menciona en la International Association of Universities (Marinoni, Van’t Land &amp; Jensen, 2020), como parte de una encuesta internacional se encontró que el COVID-19 afectó la modalidad en la enseñanza y el aprendizaje, pues se implementa la educación virtual para sustituir la educación presencial. Lo anterior, además de representar retos tecnológicos y pedagógicos, genera la oportunidad para innovar en las estrategias de enseñanza y aprendizaje, diseñar nuevas, más flexibles y adecuadas al contexto de los estudiantes o al programa de estudio.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la segunda parte se presenta una estrategia de aprendizaje aplicada para mejorar el desempeño académico de los alumnos en el curso de Cálculo Integral TC en el período académico de enero a mayo de 2024 con base en la información obtenida mediante una encuesta de opinión de los estudiantes inscritos en dicho curso.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Finalmente se incluye una prueba estadística del desempeño académico de las ambas evaluaciones, para indagar si la nueva estrategia ayuda en la mejoría del desempeño académico en el curso mencionado y puede considerarse pertinente o no la estrategia aplicada.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Las preguntas de investigación son ¿Se encuentran diferencias significativas en el desempeño académico de los estudiantes en cálculo integral durante los cuatro períodos académicos precedentes al 2024? ¿Es pertinente la estrategia aplicada con base en las opiniones estudiantiles?</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bCs/>
          <w:sz w:val="20"/>
          <w:szCs w:val="20"/>
          <w:lang w:val="es"/>
        </w:rPr>
        <w:t xml:space="preserve">II. </w:t>
      </w:r>
      <w:r>
        <w:rPr>
          <w:rFonts w:cs="Times New Roman" w:ascii="Times New Roman" w:hAnsi="Times New Roman"/>
          <w:b/>
          <w:bCs/>
          <w:sz w:val="20"/>
          <w:szCs w:val="20"/>
          <w:lang w:val="es"/>
        </w:rPr>
        <w:t>MARCO TEÓRICO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Amaya y Prado (2003) mencionan que una de las causas fundamentales del rendimiento académico insatisfactorio es la falta de estrategias de aprendizaje adecuadas para realizar el estudio. Se apuesta por un enfoque constructivista, que considera el planteamiento de metas, el aprendizaje activo y la autonomía como algunos fundamentos del éxito académico.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La Educación Centrada en el Aprendizaje (ECA), es uno de los ejes principales del modelo educativo vigente en UADY, tiene principal evidencia en las estrategias de enseñanza, aprendizaje y evaluación. Se considera un proceso continuo de adaptación todas las decisiones para determinar las estrategias y las condiciones de aprendizaje, las cuales se pueden tomar antes de la instrucción, durante la enseñanza o después de ella; se enfatiza también el desempeño del profesor, entre los factores que favorecen la ECA, con relación a facilitar el éxito de los estudiantes (UADY, 2021).</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considera importante que los criterios y estrategias de evaluación estén directamente relacionadas al proceso de enseñanza y aprendizaje. También es esencial brindar retroalimentación continua y pertinente a las actividades y evaluaciones que permitan generar observaciones y sugerencias de mejora.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Durante el período de pandemia de COVID-19, en el ambiente de los primeros dos años de las carreras se observaron en los estudiantes miedo en la pérdida de salud de sus familiares, incertidumbre pues se presenta un cambio abrupto en la modalidad de los estudios debido a que en forma natural se tenía que priorizar la salud en todo el país.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Barcelata (2015) se analizan aspectos teóricos y metodológicos con una visión integral del desarrollo adolescente, por lo que se informa sobre los riesgos y factores asociados a distintas adversidades y estresores de riesgo que representan un riesgo para los estudiantes de primeros semestres.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considerar</w:t>
      </w:r>
      <w:r>
        <w:rPr>
          <w:rFonts w:cs="Times New Roman" w:ascii="Times New Roman" w:hAnsi="Times New Roman"/>
          <w:sz w:val="20"/>
          <w:szCs w:val="20"/>
          <w:lang w:val="es"/>
        </w:rPr>
        <w:t xml:space="preserve"> que los estudiantes que actualmente cursan el primer año de la universidad en general realizaron su formación de bachillerato en línea y en un contexto de pandemia de COVID-19 y </w:t>
      </w:r>
      <w:r>
        <w:rPr>
          <w:rFonts w:cs="Times New Roman" w:ascii="Times New Roman" w:hAnsi="Times New Roman"/>
          <w:sz w:val="20"/>
          <w:szCs w:val="20"/>
        </w:rPr>
        <w:t xml:space="preserve">en muchas familias mexicanas </w:t>
      </w:r>
      <w:r>
        <w:rPr>
          <w:rFonts w:cs="Times New Roman" w:ascii="Times New Roman" w:hAnsi="Times New Roman"/>
          <w:sz w:val="20"/>
          <w:szCs w:val="20"/>
          <w:lang w:val="es"/>
        </w:rPr>
        <w:t xml:space="preserve">se presentaron cambios </w:t>
      </w:r>
      <w:r>
        <w:rPr>
          <w:rFonts w:cs="Times New Roman" w:ascii="Times New Roman" w:hAnsi="Times New Roman"/>
          <w:sz w:val="20"/>
          <w:szCs w:val="20"/>
        </w:rPr>
        <w:t>en términos sociales, económicos, emocionales y de salud en general.</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señala en Mora y Oliveira (2022), la acentuación o superación de las desigualdades sociales entre jóvenes mexicanos en el presente siglo. A partir de investigación cualitativa se analizan los recursos y las dinámicas que usan para que, en algunos casos logran abrirse camino y sobrellevar sus situaciones económicas y sociales adversas.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 aquí, la importancia de</w:t>
      </w:r>
      <w:r>
        <w:rPr>
          <w:rFonts w:cs="Times New Roman" w:ascii="Times New Roman" w:hAnsi="Times New Roman"/>
          <w:sz w:val="20"/>
          <w:szCs w:val="20"/>
          <w:lang w:val="es"/>
        </w:rPr>
        <w:t xml:space="preserve"> conocer desde la perspectiva estudiantil, los cambios en las dinámicas de enseñanza y aprendizaje, cambios conductuales y sociales que permitan comprender las características actuales de los estudiantes de nivel superior que puedan influir en su desempeño académico.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En </w:t>
      </w:r>
      <w:r>
        <w:rPr>
          <w:rFonts w:cs="Times New Roman" w:ascii="Times New Roman" w:hAnsi="Times New Roman"/>
          <w:sz w:val="20"/>
          <w:szCs w:val="20"/>
        </w:rPr>
        <w:t>Moreno (2010) se menciona que la evaluación debe ser formativa y motivadora para que pueda ser empleada como instrumento constructivo para la mejora e innovación. También se argumenta la importancia de poner la evaluación al servicio del estudiantado y por lo tanto pueda ayudar en su aprendizaje, además de que los evaluados identifiquen y reconozcan las fortalezas de su aprendizaje y lo que aún les falta por lograr.</w:t>
      </w:r>
    </w:p>
    <w:p>
      <w:pPr>
        <w:pStyle w:val="Normal"/>
        <w:spacing w:lineRule="auto" w:line="240" w:before="0" w:after="0"/>
        <w:ind w:left="0" w:right="0" w:hanging="0"/>
        <w:jc w:val="both"/>
        <w:rPr>
          <w:rFonts w:ascii="Times New Roman" w:hAnsi="Times New Roman" w:cs="Times New Roman"/>
          <w:sz w:val="20"/>
          <w:szCs w:val="20"/>
          <w:lang w:val="es"/>
        </w:rPr>
      </w:pPr>
      <w:r>
        <w:rPr>
          <w:rFonts w:cs="Times New Roman" w:ascii="Times New Roman" w:hAnsi="Times New Roman"/>
          <w:sz w:val="20"/>
          <w:szCs w:val="20"/>
          <w:lang w:val="es"/>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lang w:val="es"/>
        </w:rPr>
        <w:t xml:space="preserve">III. </w:t>
      </w:r>
      <w:r>
        <w:rPr>
          <w:rFonts w:cs="Times New Roman" w:ascii="Times New Roman" w:hAnsi="Times New Roman"/>
          <w:b/>
          <w:sz w:val="20"/>
          <w:szCs w:val="20"/>
          <w:lang w:val="es"/>
        </w:rPr>
        <w:t>METODOLOGÍA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Este trabajo es un estudio observacional y descriptivo. En la primera parte se realiza un análisis de varianza para comparar el desempeño académico en los cuatro períodos académicos que preceden el actual curso de Cálculo Integral TC. Se mantiene sin variación el contenido y la misma instructora en los cursos de cada período académico considerado.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G1: es el primer grupo, se inicia en modalidad presencial y se presenta la pandemia, se considera híbrido y corresponde de enero a julio de 2020. Se conforma de 23 estudiantes inscritos y se obtiene una media de 85.65, con una desviación estándar de 6.</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G2: es el segundo grupo, es totalmente virtual durante la pandemia, corresponde al período de marzo a julio de 2021. Se conforma de 7 estudiantes inscritos y se obtiene una media de 83.71 con una desviación estándar de 17. </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G3: es el tercer grupo se inicia virtual y al regresar a las funciones académicas se finaliza presencialmente, se considera híbrido y corresponde de enero a mayo de 2022. Se conforma de 34 estudiantes inscritos y se obtiene una media de 65.76 con una desviación estándar de 22</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G4: es el cuarto grupo, se imparte totalmente presencial y corresponde de enero a mayo de 2023. Se conforma de 10 estudiantes inscritos y se obtiene una media de 71.5 con una desviación estándar de 18.</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En la segunda parte del presente trabajo se presentan los resultados de una breve encuesta aplicada en forma anónima y voluntaria a los estudiantes inscritos al curso actual del período enero a mayo de 2024. Es importante mencionar que se aplica después de la retroalimentación de la primera actividad de evaluación, que corresponde al primer tercio del contenido de la asignatura.</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La población de estudio es el total de los 42 estudiantes inscritos al curso de Cálculo Integral TC</w:t>
      </w:r>
      <w:r>
        <w:rPr>
          <w:rFonts w:cs="Times New Roman" w:ascii="Times New Roman" w:hAnsi="Times New Roman"/>
          <w:color w:val="000000"/>
          <w:sz w:val="20"/>
          <w:szCs w:val="20"/>
          <w:lang w:val="es"/>
        </w:rPr>
        <w:t xml:space="preserve"> impartido en el período académico de enero a mayo de 2024.</w:t>
      </w:r>
    </w:p>
    <w:p>
      <w:pPr>
        <w:pStyle w:val="Normal"/>
        <w:spacing w:lineRule="auto" w:line="240" w:before="0" w:after="0"/>
        <w:ind w:left="0" w:right="0" w:hanging="0"/>
        <w:jc w:val="both"/>
        <w:rPr>
          <w:rFonts w:cs="Times New Roman"/>
          <w:color w:val="000000"/>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lang w:val="es"/>
        </w:rPr>
        <w:t>Dicho curso es de tipo obligatorio, modalidad mixta con ubicación en el segundo semestre. Se le asignan en total 80 horas presenciales y 32 horas no presenciales, por lo que corresponde a cinco horas a la semana.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lang w:val="es"/>
        </w:rPr>
        <w:t>La muestra quedó conformada por la población completa esto es, son los 42 jóvenes, de los cuales 15 (36%) son mujeres y 27 (64%) son hombres, de entre 18 y 20 años.</w:t>
      </w:r>
    </w:p>
    <w:p>
      <w:pPr>
        <w:pStyle w:val="Normal"/>
        <w:spacing w:lineRule="auto" w:line="240" w:before="0" w:after="0"/>
        <w:ind w:left="0" w:right="0" w:hanging="0"/>
        <w:jc w:val="both"/>
        <w:rPr>
          <w:rFonts w:cs="Times New Roman"/>
          <w:color w:val="000000"/>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lang w:val="es"/>
        </w:rPr>
        <w:t>Se presenta la encuesta aplicada a los estudiantes inscritos al curso:</w:t>
      </w:r>
    </w:p>
    <w:p>
      <w:pPr>
        <w:pStyle w:val="Normal"/>
        <w:spacing w:lineRule="auto" w:line="240" w:before="0" w:after="0"/>
        <w:ind w:left="0" w:right="0" w:hanging="0"/>
        <w:jc w:val="both"/>
        <w:rPr>
          <w:rFonts w:cs="Times New Roman"/>
          <w:color w:val="000000"/>
          <w:lang w:val="e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i/>
          <w:iCs/>
          <w:sz w:val="20"/>
          <w:szCs w:val="20"/>
          <w:lang w:val="es"/>
        </w:rPr>
        <w:t>Encuesta para el curso de Cálculo Integral TC</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El objetivo de esta encuesta es diseñar una estrategia de enseñanza y aprendizaje que permita lograr mejorar el desempeño académico en este curso. Contesta con sinceridad, en forma anónima.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Selecciona una o varias opciones, según tu opinión o sentir.</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Mi desempeño académico está afectado por:</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recursos económicos</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tranquilidad familiar</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bases académicas en la preparatoria.</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Con respecto a mi ánimo o actitud para estudiar:</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organización personal</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Porque trabajo en horario de clases</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No tengo ánimo para estudiar</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Enfrento alguna enfermedad</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Otra razón o razones, explicar con claridad.</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Finalmente se realiza una prueba de t de Student para probar si el desempeño académico en la segunda actividad de evaluación se puede considerar con mejoría, considerando los 42 datos pareados. Estos pares consisten en las calificaciones de cada estudiante en la primera actividad de evaluación y en la segunda,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lang w:val="es"/>
        </w:rPr>
        <w:t xml:space="preserve">IV. </w:t>
      </w:r>
      <w:r>
        <w:rPr>
          <w:rFonts w:cs="Times New Roman" w:ascii="Times New Roman" w:hAnsi="Times New Roman"/>
          <w:b/>
          <w:sz w:val="20"/>
          <w:szCs w:val="20"/>
          <w:lang w:val="es"/>
        </w:rPr>
        <w:t>RESULTADOS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Las pruebas estadísticas se realizaron con el software Statgraphics versión 19. En la primera parte de esta sección, se presenta en la Tabla 1 el resultado del análisis de varianza, usando las evaluaciones de todos los estudiantes inscritos a cada uno de los cuatro grupos, clasificados según el período académico y con la modalidad que corresponde a las</w:t>
      </w:r>
      <w:r>
        <w:rPr>
          <w:rFonts w:cs="Times New Roman" w:ascii="Times New Roman" w:hAnsi="Times New Roman"/>
          <w:sz w:val="20"/>
          <w:szCs w:val="20"/>
          <w:lang w:val="es"/>
        </w:rPr>
        <w:t xml:space="preserve"> diferentes circunstancias debido a la pandemia. El objetivo es comparar el desempeño académico en Cálculo Integral TC de los cuatro grupos.</w:t>
      </w:r>
    </w:p>
    <w:p>
      <w:pPr>
        <w:sectPr>
          <w:type w:val="continuous"/>
          <w:pgSz w:w="12240" w:h="15840"/>
          <w:pgMar w:left="1417" w:right="1417" w:header="1417" w:top="2044" w:footer="1417" w:bottom="2109" w:gutter="0"/>
          <w:cols w:num="2" w:space="282" w:equalWidth="true" w:sep="false"/>
          <w:formProt w:val="false"/>
          <w:textDirection w:val="lrTb"/>
          <w:docGrid w:type="default" w:linePitch="360" w:charSpace="4096"/>
        </w:sectPr>
      </w:pP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ascii="Times New Roman" w:hAnsi="Times New Roman"/>
          <w:b/>
          <w:bCs/>
          <w:sz w:val="20"/>
          <w:szCs w:val="20"/>
        </w:rPr>
        <w:t>Tabla 1. Análisis de varianza (ANOVA). Fuente: Elaboración propia.</w:t>
      </w:r>
    </w:p>
    <w:tbl>
      <w:tblPr>
        <w:tblStyle w:val="Tablaconcuadrcula"/>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96"/>
        <w:gridCol w:w="1482"/>
        <w:gridCol w:w="1510"/>
        <w:gridCol w:w="1438"/>
        <w:gridCol w:w="1280"/>
        <w:gridCol w:w="1943"/>
      </w:tblGrid>
      <w:tr>
        <w:trPr>
          <w:trHeight w:val="395" w:hRule="atLeast"/>
        </w:trPr>
        <w:tc>
          <w:tcPr>
            <w:tcW w:w="1696"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Fuentes de variación</w:t>
            </w:r>
          </w:p>
        </w:tc>
        <w:tc>
          <w:tcPr>
            <w:tcW w:w="7653" w:type="dxa"/>
            <w:gridSpan w:val="5"/>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Desempeño académico en Cálculo Integral TC</w:t>
            </w:r>
          </w:p>
        </w:tc>
      </w:tr>
      <w:tr>
        <w:trPr>
          <w:trHeight w:val="395" w:hRule="atLeast"/>
        </w:trPr>
        <w:tc>
          <w:tcPr>
            <w:tcW w:w="1696" w:type="dxa"/>
            <w:vMerge w:val="continue"/>
            <w:tcBorders/>
            <w:vAlign w:val="center"/>
          </w:tcPr>
          <w:p>
            <w:pPr>
              <w:pStyle w:val="Normal"/>
              <w:widowControl/>
              <w:spacing w:lineRule="auto" w:line="240" w:before="0" w:after="0"/>
              <w:ind w:left="0" w:right="0" w:hanging="0"/>
              <w:jc w:val="both"/>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r>
          </w:p>
        </w:tc>
        <w:tc>
          <w:tcPr>
            <w:tcW w:w="1482" w:type="dxa"/>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SC</w:t>
            </w:r>
          </w:p>
        </w:tc>
        <w:tc>
          <w:tcPr>
            <w:tcW w:w="1510" w:type="dxa"/>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GL</w:t>
            </w:r>
          </w:p>
        </w:tc>
        <w:tc>
          <w:tcPr>
            <w:tcW w:w="1438" w:type="dxa"/>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CM</w:t>
            </w:r>
          </w:p>
        </w:tc>
        <w:tc>
          <w:tcPr>
            <w:tcW w:w="1280"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Razón F</w:t>
            </w:r>
          </w:p>
        </w:tc>
        <w:tc>
          <w:tcPr>
            <w:tcW w:w="1943"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P-valor</w:t>
            </w:r>
          </w:p>
        </w:tc>
      </w:tr>
      <w:tr>
        <w:trPr>
          <w:trHeight w:val="393" w:hRule="atLeast"/>
        </w:trPr>
        <w:tc>
          <w:tcPr>
            <w:tcW w:w="1696"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Entre grupos</w:t>
            </w:r>
          </w:p>
        </w:tc>
        <w:tc>
          <w:tcPr>
            <w:tcW w:w="1482"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6138.75</w:t>
            </w:r>
          </w:p>
        </w:tc>
        <w:tc>
          <w:tcPr>
            <w:tcW w:w="151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3</w:t>
            </w:r>
          </w:p>
        </w:tc>
        <w:tc>
          <w:tcPr>
            <w:tcW w:w="143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2046.25</w:t>
            </w:r>
          </w:p>
        </w:tc>
        <w:tc>
          <w:tcPr>
            <w:tcW w:w="128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6.76</w:t>
            </w:r>
          </w:p>
        </w:tc>
        <w:tc>
          <w:tcPr>
            <w:tcW w:w="194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0.0005</w:t>
            </w:r>
          </w:p>
        </w:tc>
      </w:tr>
      <w:tr>
        <w:trPr>
          <w:trHeight w:val="393" w:hRule="atLeast"/>
        </w:trPr>
        <w:tc>
          <w:tcPr>
            <w:tcW w:w="1696"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Intra grupos</w:t>
            </w:r>
          </w:p>
        </w:tc>
        <w:tc>
          <w:tcPr>
            <w:tcW w:w="1482"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21181.3</w:t>
            </w:r>
          </w:p>
        </w:tc>
        <w:tc>
          <w:tcPr>
            <w:tcW w:w="151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70</w:t>
            </w:r>
          </w:p>
        </w:tc>
        <w:tc>
          <w:tcPr>
            <w:tcW w:w="143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302.59</w:t>
            </w:r>
          </w:p>
        </w:tc>
        <w:tc>
          <w:tcPr>
            <w:tcW w:w="128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94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r>
      <w:tr>
        <w:trPr>
          <w:trHeight w:val="393" w:hRule="atLeast"/>
        </w:trPr>
        <w:tc>
          <w:tcPr>
            <w:tcW w:w="1696" w:type="dxa"/>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Total</w:t>
            </w:r>
          </w:p>
        </w:tc>
        <w:tc>
          <w:tcPr>
            <w:tcW w:w="1482"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27320.0</w:t>
            </w:r>
          </w:p>
        </w:tc>
        <w:tc>
          <w:tcPr>
            <w:tcW w:w="151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73</w:t>
            </w:r>
          </w:p>
        </w:tc>
        <w:tc>
          <w:tcPr>
            <w:tcW w:w="143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280"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94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r>
    </w:tbl>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2044" w:footer="1417" w:bottom="2109"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Debido a que el P-valor es 0.0005, muy por debajo del 0.05 de nivel de significancia entonces sí hay diferencias significativas en el desempeño académico de los estudiantes en cálculo integral durante los cuatro períodos considerados. Este resultado responde una de las preguntas de investigación en este trabajo.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enfatizar que los cambios realizados en las modalidades al impartir la asignatura debido a las consecuencias de la pandemia, sí afectó el desempeño académico.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 base en este resultado, se realiza también una prueba de Diferencia Significativa Mínima (DSM) y se obtiene que G1 vs G2 no tienen diferencia significativa y tampoco G3 vs G4.</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Aunque se alcanzaron medias mayores en el desempeño académico durante la pandemia, se mencionaron antes para los grupos G1 y G2, que en cursos en modalidad presencial. La realidad es que no se logra realizar un adecuado seguimiento al aprendizaje de cada uno de los estudiantes, de aquí que se reciben solicitudes de evaluación en línea, aunque el curso se imparta en modalidad presencial.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los grupos G3 y G4, correspondientes a modalidad presencial se observan no sólo medias de desempeño grupal más bajas, también se tienen las desviaciones estándares más altas, lo cual muestra mayor desigualdad académica de los estudiantes en los cursos presenciales, En Campos (2022) se analizan los efectos negativos en las desigualdades en diferentes aspectos, incluidas las habilidades cognitivas que se presentan en la sociedad mexicana y, en particular para las desigualdades en el aprendizaje escolar se reportan desigualdades muy grandes.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sugiere garantizar condiciones y estrategias que se enfoquen en evitar el rezago y el abandono de los estudios. Este riesgo se observa más aún en el actual período de postpandemia.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Las desigualdades en la educación inician desde la educación básica y con frecuencia es un impacto de la desigualdad económica, en el acceso y la permanencia en las escuelas. Las diferencias según las regiones del país, con respecto a la infraestructura educativa son muy grandes. Actualmente la UADY se tienen estudiantes de diferentes estados y se presentan algunos casos de soledad, adaptación a nuevos ambientes además del esfuerzo de lograr sus metas académicas.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En la Tabla 2 se resumen las opiniones de los estudiantes, obtenidas a través de la encuesta y que debido a que provienen de la percepción estudiantil son de gran valor para el diseño de una estrategia de enseñanza y aprendizaje que resulte efectiva para mejorar en la calidad del aprendizaje en el curso. </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ascii="Times New Roman" w:hAnsi="Times New Roman"/>
          <w:b/>
          <w:bCs/>
          <w:sz w:val="20"/>
          <w:szCs w:val="20"/>
        </w:rPr>
        <w:t>Tabla 2. Resultados de la encuesta. Fuente: Elaboración propia.</w:t>
      </w:r>
    </w:p>
    <w:tbl>
      <w:tblPr>
        <w:tblStyle w:val="Tablaconcuadrcula"/>
        <w:tblW w:w="45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31"/>
        <w:gridCol w:w="1303"/>
      </w:tblGrid>
      <w:tr>
        <w:trPr>
          <w:trHeight w:val="395" w:hRule="atLeast"/>
        </w:trPr>
        <w:tc>
          <w:tcPr>
            <w:tcW w:w="3231" w:type="dxa"/>
            <w:tcBorders/>
            <w:vAlign w:val="center"/>
          </w:tcPr>
          <w:p>
            <w:pPr>
              <w:pStyle w:val="ListParagraph"/>
              <w:widowControl/>
              <w:numPr>
                <w:ilvl w:val="0"/>
                <w:numId w:val="4"/>
              </w:numPr>
              <w:spacing w:lineRule="auto" w:line="240" w:before="0" w:after="0"/>
              <w:ind w:left="0" w:right="0"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s" w:eastAsia="en-US" w:bidi="ar-SA"/>
              </w:rPr>
              <w:t>Mi desempeño académico está afectado por:</w:t>
            </w:r>
          </w:p>
        </w:tc>
        <w:tc>
          <w:tcPr>
            <w:tcW w:w="1303" w:type="dxa"/>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Número de estudiantes</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Falta de recursos económicos</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6</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Falta de tranquilidad familiar</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11</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Falta de bases académicas en la preparatoria.</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22</w:t>
            </w:r>
          </w:p>
        </w:tc>
      </w:tr>
      <w:tr>
        <w:trPr>
          <w:trHeight w:val="393" w:hRule="atLeast"/>
        </w:trPr>
        <w:tc>
          <w:tcPr>
            <w:tcW w:w="3231" w:type="dxa"/>
            <w:tcBorders/>
            <w:vAlign w:val="center"/>
          </w:tcPr>
          <w:p>
            <w:pPr>
              <w:pStyle w:val="ListParagraph"/>
              <w:widowControl/>
              <w:numPr>
                <w:ilvl w:val="0"/>
                <w:numId w:val="4"/>
              </w:numPr>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Con respecto a mi ánimo o actitud para estudiar:</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Número de estudiantes</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Falta de organización personal</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19</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Porque trabajo en horario de clases</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6</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No tengo ánimo para estudiar</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25</w:t>
            </w:r>
          </w:p>
        </w:tc>
      </w:tr>
      <w:tr>
        <w:trPr>
          <w:trHeight w:val="393" w:hRule="atLeast"/>
        </w:trPr>
        <w:tc>
          <w:tcPr>
            <w:tcW w:w="3231" w:type="dxa"/>
            <w:tcBorders/>
            <w:vAlign w:val="center"/>
          </w:tcPr>
          <w:p>
            <w:pPr>
              <w:pStyle w:val="ListParagraph"/>
              <w:widowControl/>
              <w:spacing w:lineRule="auto" w:line="240" w:before="0" w:after="0"/>
              <w:ind w:left="0" w:right="0" w:hanging="0"/>
              <w:jc w:val="both"/>
              <w:rPr>
                <w:rFonts w:ascii="Times New Roman" w:hAnsi="Times New Roman" w:eastAsia="Calibri" w:cs="Times New Roman"/>
                <w:kern w:val="0"/>
                <w:sz w:val="20"/>
                <w:szCs w:val="20"/>
                <w:lang w:val="es" w:eastAsia="en-US" w:bidi="ar-SA"/>
              </w:rPr>
            </w:pPr>
            <w:r>
              <w:rPr>
                <w:rFonts w:eastAsia="Calibri" w:cs="Times New Roman" w:ascii="Times New Roman" w:hAnsi="Times New Roman"/>
                <w:kern w:val="0"/>
                <w:sz w:val="20"/>
                <w:szCs w:val="20"/>
                <w:lang w:val="es" w:eastAsia="en-US" w:bidi="ar-SA"/>
              </w:rPr>
              <w:t>Enfrento alguna enfermedad</w:t>
            </w:r>
          </w:p>
        </w:tc>
        <w:tc>
          <w:tcPr>
            <w:tcW w:w="1303"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r>
    </w:tbl>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Se observa un número de estudiantes muy alto en falta de ánimo para estudiar, seguido de falta de bases académicas previas y falta de organización personal. Con respecto a la pregunta abierta, en la cual se solicita </w:t>
      </w:r>
      <w:r>
        <w:rPr>
          <w:rFonts w:cs="Times New Roman" w:ascii="Times New Roman" w:hAnsi="Times New Roman"/>
          <w:sz w:val="20"/>
          <w:szCs w:val="20"/>
          <w:lang w:val="es"/>
        </w:rPr>
        <w:t>otra razón o razones, explicar con claridad que afectan en su propio desempeño académico. Se comparten a continuación el total de opiniones estudiantiles</w:t>
      </w:r>
      <w:r>
        <w:rPr>
          <w:rFonts w:cs="Times New Roman" w:ascii="Times New Roman" w:hAnsi="Times New Roman"/>
          <w:sz w:val="20"/>
          <w:szCs w:val="20"/>
        </w:rPr>
        <w:t xml:space="preserve"> en forma textual: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Problemas nerviosos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Deficiencia en concentración (7)</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apoyo familiar</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Mantenerme en mi deporte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Semestre muy cargado (2)</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tiempo en general (9)</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Mi fortaleza es la música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Mal manejo del estrés y presiones (5)</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Estudié en prepa abierta, clases en línea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No estudié álgebra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Duermo mucho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Duermo mal, falta horas de sueño.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Costumbre de horarios vespertinos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Exceso de confianza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Tiempo en Clash Royale (2)</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Condiciones de excesivo calor en el aula (4)</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confianza (4)</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No darle prioridad merecida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Falta de cuidado en los procesos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Usar mucho tiempo en el transporte y cansancio (3)</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lang w:val="es"/>
        </w:rPr>
        <w:t>Curso va muy rápido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Examen difícil</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Estar lejos de la familia, mucha soledad</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Perder tiempo en las redes sociales</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En Amaya y Prado (2003) se mencionan diversos tipos de estrategias constructivistas, las cuales se definen como actividades de carácter intencional que se emplean para facilitar la adquisición de conocimientos. La estrategia implementada en el curso tiene un enfoque de Personalización de Estrategia Cognitiva (PEC), que consiste en enseñar de manera conjunta y directa las capacidades cognitivas del pensamiento y los contenidos del currículo. Se busca la utilidad de lo que se enseña, practica la autorregulación tanto individual como grupal y busca la adquisición de la estrategia en forma permanente y significativa.</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Con base en las opiniones de los alumnos, se diseña y se implementa una estrategia de enseñanza y aprendizaje PEC con las siguientes acciones en el aula: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Se aumenta el número de aplicaciones, en cada tema.</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Para favorecer la motivación y el buen ánimo en los estudios.</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Se realizan los ejercicios pares de cada tema, de esta forma se realiza más práctica.</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Para reforzar los conocimientos previos y el cómo se realizan las prácticas.</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Se efectúan actividades cortas presenciales, con co-evaluación en el aula.</w:t>
      </w:r>
    </w:p>
    <w:p>
      <w:pPr>
        <w:pStyle w:val="ListParagraph"/>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Favorece la concentración y el aprendizaje activo de los alumnos.</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Para finalizar este apartado, se presenta en la Tabla 3, los resultados de la prueba t de Student usando las calificaciones obtenidas en la primera y en la segunda evaluación de los 42 estudiantes inscritos, considerando como muestras dependientes o pareadas.</w:t>
      </w:r>
    </w:p>
    <w:p>
      <w:pPr>
        <w:pStyle w:val="Normal"/>
        <w:spacing w:lineRule="auto" w:line="240" w:before="0" w:after="0"/>
        <w:ind w:left="0" w:right="0" w:hanging="0"/>
        <w:jc w:val="both"/>
        <w:rPr>
          <w:rFonts w:ascii="Times New Roman" w:hAnsi="Times New Roman" w:cs="Times New Roman"/>
          <w:sz w:val="20"/>
          <w:szCs w:val="20"/>
          <w:lang w:val="es"/>
        </w:rPr>
      </w:pPr>
      <w:r>
        <w:rPr>
          <w:rFonts w:cs="Times New Roman" w:ascii="Times New Roman" w:hAnsi="Times New Roman"/>
          <w:sz w:val="20"/>
          <w:szCs w:val="20"/>
          <w:lang w:val="es"/>
        </w:rPr>
      </w:r>
    </w:p>
    <w:p>
      <w:pPr>
        <w:pStyle w:val="Normal"/>
        <w:spacing w:lineRule="auto" w:line="240" w:before="0" w:after="0"/>
        <w:ind w:left="0" w:right="0" w:hanging="0"/>
        <w:jc w:val="center"/>
        <w:rPr>
          <w:rFonts w:ascii="Times New Roman" w:hAnsi="Times New Roman"/>
          <w:b/>
          <w:b/>
          <w:bCs/>
          <w:sz w:val="20"/>
          <w:szCs w:val="20"/>
        </w:rPr>
      </w:pPr>
      <w:r>
        <w:rPr>
          <w:rFonts w:cs="Times New Roman" w:ascii="Times New Roman" w:hAnsi="Times New Roman"/>
          <w:b/>
          <w:bCs/>
          <w:sz w:val="20"/>
          <w:szCs w:val="20"/>
        </w:rPr>
        <w:t>Tabla 3. Prueba t de Student para muestras pareadas. Fuente: Elaboración propia.</w:t>
      </w:r>
    </w:p>
    <w:tbl>
      <w:tblPr>
        <w:tblStyle w:val="Tablaconcuadrcula"/>
        <w:tblW w:w="45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5"/>
      </w:tblGrid>
      <w:tr>
        <w:trPr>
          <w:trHeight w:val="395" w:hRule="atLeast"/>
        </w:trPr>
        <w:tc>
          <w:tcPr>
            <w:tcW w:w="4535"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Desempeño académico en Cálculo Integral TC 2024</w:t>
            </w:r>
          </w:p>
        </w:tc>
      </w:tr>
      <w:tr>
        <w:trPr>
          <w:trHeight w:val="395" w:hRule="atLeast"/>
        </w:trPr>
        <w:tc>
          <w:tcPr>
            <w:tcW w:w="4535" w:type="dxa"/>
            <w:tcBorders/>
            <w:vAlign w:val="center"/>
          </w:tcPr>
          <w:p>
            <w:pPr>
              <w:pStyle w:val="Normal"/>
              <w:widowControl/>
              <w:spacing w:lineRule="auto" w:line="240" w:before="0" w:after="0"/>
              <w:ind w:left="0" w:right="0" w:hanging="0"/>
              <w:jc w:val="center"/>
              <w:rPr>
                <w:rFonts w:ascii="Times New Roman" w:hAnsi="Times New Roman" w:eastAsia="Calibri"/>
                <w:kern w:val="0"/>
                <w:sz w:val="20"/>
                <w:szCs w:val="20"/>
                <w:lang w:val="es-MX" w:eastAsia="en-US" w:bidi="ar-SA"/>
              </w:rPr>
            </w:pPr>
            <w:r>
              <w:rPr>
                <w:rFonts w:eastAsia="Calibri" w:ascii="Times New Roman" w:hAnsi="Times New Roman"/>
                <w:kern w:val="0"/>
                <w:sz w:val="20"/>
                <w:szCs w:val="20"/>
                <w:lang w:val="es-MX" w:eastAsia="en-US" w:bidi="ar-SA"/>
              </w:rPr>
            </w:r>
            <m:oMathPara xmlns:m="http://schemas.openxmlformats.org/officeDocument/2006/math">
              <m:oMathParaPr>
                <m:jc m:val="center"/>
              </m:oMathParaPr>
              <m:oMath>
                <m:sSub>
                  <m:e>
                    <m:r>
                      <w:rPr>
                        <w:rFonts w:ascii="Cambria Math" w:hAnsi="Cambria Math"/>
                      </w:rPr>
                      <m:t xml:space="preserve">H</m:t>
                    </m:r>
                  </m:e>
                  <m:sub>
                    <m:r>
                      <w:rPr>
                        <w:rFonts w:ascii="Cambria Math" w:hAnsi="Cambria Math"/>
                      </w:rPr>
                      <m:t xml:space="preserve">o</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2</m:t>
                    </m:r>
                  </m:sub>
                </m:sSub>
                <m:r>
                  <w:rPr>
                    <w:rFonts w:ascii="Cambria Math" w:hAnsi="Cambria Math"/>
                  </w:rPr>
                  <m:t xml:space="preserve">vs</m:t>
                </m:r>
                <m:sSub>
                  <m:e>
                    <m:r>
                      <w:rPr>
                        <w:rFonts w:ascii="Cambria Math" w:hAnsi="Cambria Math"/>
                      </w:rPr>
                      <m:t xml:space="preserve">H</m:t>
                    </m:r>
                  </m:e>
                  <m:sub>
                    <m:r>
                      <w:rPr>
                        <w:rFonts w:ascii="Cambria Math" w:hAnsi="Cambria Math"/>
                      </w:rPr>
                      <m:t xml:space="preserve">o</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1</m:t>
                    </m:r>
                  </m:sub>
                </m:sSub>
                <m:r>
                  <w:rPr>
                    <w:rFonts w:ascii="Cambria Math" w:hAnsi="Cambria Math"/>
                  </w:rPr>
                  <m:t xml:space="preserve">&lt;</m:t>
                </m:r>
                <m:sSub>
                  <m:e>
                    <m:r>
                      <w:rPr>
                        <w:rFonts w:ascii="Cambria Math" w:hAnsi="Cambria Math"/>
                      </w:rPr>
                      <m:t xml:space="preserve">μ</m:t>
                    </m:r>
                  </m:e>
                  <m:sub>
                    <m:r>
                      <w:rPr>
                        <w:rFonts w:ascii="Cambria Math" w:hAnsi="Cambria Math"/>
                      </w:rPr>
                      <m:t xml:space="preserve">2</m:t>
                    </m:r>
                  </m:sub>
                </m:sSub>
              </m:oMath>
            </m:oMathPara>
          </w:p>
        </w:tc>
      </w:tr>
      <w:tr>
        <w:trPr>
          <w:trHeight w:val="393" w:hRule="atLeast"/>
        </w:trPr>
        <w:tc>
          <w:tcPr>
            <w:tcW w:w="4535" w:type="dxa"/>
            <w:tcBorders/>
            <w:vAlign w:val="center"/>
          </w:tcPr>
          <w:p>
            <w:pPr>
              <w:pStyle w:val="Normal"/>
              <w:widowControl/>
              <w:spacing w:lineRule="auto" w:line="240" w:before="0" w:after="0"/>
              <w:ind w:left="0" w:right="0" w:hanging="0"/>
              <w:jc w:val="center"/>
              <w:rPr>
                <w:rFonts w:ascii="Times New Roman" w:hAnsi="Times New Roman" w:eastAsia="Calibri"/>
                <w:kern w:val="0"/>
                <w:sz w:val="20"/>
                <w:szCs w:val="20"/>
                <w:lang w:val="es-MX" w:eastAsia="en-US" w:bidi="ar-SA"/>
              </w:rPr>
            </w:pPr>
            <w:r>
              <w:rPr>
                <w:rFonts w:eastAsia="Calibri" w:cs="Times New Roman" w:ascii="Times New Roman" w:hAnsi="Times New Roman"/>
                <w:kern w:val="0"/>
                <w:sz w:val="20"/>
                <w:szCs w:val="20"/>
                <w:lang w:val="es-MX" w:eastAsia="en-US" w:bidi="ar-SA"/>
              </w:rPr>
              <w:t xml:space="preserve">El valor del estadístico </w:t>
            </w:r>
            <w:r>
              <w:rPr>
                <w:rFonts w:eastAsia="Calibri" w:ascii="Times New Roman" w:hAnsi="Times New Roman"/>
                <w:kern w:val="0"/>
                <w:sz w:val="20"/>
                <w:szCs w:val="20"/>
                <w:lang w:val="es-MX" w:eastAsia="en-US" w:bidi="ar-SA"/>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m:t>
              </m:r>
              <m:r>
                <w:rPr>
                  <w:rFonts w:ascii="Cambria Math" w:hAnsi="Cambria Math"/>
                </w:rPr>
                <m:t xml:space="preserve">3.2169</m:t>
              </m:r>
            </m:oMath>
          </w:p>
        </w:tc>
      </w:tr>
      <w:tr>
        <w:trPr>
          <w:trHeight w:val="393" w:hRule="atLeast"/>
        </w:trPr>
        <w:tc>
          <w:tcPr>
            <w:tcW w:w="4535"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El p-valor es 0.001266</w:t>
            </w:r>
          </w:p>
        </w:tc>
      </w:tr>
      <w:tr>
        <w:trPr>
          <w:trHeight w:val="393" w:hRule="atLeast"/>
        </w:trPr>
        <w:tc>
          <w:tcPr>
            <w:tcW w:w="4535" w:type="dxa"/>
            <w:tcBorders/>
            <w:vAlign w:val="center"/>
          </w:tcPr>
          <w:p>
            <w:pPr>
              <w:pStyle w:val="Normal"/>
              <w:widowControl/>
              <w:spacing w:lineRule="auto" w:line="240" w:before="0" w:after="0"/>
              <w:ind w:left="0" w:right="0" w:hanging="0"/>
              <w:jc w:val="center"/>
              <w:rPr>
                <w:rFonts w:ascii="Times New Roman" w:hAnsi="Times New Roman" w:eastAsia="Calibri"/>
                <w:kern w:val="0"/>
                <w:sz w:val="20"/>
                <w:szCs w:val="20"/>
                <w:lang w:val="es-MX" w:eastAsia="en-US" w:bidi="ar-SA"/>
              </w:rPr>
            </w:pPr>
            <w:r>
              <w:rPr>
                <w:rFonts w:eastAsia="Calibri" w:cs="Times New Roman" w:ascii="Times New Roman" w:hAnsi="Times New Roman"/>
                <w:kern w:val="0"/>
                <w:sz w:val="20"/>
                <w:szCs w:val="20"/>
                <w:lang w:val="es-MX" w:eastAsia="en-US" w:bidi="ar-SA"/>
              </w:rPr>
              <w:t xml:space="preserve">Sí hay diferencia significativa, indicando que es verdad que  </w:t>
            </w:r>
            <w:r>
              <w:rPr>
                <w:rFonts w:eastAsia="Calibri" w:ascii="Times New Roman" w:hAnsi="Times New Roman"/>
                <w:kern w:val="0"/>
                <w:sz w:val="20"/>
                <w:szCs w:val="20"/>
                <w:lang w:val="es-MX" w:eastAsia="en-US" w:bidi="ar-SA"/>
              </w:rPr>
            </w:r>
            <m:oMath xmlns:m="http://schemas.openxmlformats.org/officeDocument/2006/math">
              <m:sSub>
                <m:e>
                  <m:r>
                    <w:rPr>
                      <w:rFonts w:ascii="Cambria Math" w:hAnsi="Cambria Math"/>
                    </w:rPr>
                    <m:t xml:space="preserve">μ</m:t>
                  </m:r>
                </m:e>
                <m:sub>
                  <m:r>
                    <w:rPr>
                      <w:rFonts w:ascii="Cambria Math" w:hAnsi="Cambria Math"/>
                    </w:rPr>
                    <m:t xml:space="preserve">1</m:t>
                  </m:r>
                </m:sub>
              </m:sSub>
              <m:r>
                <w:rPr>
                  <w:rFonts w:ascii="Cambria Math" w:hAnsi="Cambria Math"/>
                </w:rPr>
                <m:t xml:space="preserve">&lt;</m:t>
              </m:r>
              <m:sSub>
                <m:e>
                  <m:r>
                    <w:rPr>
                      <w:rFonts w:ascii="Cambria Math" w:hAnsi="Cambria Math"/>
                    </w:rPr>
                    <m:t xml:space="preserve">μ</m:t>
                  </m:r>
                </m:e>
                <m:sub>
                  <m:r>
                    <w:rPr>
                      <w:rFonts w:ascii="Cambria Math" w:hAnsi="Cambria Math"/>
                    </w:rPr>
                    <m:t xml:space="preserve">2</m:t>
                  </m:r>
                </m:sub>
              </m:sSub>
            </m:oMath>
          </w:p>
        </w:tc>
      </w:tr>
    </w:tbl>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Esta prueba responde en forma afirmativa a la </w:t>
      </w:r>
      <w:r>
        <w:rPr>
          <w:rFonts w:cs="Times New Roman" w:ascii="Times New Roman" w:hAnsi="Times New Roman"/>
          <w:sz w:val="20"/>
          <w:szCs w:val="20"/>
        </w:rPr>
        <w:t>pregunta de investigación ¿Es pertinente la estrategia con las opiniones estudiantiles?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Por lo tanto, después de implementar la estrategia de enseñanza y aprendizaje con el </w:t>
      </w:r>
      <w:r>
        <w:rPr>
          <w:rFonts w:cs="Times New Roman" w:ascii="Times New Roman" w:hAnsi="Times New Roman"/>
          <w:sz w:val="20"/>
          <w:szCs w:val="20"/>
          <w:lang w:val="es"/>
        </w:rPr>
        <w:t>enfoque PEC, se puede considerar que sí causa mejoría en el desempeño académico de los estudiantes en el curso.</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lang w:val="es"/>
        </w:rPr>
        <w:t xml:space="preserve">V. </w:t>
      </w:r>
      <w:r>
        <w:rPr>
          <w:rFonts w:cs="Times New Roman" w:ascii="Times New Roman" w:hAnsi="Times New Roman"/>
          <w:b/>
          <w:sz w:val="20"/>
          <w:szCs w:val="20"/>
          <w:lang w:val="es"/>
        </w:rPr>
        <w:t>CONCLUSIONES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Sí se encontró diferencias significativas entre el desempeño académico de los estudiantes en el curso de Cálculo Integral TC, comparando los cuatro cursos impartidos en los últimos cuatro períodos académicos G1, G2, G3 y G4, clasificados según las modalidades en la enseñanza y aprendizaje requeridas por el impacto de</w:t>
      </w:r>
      <w:r>
        <w:rPr>
          <w:rFonts w:cs="Times New Roman" w:ascii="Times New Roman" w:hAnsi="Times New Roman"/>
          <w:sz w:val="20"/>
          <w:szCs w:val="20"/>
          <w:lang w:val="es"/>
        </w:rPr>
        <w:t xml:space="preserve"> la pandemia de COVID-19.</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Este resultado explica las desigualdades académicas y respalda la necesidad de implementar nuevas estrategias de aprendizaje que permitan favorecer el desempeño de los jóvenes que se inscriben a los programas educativos de la FIQ.</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La nueva estrategia de enseñanza y aprendizaje con enfoque PEC, que se implementa en el actual curso de Cálculo Integral TC 2024, además de aumentar la motivación en los alumnos y subsanar las bases académicas necesarias para un buen desempeño, se enfoca además en otros aspectos señalados con mayor frecuencia por los estudiantes en la pregunta abierta: la falta de concentración, el manejo del estrés y la falta de tiempo.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Con el resultado de la prueba estadística de t de Student, se refleja que la experiencia docente compartida en este trabajo sí favorece una mejoría en el desempeño académico de los alumnos en Cálculo Integral TC.</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Entre otros aspectos mencionados por los estudiantes en la encuesta y que deben tenerse en cuenta se encuentran: perder tiempo en las redes sociales, en juegos como clash royale, en el tiempo perdido en el transporte y el calor excesivo en el aula. Es importante continuar diseñando estrategias de aprendizaje que formen parte de la mejora continua en la formación en ciencias básicas</w:t>
      </w:r>
      <w:r>
        <w:rPr>
          <w:rFonts w:cs="Times New Roman" w:ascii="Times New Roman" w:hAnsi="Times New Roman"/>
          <w:sz w:val="20"/>
          <w:szCs w:val="20"/>
        </w:rPr>
        <w:t xml:space="preserve"> de los estudiantes de ingeniería de FIQ.</w:t>
      </w:r>
    </w:p>
    <w:p>
      <w:pPr>
        <w:pStyle w:val="Normal"/>
        <w:spacing w:lineRule="auto" w:line="240" w:before="0" w:after="0"/>
        <w:ind w:left="0" w:right="0" w:hanging="0"/>
        <w:jc w:val="both"/>
        <w:rPr>
          <w:rFonts w:ascii="Times New Roman" w:hAnsi="Times New Roman" w:cs="Times New Roman"/>
          <w:sz w:val="20"/>
          <w:szCs w:val="20"/>
          <w:lang w:val="es"/>
        </w:rPr>
      </w:pPr>
      <w:r>
        <w:rPr>
          <w:rFonts w:cs="Times New Roman" w:ascii="Times New Roman" w:hAnsi="Times New Roman"/>
          <w:sz w:val="20"/>
          <w:szCs w:val="20"/>
          <w:lang w:val="es"/>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lang w:val="es"/>
        </w:rPr>
        <w:t>REFERENCIAS</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Amaya, J. y Prado, E. (2003) </w:t>
      </w:r>
      <w:r>
        <w:rPr>
          <w:rFonts w:cs="Times New Roman" w:ascii="Times New Roman" w:hAnsi="Times New Roman"/>
          <w:i/>
          <w:iCs/>
          <w:sz w:val="20"/>
          <w:szCs w:val="20"/>
          <w:lang w:val="es"/>
        </w:rPr>
        <w:t>Estrategias de Aprendizaje para Universitarios</w:t>
      </w:r>
      <w:r>
        <w:rPr>
          <w:rFonts w:cs="Times New Roman" w:ascii="Times New Roman" w:hAnsi="Times New Roman"/>
          <w:sz w:val="20"/>
          <w:szCs w:val="20"/>
          <w:lang w:val="es"/>
        </w:rPr>
        <w:t>. Un enfoque constructivista. México: Editorial Trillas.</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Barcelata, B. (2015) </w:t>
      </w:r>
      <w:r>
        <w:rPr>
          <w:rFonts w:cs="Times New Roman" w:ascii="Times New Roman" w:hAnsi="Times New Roman"/>
          <w:i/>
          <w:iCs/>
          <w:sz w:val="20"/>
          <w:szCs w:val="20"/>
          <w:lang w:val="es"/>
        </w:rPr>
        <w:t>Adolescentes en Riesgo. Una mirada a partir de la resiliencia</w:t>
      </w:r>
      <w:r>
        <w:rPr>
          <w:rFonts w:cs="Times New Roman" w:ascii="Times New Roman" w:hAnsi="Times New Roman"/>
          <w:sz w:val="20"/>
          <w:szCs w:val="20"/>
          <w:lang w:val="es"/>
        </w:rPr>
        <w:t>. México: Editorial Manual Moderno.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Campos, R. (2022) Desigualdades. Por qué nos beneficia un país más igualitario. </w:t>
      </w:r>
      <w:r>
        <w:rPr>
          <w:rFonts w:cs="Times New Roman" w:ascii="Times New Roman" w:hAnsi="Times New Roman"/>
          <w:sz w:val="20"/>
          <w:szCs w:val="20"/>
          <w:lang w:val="en-US"/>
        </w:rPr>
        <w:t>México: Editorial CEEY.</w:t>
      </w:r>
    </w:p>
    <w:p>
      <w:pPr>
        <w:pStyle w:val="Normal"/>
        <w:spacing w:lineRule="auto" w:line="240" w:before="0" w:after="0"/>
        <w:ind w:left="0" w:right="0" w:hanging="0"/>
        <w:rPr>
          <w:rFonts w:cs="Times New Roman"/>
          <w:lang w:val="en-US"/>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ascii="Times New Roman" w:hAnsi="Times New Roman"/>
          <w:sz w:val="20"/>
          <w:szCs w:val="20"/>
          <w:lang w:val="en-US"/>
        </w:rPr>
        <w:t>Marinoni, G.; Van’t Land, H. &amp; Jensen, T. (2020). The Impact of COVID-19 on Higher Education Around the World IAU Global Survey Report. Retrieved from https://www. iau-aiu.net/IMG/pdf/iau_covid19_and_he_survey_report_final_may_2020.pdf</w:t>
      </w:r>
    </w:p>
    <w:p>
      <w:pPr>
        <w:pStyle w:val="Normal"/>
        <w:spacing w:lineRule="auto" w:line="240" w:before="0" w:after="0"/>
        <w:ind w:left="0" w:right="0" w:hanging="0"/>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Mateo, J. (2006) </w:t>
      </w:r>
      <w:r>
        <w:rPr>
          <w:rFonts w:cs="Times New Roman" w:ascii="Times New Roman" w:hAnsi="Times New Roman"/>
          <w:i/>
          <w:iCs/>
          <w:sz w:val="20"/>
          <w:szCs w:val="20"/>
          <w:lang w:val="es"/>
        </w:rPr>
        <w:t>La evaluación educativa, su práctica y otras metáforas</w:t>
      </w:r>
      <w:r>
        <w:rPr>
          <w:rFonts w:cs="Times New Roman" w:ascii="Times New Roman" w:hAnsi="Times New Roman"/>
          <w:sz w:val="20"/>
          <w:szCs w:val="20"/>
          <w:lang w:val="es"/>
        </w:rPr>
        <w:t>. México: Alfaomega.</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Mora, M. y Oliveira, O. de (2022) </w:t>
      </w:r>
      <w:r>
        <w:rPr>
          <w:rFonts w:cs="Times New Roman" w:ascii="Times New Roman" w:hAnsi="Times New Roman"/>
          <w:i/>
          <w:iCs/>
          <w:sz w:val="20"/>
          <w:szCs w:val="20"/>
          <w:lang w:val="es"/>
        </w:rPr>
        <w:t>Entre a desilusión y la esperanza: jóvenes en una sociedad desigual.</w:t>
      </w:r>
      <w:r>
        <w:rPr>
          <w:rFonts w:cs="Times New Roman" w:ascii="Times New Roman" w:hAnsi="Times New Roman"/>
          <w:sz w:val="20"/>
          <w:szCs w:val="20"/>
          <w:lang w:val="es"/>
        </w:rPr>
        <w:t xml:space="preserve"> México: El Colegio de México.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Moreno, T. (2010) </w:t>
      </w:r>
      <w:r>
        <w:rPr>
          <w:rFonts w:cs="Times New Roman" w:ascii="Times New Roman" w:hAnsi="Times New Roman"/>
          <w:i/>
          <w:iCs/>
          <w:sz w:val="20"/>
          <w:szCs w:val="20"/>
          <w:lang w:val="es"/>
        </w:rPr>
        <w:t>La Evaluación de los Alumnos en la Universidad</w:t>
      </w:r>
      <w:r>
        <w:rPr>
          <w:rFonts w:cs="Times New Roman" w:ascii="Times New Roman" w:hAnsi="Times New Roman"/>
          <w:sz w:val="20"/>
          <w:szCs w:val="20"/>
          <w:lang w:val="es"/>
        </w:rPr>
        <w:t>. México: Universidad Autónoma del Estado de Hidalgo.</w:t>
      </w:r>
    </w:p>
    <w:p>
      <w:pPr>
        <w:pStyle w:val="Normal"/>
        <w:spacing w:lineRule="auto" w:line="240" w:before="0" w:after="0"/>
        <w:ind w:left="0" w:right="0" w:hanging="0"/>
        <w:jc w:val="both"/>
        <w:rPr>
          <w:rFonts w:cs="Times New Roman"/>
          <w:lang w:val="e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s"/>
        </w:rPr>
        <w:t xml:space="preserve">Universidad Autónoma de Yucatán (UADY), (2021). </w:t>
      </w:r>
      <w:r>
        <w:rPr>
          <w:rFonts w:cs="Times New Roman" w:ascii="Times New Roman" w:hAnsi="Times New Roman"/>
          <w:i/>
          <w:sz w:val="20"/>
          <w:szCs w:val="20"/>
          <w:lang w:val="es"/>
        </w:rPr>
        <w:t>Modelo Educativo para la Formación Integral.</w:t>
      </w:r>
      <w:r>
        <w:rPr>
          <w:rFonts w:cs="Times New Roman" w:ascii="Times New Roman" w:hAnsi="Times New Roman"/>
          <w:iCs/>
          <w:sz w:val="20"/>
          <w:szCs w:val="20"/>
          <w:lang w:val="es"/>
        </w:rPr>
        <w:t xml:space="preserve"> México: UADY.</w:t>
      </w:r>
    </w:p>
    <w:p>
      <w:pPr>
        <w:sectPr>
          <w:type w:val="continuous"/>
          <w:pgSz w:w="12240" w:h="15840"/>
          <w:pgMar w:left="1417" w:right="1417" w:header="1417" w:top="2044" w:footer="1417" w:bottom="2109" w:gutter="0"/>
          <w:cols w:num="2" w:space="282" w:equalWidth="true" w:sep="false"/>
          <w:formProt w:val="false"/>
          <w:textDirection w:val="lrTb"/>
          <w:docGrid w:type="default" w:linePitch="360" w:charSpace="4096"/>
        </w:sectPr>
      </w:pPr>
    </w:p>
    <w:sectPr>
      <w:headerReference w:type="even" r:id="rId14"/>
      <w:headerReference w:type="default" r:id="rId15"/>
      <w:headerReference w:type="first" r:id="rId16"/>
      <w:footerReference w:type="even" r:id="rId17"/>
      <w:footerReference w:type="default" r:id="rId18"/>
      <w:footerReference w:type="first" r:id="rId19"/>
      <w:type w:val="continuous"/>
      <w:pgSz w:w="12240" w:h="15840"/>
      <w:pgMar w:left="1417" w:right="1417" w:header="1417" w:top="2044" w:footer="1417" w:bottom="2109"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/Mayo/2024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/Mayo/2024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/Mayo/2024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88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88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88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94</w:t>
    </w:r>
    <w:r>
      <w:rPr>
        <w:rFonts w:ascii="Times new roman" w:hAnsi="Times new roman"/>
        <w:b w:val="false"/>
        <w:i/>
        <w:iCs/>
        <w:caps w:val="false"/>
        <w:smallCaps w:val="false"/>
        <w:spacing w:val="0"/>
        <w:sz w:val="16"/>
        <w:szCs w:val="16"/>
      </w:rPr>
      <w:t>, Julio - Diciembre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88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i/>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dd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ad01ae"/>
    <w:rPr>
      <w:color w:val="0000FF" w:themeColor="hyperlink"/>
      <w:u w:val="single"/>
    </w:rPr>
  </w:style>
  <w:style w:type="character" w:styleId="PlaceholderText">
    <w:name w:val="Placeholder Text"/>
    <w:basedOn w:val="DefaultParagraphFont"/>
    <w:uiPriority w:val="99"/>
    <w:semiHidden/>
    <w:qFormat/>
    <w:rsid w:val="00872aa7"/>
    <w:rPr>
      <w:color w:val="808080"/>
    </w:rPr>
  </w:style>
  <w:style w:type="character" w:styleId="TextodegloboCar" w:customStyle="1">
    <w:name w:val="Texto de globo Car"/>
    <w:basedOn w:val="DefaultParagraphFont"/>
    <w:link w:val="Textodeglobo"/>
    <w:uiPriority w:val="99"/>
    <w:semiHidden/>
    <w:qFormat/>
    <w:rsid w:val="00872aa7"/>
    <w:rPr>
      <w:rFonts w:ascii="Tahoma" w:hAnsi="Tahoma" w:cs="Tahoma"/>
      <w:sz w:val="16"/>
      <w:szCs w:val="16"/>
    </w:rPr>
  </w:style>
  <w:style w:type="character" w:styleId="TextonotapieCar" w:customStyle="1">
    <w:name w:val="Texto nota pie Car"/>
    <w:basedOn w:val="DefaultParagraphFont"/>
    <w:link w:val="Textonotapie"/>
    <w:uiPriority w:val="99"/>
    <w:semiHidden/>
    <w:qFormat/>
    <w:rsid w:val="00741f63"/>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741f63"/>
    <w:rPr>
      <w:vertAlign w:val="superscript"/>
    </w:rPr>
  </w:style>
  <w:style w:type="character" w:styleId="EncabezadoCar" w:customStyle="1">
    <w:name w:val="Encabezado Car"/>
    <w:basedOn w:val="DefaultParagraphFont"/>
    <w:link w:val="Encabezado"/>
    <w:uiPriority w:val="99"/>
    <w:qFormat/>
    <w:rsid w:val="008d3864"/>
    <w:rPr/>
  </w:style>
  <w:style w:type="character" w:styleId="PiedepginaCar" w:customStyle="1">
    <w:name w:val="Pie de página Car"/>
    <w:basedOn w:val="DefaultParagraphFont"/>
    <w:link w:val="Piedepgina"/>
    <w:uiPriority w:val="99"/>
    <w:qFormat/>
    <w:rsid w:val="008d3864"/>
    <w:rPr/>
  </w:style>
  <w:style w:type="character" w:styleId="UnresolvedMention">
    <w:name w:val="Unresolved Mention"/>
    <w:basedOn w:val="DefaultParagraphFont"/>
    <w:uiPriority w:val="99"/>
    <w:semiHidden/>
    <w:unhideWhenUsed/>
    <w:qFormat/>
    <w:rsid w:val="000748fc"/>
    <w:rPr>
      <w:color w:val="605E5C"/>
      <w:shd w:fill="E1DFDD" w:val="clear"/>
    </w:rPr>
  </w:style>
  <w:style w:type="character" w:styleId="TtuloCar" w:customStyle="1">
    <w:name w:val="Título Car"/>
    <w:basedOn w:val="DefaultParagraphFont"/>
    <w:link w:val="Ttulo"/>
    <w:uiPriority w:val="10"/>
    <w:qFormat/>
    <w:rsid w:val="0087230c"/>
    <w:rPr>
      <w:rFonts w:ascii="Times New Roman" w:hAnsi="Times New Roman" w:eastAsia="Times New Roman" w:cs="Times New Roman"/>
      <w:b/>
      <w:sz w:val="24"/>
      <w:szCs w:val="24"/>
      <w:lang w:eastAsia="es-MX"/>
    </w:rPr>
  </w:style>
  <w:style w:type="character" w:styleId="Strong">
    <w:name w:val="Strong"/>
    <w:basedOn w:val="DefaultParagraphFont"/>
    <w:uiPriority w:val="22"/>
    <w:qFormat/>
    <w:rsid w:val="0087507b"/>
    <w:rPr>
      <w:b/>
      <w:bCs/>
    </w:rPr>
  </w:style>
  <w:style w:type="character" w:styleId="Tsalignmentelement" w:customStyle="1">
    <w:name w:val="ts-alignment-element"/>
    <w:basedOn w:val="DefaultParagraphFont"/>
    <w:qFormat/>
    <w:rsid w:val="0046307f"/>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ce7e90"/>
    <w:pPr>
      <w:spacing w:before="0" w:after="200"/>
      <w:ind w:left="720" w:hanging="0"/>
      <w:contextualSpacing/>
    </w:pPr>
    <w:rPr/>
  </w:style>
  <w:style w:type="paragraph" w:styleId="BalloonText">
    <w:name w:val="Balloon Text"/>
    <w:basedOn w:val="Normal"/>
    <w:link w:val="TextodegloboCar"/>
    <w:uiPriority w:val="99"/>
    <w:semiHidden/>
    <w:unhideWhenUsed/>
    <w:qFormat/>
    <w:rsid w:val="00872aa7"/>
    <w:pPr>
      <w:spacing w:lineRule="auto" w:line="240" w:before="0" w:after="0"/>
    </w:pPr>
    <w:rPr>
      <w:rFonts w:ascii="Tahoma" w:hAnsi="Tahoma" w:cs="Tahoma"/>
      <w:sz w:val="16"/>
      <w:szCs w:val="16"/>
    </w:rPr>
  </w:style>
  <w:style w:type="paragraph" w:styleId="Notaalpie">
    <w:name w:val="Footnote Text"/>
    <w:basedOn w:val="Normal"/>
    <w:link w:val="TextonotapieCar"/>
    <w:uiPriority w:val="99"/>
    <w:semiHidden/>
    <w:unhideWhenUsed/>
    <w:rsid w:val="00741f63"/>
    <w:pPr>
      <w:spacing w:lineRule="auto" w:line="240" w:before="0" w:after="0"/>
    </w:pPr>
    <w:rPr>
      <w:sz w:val="20"/>
      <w:szCs w:val="20"/>
    </w:rPr>
  </w:style>
  <w:style w:type="paragraph" w:styleId="NormalWeb">
    <w:name w:val="Normal (Web)"/>
    <w:basedOn w:val="Normal"/>
    <w:uiPriority w:val="99"/>
    <w:unhideWhenUsed/>
    <w:qFormat/>
    <w:rsid w:val="00df717e"/>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rPr/>
  </w:style>
  <w:style w:type="paragraph" w:styleId="Cabecera">
    <w:name w:val="Header"/>
    <w:basedOn w:val="Normal"/>
    <w:link w:val="EncabezadoCar"/>
    <w:uiPriority w:val="99"/>
    <w:unhideWhenUsed/>
    <w:rsid w:val="008d3864"/>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8d3864"/>
    <w:pPr>
      <w:tabs>
        <w:tab w:val="clear" w:pos="708"/>
        <w:tab w:val="center" w:pos="4419" w:leader="none"/>
        <w:tab w:val="right" w:pos="8838" w:leader="none"/>
      </w:tabs>
      <w:spacing w:lineRule="auto" w:line="240" w:before="0" w:after="0"/>
    </w:pPr>
    <w:rPr/>
  </w:style>
  <w:style w:type="paragraph" w:styleId="Ttulogeneral">
    <w:name w:val="Title"/>
    <w:basedOn w:val="Normal"/>
    <w:next w:val="Normal"/>
    <w:link w:val="TtuloCar"/>
    <w:uiPriority w:val="10"/>
    <w:qFormat/>
    <w:rsid w:val="0087230c"/>
    <w:pPr>
      <w:spacing w:lineRule="auto" w:line="240" w:before="0" w:after="120"/>
      <w:jc w:val="center"/>
    </w:pPr>
    <w:rPr>
      <w:rFonts w:ascii="Times New Roman" w:hAnsi="Times New Roman" w:eastAsia="Times New Roman" w:cs="Times New Roman"/>
      <w:b/>
      <w:sz w:val="24"/>
      <w:szCs w:val="24"/>
      <w:lang w:eastAsia="es-MX"/>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bb5cf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_rels/header9.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A66F-1BE5-47E4-A3DC-8E5F629E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Application>LibreOffice/7.0.4.2$Linux_X86_64 LibreOffice_project/00$Build-2</Application>
  <AppVersion>15.0000</AppVersion>
  <Pages>7</Pages>
  <Words>3918</Words>
  <Characters>21377</Characters>
  <CharactersWithSpaces>25113</CharactersWithSpaces>
  <Paragraphs>184</Paragraphs>
  <Company>UADY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2024-04-14T01:10:00Z</dcterms:created>
  <dc:creator>FIQ</dc:creator>
  <dc:description/>
  <dc:language>es-MX</dc:language>
  <cp:lastModifiedBy/>
  <cp:lastPrinted>2024-04-22T02:30:00Z</cp:lastPrinted>
  <dcterms:modified xsi:type="dcterms:W3CDTF">2024-07-21T23:34:53Z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