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8.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header4.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footer5.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_rels/header30.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_rels/header9.xml.rels" ContentType="application/vnd.openxmlformats-package.relationships+xml"/>
  <Override PartName="/word/_rels/document.xml.rels" ContentType="application/vnd.openxmlformats-package.relationships+xml"/>
  <Override PartName="/word/_rels/header24.xml.rels" ContentType="application/vnd.openxmlformats-package.relationships+xml"/>
  <Override PartName="/word/_rels/header15.xml.rels" ContentType="application/vnd.openxmlformats-package.relationships+xml"/>
  <Override PartName="/word/_rels/header18.xml.rels" ContentType="application/vnd.openxmlformats-package.relationships+xml"/>
  <Override PartName="/word/_rels/header12.xml.rels" ContentType="application/vnd.openxmlformats-package.relationships+xml"/>
  <Override PartName="/word/_rels/header27.xml.rels" ContentType="application/vnd.openxmlformats-package.relationships+xml"/>
  <Override PartName="/word/_rels/header21.xml.rels" ContentType="application/vnd.openxmlformats-package.relationships+xml"/>
  <Override PartName="/word/header24.xml" ContentType="application/vnd.openxmlformats-officedocument.wordprocessingml.header+xml"/>
  <Override PartName="/word/footer14.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header25.xml" ContentType="application/vnd.openxmlformats-officedocument.wordprocessingml.header+xml"/>
  <Override PartName="/word/header2.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footer15.xml" ContentType="application/vnd.openxmlformats-officedocument.wordprocessingml.footer+xml"/>
  <Override PartName="/word/settings.xml" ContentType="application/vnd.openxmlformats-officedocument.wordprocessingml.settings+xml"/>
  <Override PartName="/word/header30.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4.xml" ContentType="application/vnd.openxmlformats-officedocument.wordprocessingml.footer+xml"/>
  <Override PartName="/word/footer30.xml" ContentType="application/vnd.openxmlformats-officedocument.wordprocessingml.footer+xml"/>
  <Override PartName="/word/media/image9.png" ContentType="image/png"/>
  <Override PartName="/word/media/image11.jpeg" ContentType="image/jpeg"/>
  <Override PartName="/word/media/image8.png" ContentType="image/png"/>
  <Override PartName="/word/media/image7.png" ContentType="image/png"/>
  <Override PartName="/word/media/image12.jpeg" ContentType="image/jpeg"/>
  <Override PartName="/word/media/image6.png" ContentType="image/png"/>
  <Override PartName="/word/media/image10.png" ContentType="image/png"/>
  <Override PartName="/word/media/image19.png" ContentType="image/png"/>
  <Override PartName="/word/media/image1.png" ContentType="image/png"/>
  <Override PartName="/word/media/image2.jpeg" ContentType="image/jpeg"/>
  <Override PartName="/word/media/image3.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4.png" ContentType="image/png"/>
  <Override PartName="/word/media/image13.jpeg" ContentType="image/jpeg"/>
  <Override PartName="/word/media/image5.png" ContentType="image/png"/>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9.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i w:val="false"/>
          <w:i w:val="false"/>
          <w:iCs w:val="false"/>
          <w:color w:val="000000"/>
          <w:sz w:val="44"/>
          <w:szCs w:val="44"/>
        </w:rPr>
      </w:pPr>
      <w:bookmarkStart w:id="0" w:name="_GoBack"/>
      <w:bookmarkEnd w:id="0"/>
      <w:r>
        <w:rPr>
          <w:rFonts w:cs="Arial" w:ascii="Times New Roman" w:hAnsi="Times New Roman"/>
          <w:b w:val="false"/>
          <w:bCs w:val="false"/>
          <w:i w:val="false"/>
          <w:iCs w:val="false"/>
          <w:color w:val="000000"/>
          <w:sz w:val="44"/>
          <w:szCs w:val="44"/>
        </w:rPr>
        <w:t xml:space="preserve">Análisis de la competividad de las empresas en la </w:t>
      </w:r>
      <w:r>
        <w:rPr>
          <w:rFonts w:cs="Arial" w:ascii="Times New Roman" w:hAnsi="Times New Roman"/>
          <w:b w:val="false"/>
          <w:bCs w:val="false"/>
          <w:i w:val="false"/>
          <w:iCs w:val="false"/>
          <w:color w:val="000000"/>
          <w:sz w:val="44"/>
          <w:szCs w:val="44"/>
        </w:rPr>
        <w:t>c</w:t>
      </w:r>
      <w:r>
        <w:rPr>
          <w:rFonts w:cs="Arial" w:ascii="Times New Roman" w:hAnsi="Times New Roman"/>
          <w:b w:val="false"/>
          <w:bCs w:val="false"/>
          <w:i w:val="false"/>
          <w:iCs w:val="false"/>
          <w:color w:val="000000"/>
          <w:sz w:val="44"/>
          <w:szCs w:val="44"/>
        </w:rPr>
        <w:t>iudad de Motul</w:t>
      </w:r>
    </w:p>
    <w:p>
      <w:pPr>
        <w:pStyle w:val="Normal"/>
        <w:spacing w:lineRule="auto" w:line="240" w:before="0" w:after="0"/>
        <w:ind w:left="0" w:right="0" w:hanging="0"/>
        <w:jc w:val="both"/>
        <w:rPr>
          <w:rFonts w:ascii="Times New Roman" w:hAnsi="Times New Roman" w:cs="Arial"/>
          <w:b w:val="false"/>
          <w:b w:val="false"/>
          <w:bCs w:val="false"/>
          <w:i w:val="false"/>
          <w:i w:val="false"/>
          <w:iCs w:val="false"/>
          <w:color w:val="000000"/>
          <w:sz w:val="20"/>
          <w:szCs w:val="20"/>
        </w:rPr>
      </w:pPr>
      <w:r>
        <w:rPr>
          <w:rFonts w:cs="Arial" w:ascii="Times New Roman" w:hAnsi="Times New Roman"/>
          <w:b w:val="false"/>
          <w:bCs w:val="false"/>
          <w:i w:val="false"/>
          <w:iCs w:val="false"/>
          <w:color w:val="000000"/>
          <w:sz w:val="20"/>
          <w:szCs w:val="20"/>
        </w:rPr>
      </w:r>
    </w:p>
    <w:p>
      <w:pPr>
        <w:pStyle w:val="Normal"/>
        <w:spacing w:lineRule="auto" w:line="240" w:before="0" w:after="0"/>
        <w:ind w:left="0" w:right="0" w:hanging="0"/>
        <w:jc w:val="center"/>
        <w:rPr>
          <w:rFonts w:ascii="Times New Roman" w:hAnsi="Times New Roman"/>
          <w:bCs w:val="false"/>
          <w:color w:val="000000"/>
          <w:sz w:val="36"/>
          <w:szCs w:val="36"/>
        </w:rPr>
      </w:pPr>
      <w:r>
        <w:rPr>
          <w:rFonts w:cs="Arial" w:ascii="Times New Roman" w:hAnsi="Times New Roman"/>
          <w:b w:val="false"/>
          <w:bCs w:val="false"/>
          <w:i w:val="false"/>
          <w:iCs w:val="false"/>
          <w:color w:val="000000"/>
          <w:sz w:val="36"/>
          <w:szCs w:val="36"/>
        </w:rPr>
        <w:t xml:space="preserve">Analysis of the competitiveness of companies in the Motul </w:t>
      </w:r>
      <w:r>
        <w:rPr>
          <w:rFonts w:cs="Arial" w:ascii="Times New Roman" w:hAnsi="Times New Roman"/>
          <w:b w:val="false"/>
          <w:bCs w:val="false"/>
          <w:i w:val="false"/>
          <w:iCs w:val="false"/>
          <w:color w:val="000000"/>
          <w:sz w:val="36"/>
          <w:szCs w:val="36"/>
        </w:rPr>
        <w:t>C</w:t>
      </w:r>
      <w:r>
        <w:rPr>
          <w:rFonts w:cs="Arial" w:ascii="Times New Roman" w:hAnsi="Times New Roman"/>
          <w:b w:val="false"/>
          <w:bCs w:val="false"/>
          <w:i w:val="false"/>
          <w:iCs w:val="false"/>
          <w:color w:val="000000"/>
          <w:sz w:val="36"/>
          <w:szCs w:val="36"/>
        </w:rPr>
        <w:t>ity</w:t>
      </w:r>
    </w:p>
    <w:p>
      <w:pPr>
        <w:pStyle w:val="Normal"/>
        <w:spacing w:lineRule="auto" w:line="240" w:before="0" w:after="0"/>
        <w:ind w:left="0" w:right="0" w:hanging="0"/>
        <w:jc w:val="center"/>
        <w:rPr>
          <w:rFonts w:cs="Arial"/>
        </w:rPr>
      </w:pPr>
      <w:r>
        <w:rPr>
          <w:rFonts w:ascii="Times New Roman" w:hAnsi="Times New Roman"/>
          <w:color w:val="000000"/>
          <w:sz w:val="24"/>
          <w:szCs w:val="24"/>
        </w:rPr>
      </w:r>
    </w:p>
    <w:p>
      <w:pPr>
        <w:pStyle w:val="Normal"/>
        <w:spacing w:lineRule="auto" w:line="240" w:before="0" w:after="0"/>
        <w:ind w:left="0" w:right="0" w:hanging="0"/>
        <w:jc w:val="center"/>
        <w:rPr>
          <w:rFonts w:ascii="Times New Roman" w:hAnsi="Times New Roman"/>
          <w:color w:val="000000"/>
          <w:sz w:val="24"/>
          <w:szCs w:val="24"/>
        </w:rPr>
      </w:pPr>
      <w:r>
        <w:rPr>
          <w:rFonts w:cs="Arial" w:ascii="Times New Roman" w:hAnsi="Times New Roman"/>
          <w:color w:val="000000"/>
          <w:sz w:val="24"/>
          <w:szCs w:val="24"/>
        </w:rPr>
        <w:t>Fernando Canul Bacab</w:t>
      </w:r>
      <w:r>
        <w:rPr>
          <w:rFonts w:cs="Arial" w:ascii="Times New Roman" w:hAnsi="Times New Roman"/>
          <w:color w:val="000000"/>
          <w:sz w:val="24"/>
          <w:szCs w:val="24"/>
          <w:vertAlign w:val="superscript"/>
        </w:rPr>
        <w:t>1*</w:t>
      </w:r>
      <w:r>
        <w:rPr>
          <w:rFonts w:cs="Arial" w:ascii="Times New Roman" w:hAnsi="Times New Roman"/>
          <w:color w:val="000000"/>
          <w:sz w:val="24"/>
          <w:szCs w:val="24"/>
        </w:rPr>
        <w:t xml:space="preserve">, </w:t>
      </w:r>
      <w:r>
        <w:rPr>
          <w:rFonts w:cs="Arial" w:ascii="Times New Roman" w:hAnsi="Times New Roman"/>
          <w:color w:val="000000"/>
          <w:sz w:val="24"/>
          <w:szCs w:val="24"/>
        </w:rPr>
        <w:t>Pedro Ezequiel May Hoil</w:t>
      </w:r>
      <w:r>
        <w:rPr>
          <w:rFonts w:cs="Arial" w:ascii="Times New Roman" w:hAnsi="Times New Roman"/>
          <w:color w:val="000000"/>
          <w:sz w:val="24"/>
          <w:szCs w:val="24"/>
          <w:vertAlign w:val="superscript"/>
        </w:rPr>
        <w:t>1</w:t>
      </w:r>
      <w:r>
        <w:rPr>
          <w:rFonts w:cs="Arial" w:ascii="Times New Roman" w:hAnsi="Times New Roman"/>
          <w:color w:val="000000"/>
          <w:sz w:val="24"/>
          <w:szCs w:val="24"/>
        </w:rPr>
        <w:t xml:space="preserve"> </w:t>
      </w:r>
      <w:r>
        <w:rPr>
          <w:rFonts w:cs="Arial" w:ascii="Times New Roman" w:hAnsi="Times New Roman"/>
          <w:color w:val="000000"/>
          <w:sz w:val="24"/>
          <w:szCs w:val="24"/>
        </w:rPr>
        <w:t xml:space="preserve">y José Antonio </w:t>
      </w:r>
      <w:r>
        <w:rPr>
          <w:rFonts w:cs="Arial" w:ascii="Times New Roman" w:hAnsi="Times New Roman"/>
          <w:color w:val="000000"/>
          <w:sz w:val="24"/>
          <w:szCs w:val="24"/>
        </w:rPr>
        <w:t>Alonzo Pacheco</w:t>
      </w:r>
      <w:r>
        <w:rPr>
          <w:rFonts w:cs="Arial" w:ascii="Times New Roman" w:hAnsi="Times New Roman"/>
          <w:color w:val="000000"/>
          <w:sz w:val="24"/>
          <w:szCs w:val="24"/>
          <w:vertAlign w:val="superscript"/>
        </w:rPr>
        <w:t>1</w:t>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r>
    </w:p>
    <w:p>
      <w:pPr>
        <w:pStyle w:val="Cuerpodetexto"/>
        <w:spacing w:lineRule="auto" w:line="240" w:before="0" w:after="0"/>
        <w:jc w:val="center"/>
        <w:rPr>
          <w:rFonts w:ascii="Times New Roman" w:hAnsi="Times New Roman"/>
          <w:color w:val="000000"/>
        </w:rPr>
      </w:pPr>
      <w:r>
        <w:rPr>
          <w:rFonts w:ascii="Times New Roman" w:hAnsi="Times New Roman"/>
          <w:b w:val="false"/>
          <w:bCs w:val="false"/>
          <w:i/>
          <w:iCs/>
          <w:color w:val="000000"/>
          <w:sz w:val="24"/>
          <w:szCs w:val="24"/>
          <w:vertAlign w:val="superscript"/>
        </w:rPr>
        <w:t>1</w:t>
      </w:r>
      <w:r>
        <w:rPr>
          <w:rFonts w:ascii="Times New Roman" w:hAnsi="Times New Roman"/>
          <w:b w:val="false"/>
          <w:bCs w:val="false"/>
          <w:i/>
          <w:iCs/>
          <w:color w:val="000000"/>
          <w:sz w:val="24"/>
          <w:szCs w:val="24"/>
        </w:rPr>
        <w:t>Tecnológico Nacional de México, Instituto Tecnológico Superior de Motul, Carretera Mérida-</w:t>
      </w:r>
    </w:p>
    <w:p>
      <w:pPr>
        <w:pStyle w:val="Cuerpodetexto"/>
        <w:spacing w:lineRule="auto" w:line="240" w:before="0" w:after="0"/>
        <w:ind w:left="0" w:right="0" w:hanging="0"/>
        <w:jc w:val="center"/>
        <w:rPr>
          <w:rFonts w:ascii="Times New Roman" w:hAnsi="Times New Roman"/>
          <w:color w:val="000000"/>
          <w:sz w:val="20"/>
          <w:szCs w:val="20"/>
        </w:rPr>
      </w:pPr>
      <w:r>
        <w:rPr>
          <w:rFonts w:ascii="Times New Roman" w:hAnsi="Times New Roman"/>
          <w:i/>
          <w:iCs/>
          <w:color w:val="000000"/>
          <w:sz w:val="24"/>
          <w:szCs w:val="24"/>
        </w:rPr>
        <w:t>Motul, Tablaje Catastral 383, CP 97430. Motul, Yucatán, México.</w:t>
      </w:r>
    </w:p>
    <w:p>
      <w:pPr>
        <w:pStyle w:val="Normal"/>
        <w:spacing w:lineRule="auto" w:line="240" w:before="0" w:after="0"/>
        <w:ind w:left="0" w:right="0" w:hanging="0"/>
        <w:jc w:val="both"/>
        <w:rPr>
          <w:rFonts w:ascii="Times New Roman" w:hAnsi="Times New Roman"/>
          <w:color w:val="000000"/>
          <w:sz w:val="20"/>
          <w:szCs w:val="20"/>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rPr>
        <w:t>*</w:t>
      </w:r>
      <w:r>
        <w:rPr>
          <w:rFonts w:cs="Arial" w:ascii="Times New Roman" w:hAnsi="Times New Roman"/>
          <w:i/>
          <w:iCs/>
          <w:color w:val="000000"/>
          <w:sz w:val="20"/>
          <w:szCs w:val="20"/>
        </w:rPr>
        <w:t>Corresponding author</w:t>
      </w:r>
      <w:r>
        <w:rPr>
          <w:rFonts w:cs="Arial" w:ascii="Times New Roman" w:hAnsi="Times New Roman"/>
          <w:i/>
          <w:iCs/>
          <w:color w:val="000000"/>
          <w:sz w:val="20"/>
          <w:szCs w:val="20"/>
        </w:rPr>
        <w:t xml:space="preserve">: </w:t>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rPr>
        <w:t>f</w:t>
      </w:r>
      <w:r>
        <w:rPr>
          <w:rFonts w:cs="Arial" w:ascii="Times New Roman" w:hAnsi="Times New Roman"/>
          <w:i/>
          <w:iCs/>
          <w:color w:val="000000"/>
          <w:sz w:val="20"/>
          <w:szCs w:val="20"/>
        </w:rPr>
        <w:t>ernando.canul@itsmotul.edu.mx</w:t>
      </w:r>
    </w:p>
    <w:p>
      <w:pPr>
        <w:pStyle w:val="Normal"/>
        <w:spacing w:lineRule="auto" w:line="240" w:before="0" w:after="0"/>
        <w:ind w:left="0" w:right="0" w:hanging="0"/>
        <w:jc w:val="both"/>
        <w:rPr>
          <w:rFonts w:ascii="Times New Roman" w:hAnsi="Times New Roman" w:cs="Arial"/>
          <w:bCs/>
          <w:color w:val="000000"/>
          <w:sz w:val="20"/>
          <w:szCs w:val="20"/>
        </w:rPr>
      </w:pPr>
      <w:r>
        <w:rPr>
          <w:rFonts w:cs="Arial" w:ascii="Times New Roman" w:hAnsi="Times New Roman"/>
          <w:bCs/>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themeColor="text1"/>
          <w:sz w:val="20"/>
          <w:szCs w:val="20"/>
        </w:rPr>
        <w:t>Resumen. La competitividad es una herramienta estratégica trascendental, para que sean competitivas las empresas requieren de un aumento sostenido de inversión y apertura comercial; además, determina el nivel de vida y el ingreso de la población ya que incide en los salarios como en la distribución de ingresos; por tal motivo, ha cobrado importancia; La investigación realizada fue de tipo descriptivo, con enfoque cuantitativo y recopilación de datos, las variables analizados fueron seleccionados y sirvieron de referencia para la construcción de los indicadores del estudio, la finalidad del trabajo fue el</w:t>
      </w:r>
      <w:r>
        <w:rPr>
          <w:rFonts w:cs="Arial" w:ascii="Times New Roman" w:hAnsi="Times New Roman"/>
          <w:b/>
          <w:bCs/>
          <w:color w:val="000000"/>
          <w:sz w:val="20"/>
          <w:szCs w:val="20"/>
        </w:rPr>
        <w:t xml:space="preserve"> conocimiento que tiene las empresas acerca de los factores de competividad.</w:t>
      </w:r>
      <w:r>
        <w:rPr>
          <w:rFonts w:cs="Arial" w:ascii="Times New Roman" w:hAnsi="Times New Roman"/>
          <w:b/>
          <w:bCs/>
          <w:color w:val="000000" w:themeColor="text1"/>
          <w:sz w:val="20"/>
          <w:szCs w:val="20"/>
          <w:shd w:fill="FFFFFF" w:val="clear"/>
        </w:rPr>
        <w:t xml:space="preserve"> De los resultados obtenidos se encontró que los factores que influyen para alcanzar la competividad son: el enfoque al cliente 98%, calidad de producto 88% y precio 72%; otros factores en menor proporción son, recopilación de información, el entorno y recurso; por tal motivo, es necesario considerar estos elementos y adaptarlos a los requerimientos de los clientes.</w:t>
      </w:r>
    </w:p>
    <w:p>
      <w:pPr>
        <w:pStyle w:val="Normal"/>
        <w:spacing w:lineRule="auto" w:line="240" w:before="0" w:after="0"/>
        <w:ind w:left="0" w:right="0" w:hanging="0"/>
        <w:jc w:val="both"/>
        <w:rPr>
          <w:rFonts w:cs="Arial"/>
          <w:color w:themeColor="text1"/>
          <w:shd w:fill="FFFFFF" w:val="clear"/>
        </w:rPr>
      </w:pPr>
      <w:r>
        <w:rPr>
          <w:rFonts w:ascii="Times New Roman" w:hAnsi="Times New Roman"/>
          <w:b/>
          <w:bCs/>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themeColor="text1"/>
          <w:sz w:val="20"/>
          <w:szCs w:val="20"/>
          <w:shd w:fill="FFFFFF" w:val="clear"/>
        </w:rPr>
        <w:t>Palabras claves: Cliente, competividad, precio, ingresos, Calidad</w:t>
      </w:r>
    </w:p>
    <w:p>
      <w:pPr>
        <w:pStyle w:val="Normal"/>
        <w:spacing w:lineRule="auto" w:line="240" w:before="0" w:after="0"/>
        <w:ind w:left="0" w:right="0" w:hanging="0"/>
        <w:jc w:val="both"/>
        <w:rPr>
          <w:rFonts w:cs="Arial"/>
        </w:rPr>
      </w:pPr>
      <w:r>
        <w:rPr>
          <w:rFonts w:ascii="Times New Roman" w:hAnsi="Times New Roman"/>
          <w:b/>
          <w:bCs/>
          <w:color w:val="000000"/>
          <w:sz w:val="20"/>
          <w:szCs w:val="20"/>
        </w:rPr>
      </w:r>
    </w:p>
    <w:p>
      <w:pPr>
        <w:pStyle w:val="Normal"/>
        <w:spacing w:lineRule="auto" w:line="240" w:before="0" w:after="0"/>
        <w:ind w:left="0" w:right="0" w:hanging="0"/>
        <w:jc w:val="both"/>
        <w:rPr>
          <w:rFonts w:ascii="Times New Roman" w:hAnsi="Times New Roman"/>
          <w:b/>
          <w:b/>
          <w:bCs/>
          <w:color w:val="000000"/>
          <w:sz w:val="20"/>
          <w:szCs w:val="20"/>
        </w:rPr>
      </w:pPr>
      <w:r>
        <w:rPr>
          <w:rFonts w:cs="Arial" w:ascii="Times New Roman" w:hAnsi="Times New Roman"/>
          <w:b/>
          <w:bCs/>
          <w:color w:val="000000"/>
          <w:sz w:val="20"/>
          <w:szCs w:val="20"/>
        </w:rPr>
        <w:t xml:space="preserve">Abstract.. Competitiveness is a crucial strategic tool. For companies to be competitive, they require a sustained increase in investment and trade openness; furthermore, it determines the standard of living and income of the population as it affects both wages and income distribution. The analyzed variables were selected and served as references for constructing the study's indicators, The purpose of the work was the knowledge that companies have about competitiveness factors. </w:t>
      </w:r>
      <w:r>
        <w:rPr>
          <w:rFonts w:cs="Arial" w:ascii="Times New Roman" w:hAnsi="Times New Roman"/>
          <w:b/>
          <w:bCs/>
          <w:color w:val="000000" w:themeColor="text1"/>
          <w:sz w:val="20"/>
          <w:szCs w:val="20"/>
          <w:shd w:fill="F7F7F8" w:val="clear"/>
        </w:rPr>
        <w:t>From the results obtained,  the factors influencing competitiveness are: customer focus at 98%, product quality at 88%, and price at 72%. Other factors, such as information gathering, the environment, and resources, have a lesser influence. Therefore, it is necessary to consider these factors and adapt them to meet customer requirements.</w:t>
      </w:r>
    </w:p>
    <w:p>
      <w:pPr>
        <w:pStyle w:val="Normal"/>
        <w:spacing w:lineRule="auto" w:line="240" w:before="0" w:after="0"/>
        <w:ind w:left="0" w:right="0" w:hanging="0"/>
        <w:jc w:val="both"/>
        <w:rPr>
          <w:rFonts w:ascii="Times New Roman" w:hAnsi="Times New Roman" w:cs="Arial"/>
          <w:b/>
          <w:b/>
          <w:bCs/>
          <w:color w:val="000000"/>
          <w:sz w:val="20"/>
          <w:szCs w:val="20"/>
        </w:rPr>
      </w:pPr>
      <w:r>
        <w:rPr>
          <w:rFonts w:cs="Arial" w:ascii="Times New Roman" w:hAnsi="Times New Roman"/>
          <w:b/>
          <w:bCs/>
          <w:color w:val="000000"/>
          <w:sz w:val="20"/>
          <w:szCs w:val="20"/>
        </w:rPr>
      </w:r>
    </w:p>
    <w:p>
      <w:pPr>
        <w:pStyle w:val="Normal"/>
        <w:spacing w:lineRule="auto" w:line="240" w:before="0" w:after="0"/>
        <w:ind w:left="0" w:right="0" w:hanging="0"/>
        <w:rPr>
          <w:rFonts w:ascii="Times New Roman" w:hAnsi="Times New Roman"/>
          <w:b/>
          <w:b/>
          <w:bCs/>
          <w:color w:val="000000"/>
          <w:sz w:val="20"/>
          <w:szCs w:val="20"/>
        </w:rPr>
      </w:pPr>
      <w:r>
        <w:rPr>
          <w:rFonts w:ascii="Times New Roman" w:hAnsi="Times New Roman"/>
          <w:b/>
          <w:bCs/>
          <w:color w:val="000000"/>
          <w:sz w:val="20"/>
          <w:szCs w:val="20"/>
        </w:rPr>
        <w:t>Keywords: Customer, competitiveness, price, income, quality.</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b/>
          <w:bCs/>
          <w:color w:val="000000"/>
          <w:sz w:val="20"/>
          <w:szCs w:val="20"/>
        </w:rPr>
        <w:t xml:space="preserve">I. </w:t>
      </w:r>
      <w:r>
        <w:rPr>
          <w:rFonts w:cs="Arial" w:ascii="Times New Roman" w:hAnsi="Times New Roman"/>
          <w:b/>
          <w:bCs/>
          <w:color w:val="000000"/>
          <w:sz w:val="20"/>
          <w:szCs w:val="20"/>
        </w:rPr>
        <w:t>INTRODUCCIÓN</w:t>
      </w:r>
    </w:p>
    <w:p>
      <w:pPr>
        <w:pStyle w:val="Normal"/>
        <w:spacing w:lineRule="auto" w:line="240" w:before="0" w:after="0"/>
        <w:ind w:left="0" w:right="0" w:hanging="0"/>
        <w:jc w:val="both"/>
        <w:rPr/>
      </w:pPr>
      <w:r>
        <w:rPr>
          <w:rFonts w:cs="Arial" w:ascii="Times New Roman" w:hAnsi="Times New Roman"/>
          <w:bCs/>
          <w:color w:val="000000"/>
          <w:sz w:val="20"/>
          <w:szCs w:val="20"/>
        </w:rPr>
        <w:t xml:space="preserve">En estos últimos tempos, la economía se ha caracterizado por una creciente globalización y los mercados cada vez más competitivos distinguidos por un libre intercambio de productos </w:t>
      </w:r>
      <w:r>
        <w:fldChar w:fldCharType="begin"/>
      </w:r>
      <w:r>
        <w:rPr>
          <w:sz w:val="20"/>
          <w:szCs w:val="20"/>
          <w:bCs/>
          <w:rFonts w:cs="Arial" w:ascii="Times New Roman" w:hAnsi="Times New Roman"/>
          <w:color w:val="000000"/>
        </w:rPr>
        <w:instrText>ADDIN EN.CITE &lt;EndNote&gt;&lt;Cite&gt;&lt;Author&gt;Valenzuela-Klagges&lt;/Author&gt;&lt;Year&gt;2020&lt;/Year&gt;&lt;RecNum&gt;20&lt;/RecNum&gt;&lt;DisplayText&gt;[1]&lt;/DisplayText&gt;&lt;record&gt;&lt;rec-number&gt;20&lt;/rec-number&gt;&lt;foreign-keys&gt;&lt;key app="EN" db-id="xrds25tsaxxsthedsav52z092p50zrswf55r"&gt;20&lt;/key&gt;&lt;/foreign-keys&gt;&lt;ref-type name="Journal Article"&gt;17&lt;/ref-type&gt;&lt;contributors&gt;&lt;authors&gt;&lt;author&gt;Bárbara Valenzuela-Klagges&lt;/author&gt;&lt;author&gt;Darcy Fuenzalida-O’Shee&lt;/author&gt;&lt;/authors&gt;&lt;/contributors&gt;&lt;titles&gt;&lt;title&gt;Efectos de la inversión extranjera y competitividad en el comercio y productividad de países latinoamericanos&lt;/title&gt;&lt;secondary-title&gt;Economia y sociedad&lt;/secondary-title&gt;&lt;/titles&gt;&lt;periodical&gt;&lt;full-title&gt;Economia y sociedad&lt;/full-title&gt;&lt;/periodical&gt;&lt;pages&gt;1-16&lt;/pages&gt;&lt;volume&gt;25&lt;/volume&gt;&lt;dates&gt;&lt;year&gt;2020&lt;/year&gt;&lt;/dates&gt;&lt;urls&gt;&lt;/urls&gt;&lt;/record&gt;&lt;/Cite&gt;&lt;/EndNote&gt;</w:instrText>
      </w:r>
      <w:r>
        <w:rPr>
          <w:rFonts w:cs="Arial" w:ascii="Times New Roman" w:hAnsi="Times New Roman"/>
          <w:bCs/>
          <w:color w:val="000000"/>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sz w:val="20"/>
          <w:szCs w:val="20"/>
        </w:rPr>
        <w:t>[</w:t>
      </w:r>
      <w:hyperlink r:id="rId8">
        <w:r>
          <w:rPr>
            <w:rFonts w:cs="Arial" w:ascii="Times New Roman" w:hAnsi="Times New Roman"/>
            <w:bCs/>
            <w:color w:val="000000"/>
            <w:sz w:val="20"/>
            <w:szCs w:val="20"/>
          </w:rPr>
          <w:t>1</w:t>
        </w:r>
      </w:hyperlink>
      <w:r>
        <w:rPr>
          <w:rFonts w:cs="Arial" w:ascii="Times New Roman" w:hAnsi="Times New Roman"/>
          <w:bCs/>
          <w:color w:val="000000"/>
          <w:sz w:val="20"/>
          <w:szCs w:val="20"/>
        </w:rPr>
        <w:t>]</w:t>
      </w:r>
      <w:hyperlink r:id="rId9">
        <w:r>
          <w:rPr>
            <w:rFonts w:cs="Arial" w:ascii="Times New Roman" w:hAnsi="Times New Roman"/>
            <w:bCs/>
            <w:color w:val="000000"/>
            <w:sz w:val="20"/>
            <w:szCs w:val="20"/>
          </w:rPr>
        </w:r>
      </w:hyperlink>
      <w:r>
        <w:rPr>
          <w:sz w:val="20"/>
          <w:szCs w:val="20"/>
          <w:bCs/>
          <w:rFonts w:cs="Arial" w:ascii="Times New Roman" w:hAnsi="Times New Roman"/>
          <w:color w:val="000000"/>
        </w:rPr>
        <w:fldChar w:fldCharType="end"/>
      </w:r>
      <w:r>
        <w:rPr>
          <w:rFonts w:cs="Arial" w:ascii="Times New Roman" w:hAnsi="Times New Roman"/>
          <w:bCs/>
          <w:color w:val="000000"/>
          <w:sz w:val="20"/>
          <w:szCs w:val="20"/>
        </w:rPr>
        <w:t>. Cada día,</w:t>
      </w:r>
      <w:r>
        <w:rPr>
          <w:rFonts w:cs="Arial" w:ascii="Times New Roman" w:hAnsi="Times New Roman"/>
          <w:color w:val="000000"/>
          <w:sz w:val="20"/>
          <w:szCs w:val="20"/>
        </w:rPr>
        <w:t xml:space="preserve"> para responder a las necesidades de los habitantes de poseer bienes, servicios a precios competitivos y de calidad que satisfagan los requerimientos de seguridad, implica que la empresa tenga que mejorar día a día para seguir ofreciendo productos atractivos en precio a lo largo del tiempo </w:t>
      </w:r>
      <w:r>
        <w:fldChar w:fldCharType="begin"/>
      </w:r>
      <w:r>
        <w:rPr>
          <w:sz w:val="20"/>
          <w:szCs w:val="20"/>
          <w:rFonts w:cs="Arial" w:ascii="Times New Roman" w:hAnsi="Times New Roman"/>
          <w:color w:val="000000"/>
        </w:rPr>
        <w:instrText>ADDIN EN.CITE &lt;EndNote&gt;&lt;Cite&gt;&lt;Author&gt;Hermundsdottir&lt;/Author&gt;&lt;Year&gt;2021&lt;/Year&gt;&lt;RecNum&gt;2&lt;/RecNum&gt;&lt;DisplayText&gt;[2]&lt;/DisplayText&gt;&lt;record&gt;&lt;rec-number&gt;2&lt;/rec-number&gt;&lt;foreign-keys&gt;&lt;key app="EN" db-id="xrds25tsaxxsthedsav52z092p50zrswf55r"&gt;2&lt;/key&gt;&lt;/foreign-keys&gt;&lt;ref-type name="Journal Article"&gt;17&lt;/ref-type&gt;&lt;contributors&gt;&lt;authors&gt;&lt;author&gt;Fanny Hermundsdottir&lt;/author&gt;&lt;author&gt;Arild Aspelund&lt;/author&gt;&lt;/authors&gt;&lt;/contributors&gt;&lt;titles&gt;&lt;title&gt;Sustainability innovations and firm competitiveness: A review&lt;/title&gt;&lt;secondary-title&gt;Journal of Cleaner Production &lt;/secondary-title&gt;&lt;/titles&gt;&lt;periodical&gt;&lt;full-title&gt;Journal of Cleaner Production&lt;/full-title&gt;&lt;abbr-1&gt;J. Clean. Prod.&lt;/abbr-1&gt;&lt;/periodical&gt;&lt;pages&gt;1-18&lt;/pages&gt;&lt;volume&gt;280&lt;/volume&gt;&lt;dates&gt;&lt;year&gt;2021&lt;/year&gt;&lt;/dates&gt;&lt;urls&gt;&lt;/urls&gt;&lt;/record&gt;&lt;/Cite&gt;&lt;/EndNote&gt;</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w:t>
      </w:r>
      <w:hyperlink r:id="rId10">
        <w:r>
          <w:rPr>
            <w:rFonts w:cs="Arial" w:ascii="Times New Roman" w:hAnsi="Times New Roman"/>
            <w:color w:val="000000"/>
            <w:sz w:val="20"/>
            <w:szCs w:val="20"/>
          </w:rPr>
          <w:t>2</w:t>
        </w:r>
      </w:hyperlink>
      <w:r>
        <w:rPr>
          <w:rFonts w:cs="Arial" w:ascii="Times New Roman" w:hAnsi="Times New Roman"/>
          <w:color w:val="000000"/>
          <w:sz w:val="20"/>
          <w:szCs w:val="20"/>
        </w:rPr>
        <w:t>]</w:t>
      </w:r>
      <w:hyperlink r:id="rId11">
        <w:r>
          <w:rPr>
            <w:rFonts w:cs="Arial" w:ascii="Times New Roman" w:hAnsi="Times New Roman"/>
            <w:color w:val="000000"/>
            <w:sz w:val="20"/>
            <w:szCs w:val="20"/>
          </w:rPr>
        </w:r>
      </w:hyperlink>
      <w:r>
        <w:rPr>
          <w:sz w:val="20"/>
          <w:szCs w:val="20"/>
          <w:rFonts w:cs="Arial" w:ascii="Times New Roman" w:hAnsi="Times New Roman"/>
          <w:color w:val="000000"/>
        </w:rPr>
        <w:fldChar w:fldCharType="end"/>
      </w:r>
      <w:r>
        <w:rPr>
          <w:rFonts w:cs="Arial" w:ascii="Times New Roman" w:hAnsi="Times New Roman"/>
          <w:color w:val="000000"/>
          <w:sz w:val="20"/>
          <w:szCs w:val="20"/>
        </w:rPr>
        <w:t xml:space="preserve">. La competitividad constituye una herramienta estratégica que con el pasar de los años ha cobrado importancia no solo entre los académicos sino también entre las empresas, pues conceptos diferentes pueden ser analizadas para entender por qué es trascendental para las organizaciones adoptar la competitividad como una filosofía de vida </w:t>
      </w:r>
      <w:r>
        <w:fldChar w:fldCharType="begin"/>
      </w:r>
      <w:r>
        <w:rPr>
          <w:sz w:val="20"/>
          <w:szCs w:val="20"/>
          <w:rFonts w:cs="Arial" w:ascii="Times New Roman" w:hAnsi="Times New Roman"/>
          <w:color w:val="000000"/>
        </w:rPr>
        <w:instrText>ADDIN EN.CITE &lt;EndNote&gt;&lt;Cite&gt;&lt;Author&gt;Muñoz&lt;/Author&gt;&lt;Year&gt;2021&lt;/Year&gt;&lt;RecNum&gt;1&lt;/RecNum&gt;&lt;DisplayText&gt;[3]&lt;/DisplayText&gt;&lt;record&gt;&lt;rec-number&gt;1&lt;/rec-number&gt;&lt;foreign-keys&gt;&lt;key app="EN" db-id="xrds25tsaxxsthedsav52z092p50zrswf55r"&gt;1&lt;/key&gt;&lt;/foreign-keys&gt;&lt;ref-type name="Journal Article"&gt;17&lt;/ref-type&gt;&lt;contributors&gt;&lt;authors&gt;&lt;author&gt;Gabriel Alejandro Díaz Muñoz&lt;/author&gt;&lt;author&gt;María Dolores Quintana Lombeida&lt;/author&gt;&lt;author&gt; Daniel Gonzalo Fierro Mosquera&lt;/author&gt;&lt;/authors&gt;&lt;/contributors&gt;&lt;titles&gt;&lt;title&gt;La competitividad como factor de crecimiento para las organizaciones&lt;/title&gt;&lt;secondary-title&gt;INNOVA Research Journal,&lt;/secondary-title&gt;&lt;/titles&gt;&lt;periodical&gt;&lt;full-title&gt;INNOVA Research Journal,&lt;/full-title&gt;&lt;/periodical&gt;&lt;pages&gt;145-161&lt;/pages&gt;&lt;volume&gt;6&lt;/volume&gt;&lt;dates&gt;&lt;year&gt;2021&lt;/year&gt;&lt;/dates&gt;&lt;urls&gt;&lt;/urls&gt;&lt;/record&gt;&lt;/Cite&gt;&lt;/EndNote&gt;</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w:t>
      </w:r>
      <w:hyperlink r:id="rId12">
        <w:r>
          <w:rPr>
            <w:rFonts w:cs="Arial" w:ascii="Times New Roman" w:hAnsi="Times New Roman"/>
            <w:color w:val="000000"/>
            <w:sz w:val="20"/>
            <w:szCs w:val="20"/>
          </w:rPr>
          <w:t>3</w:t>
        </w:r>
      </w:hyperlink>
      <w:r>
        <w:rPr>
          <w:rFonts w:cs="Arial" w:ascii="Times New Roman" w:hAnsi="Times New Roman"/>
          <w:color w:val="000000"/>
          <w:sz w:val="20"/>
          <w:szCs w:val="20"/>
        </w:rPr>
        <w:t>]</w:t>
      </w:r>
      <w:hyperlink r:id="rId13">
        <w:r>
          <w:rPr>
            <w:rFonts w:cs="Arial" w:ascii="Times New Roman" w:hAnsi="Times New Roman"/>
            <w:color w:val="000000"/>
            <w:sz w:val="20"/>
            <w:szCs w:val="20"/>
          </w:rPr>
        </w:r>
      </w:hyperlink>
      <w:r>
        <w:rPr>
          <w:sz w:val="20"/>
          <w:szCs w:val="20"/>
          <w:rFonts w:cs="Arial" w:ascii="Times New Roman" w:hAnsi="Times New Roman"/>
          <w:color w:val="000000"/>
        </w:rPr>
        <w:fldChar w:fldCharType="end"/>
      </w:r>
      <w:r>
        <w:rPr>
          <w:rFonts w:cs="Arial" w:ascii="Times New Roman" w:hAnsi="Times New Roman"/>
          <w:color w:val="000000"/>
          <w:sz w:val="20"/>
          <w:szCs w:val="20"/>
        </w:rPr>
        <w:t>.</w:t>
      </w:r>
    </w:p>
    <w:p>
      <w:pPr>
        <w:pStyle w:val="Normal"/>
        <w:spacing w:lineRule="auto" w:line="240" w:before="0" w:after="0"/>
        <w:ind w:left="0" w:right="0" w:hanging="0"/>
        <w:jc w:val="both"/>
        <w:rPr>
          <w:rFonts w:ascii="Times New Roman" w:hAnsi="Times New Roman" w:cs="Arial"/>
          <w:bCs/>
          <w:color w:val="000000"/>
          <w:sz w:val="20"/>
          <w:szCs w:val="20"/>
        </w:rPr>
      </w:pPr>
      <w:r>
        <w:rPr>
          <w:rFonts w:cs="Arial" w:ascii="Times New Roman" w:hAnsi="Times New Roman"/>
          <w:bCs/>
          <w:color w:val="000000"/>
          <w:sz w:val="20"/>
          <w:szCs w:val="20"/>
        </w:rPr>
      </w:r>
    </w:p>
    <w:p>
      <w:pPr>
        <w:pStyle w:val="Normal"/>
        <w:spacing w:lineRule="auto" w:line="240" w:before="0" w:after="0"/>
        <w:ind w:left="0" w:right="0" w:hanging="0"/>
        <w:jc w:val="both"/>
        <w:rPr/>
      </w:pPr>
      <w:r>
        <w:rPr>
          <w:rFonts w:cs="Arial" w:ascii="Times New Roman" w:hAnsi="Times New Roman"/>
          <w:bCs/>
          <w:color w:val="000000" w:themeColor="text1"/>
          <w:sz w:val="20"/>
          <w:szCs w:val="20"/>
        </w:rPr>
        <w:t>En el ámbito internacional para que las empresas logren una mayor competividad, requieren de un aumento sostenido de inversión y apertura comercial; por lo tanto,</w:t>
      </w:r>
      <w:r>
        <w:rPr>
          <w:rFonts w:cs="Arial" w:ascii="Times New Roman" w:hAnsi="Times New Roman"/>
          <w:bCs/>
          <w:color w:val="000000"/>
          <w:sz w:val="20"/>
          <w:szCs w:val="20"/>
        </w:rPr>
        <w:t xml:space="preserve"> la rápida transformación del entorno internacional ha modificado las reglas del mercado a nivel macro, sectorial y micro. El incremento sostenido de la competitividad es ahora un requisito indispensable para el crecimiento y para la propia viabilidad de las unidades productivas </w:t>
      </w:r>
      <w:r>
        <w:fldChar w:fldCharType="begin"/>
      </w:r>
      <w:r>
        <w:rPr>
          <w:sz w:val="20"/>
          <w:szCs w:val="20"/>
          <w:bCs/>
          <w:rFonts w:cs="Arial" w:ascii="Times New Roman" w:hAnsi="Times New Roman"/>
          <w:color w:val="000000"/>
        </w:rPr>
        <w:instrText>ADDIN EN.CITE &lt;EndNote&gt;&lt;Cite&gt;&lt;Author&gt;Muñoz&lt;/Author&gt;&lt;Year&gt;2021&lt;/Year&gt;&lt;RecNum&gt;1&lt;/RecNum&gt;&lt;DisplayText&gt;[3]&lt;/DisplayText&gt;&lt;record&gt;&lt;rec-number&gt;1&lt;/rec-number&gt;&lt;foreign-keys&gt;&lt;key app="EN" db-id="xrds25tsaxxsthedsav52z092p50zrswf55r"&gt;1&lt;/key&gt;&lt;/foreign-keys&gt;&lt;ref-type name="Journal Article"&gt;17&lt;/ref-type&gt;&lt;contributors&gt;&lt;authors&gt;&lt;author&gt;Gabriel Alejandro Díaz Muñoz&lt;/author&gt;&lt;author&gt;María Dolores Quintana Lombeida&lt;/author&gt;&lt;author&gt; Daniel Gonzalo Fierro Mosquera&lt;/author&gt;&lt;/authors&gt;&lt;/contributors&gt;&lt;titles&gt;&lt;title&gt;La competitividad como factor de crecimiento para las organizaciones&lt;/title&gt;&lt;secondary-title&gt;INNOVA Research Journal,&lt;/secondary-title&gt;&lt;/titles&gt;&lt;periodical&gt;&lt;full-title&gt;INNOVA Research Journal,&lt;/full-title&gt;&lt;/periodical&gt;&lt;pages&gt;145-161&lt;/pages&gt;&lt;volume&gt;6&lt;/volume&gt;&lt;dates&gt;&lt;year&gt;2021&lt;/year&gt;&lt;/dates&gt;&lt;urls&gt;&lt;/urls&gt;&lt;/record&gt;&lt;/Cite&gt;&lt;/EndNote&gt;</w:instrText>
      </w:r>
      <w:r>
        <w:rPr>
          <w:rFonts w:cs="Arial" w:ascii="Times New Roman" w:hAnsi="Times New Roman"/>
          <w:bCs/>
          <w:color w:val="000000"/>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sz w:val="20"/>
          <w:szCs w:val="20"/>
        </w:rPr>
        <w:t>[</w:t>
      </w:r>
      <w:hyperlink r:id="rId14">
        <w:r>
          <w:rPr>
            <w:rFonts w:cs="Arial" w:ascii="Times New Roman" w:hAnsi="Times New Roman"/>
            <w:bCs/>
            <w:color w:val="000000"/>
            <w:sz w:val="20"/>
            <w:szCs w:val="20"/>
          </w:rPr>
          <w:t>3</w:t>
        </w:r>
      </w:hyperlink>
      <w:r>
        <w:rPr>
          <w:rFonts w:cs="Arial" w:ascii="Times New Roman" w:hAnsi="Times New Roman"/>
          <w:bCs/>
          <w:color w:val="000000"/>
          <w:sz w:val="20"/>
          <w:szCs w:val="20"/>
        </w:rPr>
        <w:t>]</w:t>
      </w:r>
      <w:hyperlink r:id="rId15">
        <w:r>
          <w:rPr>
            <w:rFonts w:cs="Arial" w:ascii="Times New Roman" w:hAnsi="Times New Roman"/>
            <w:bCs/>
            <w:color w:val="000000"/>
            <w:sz w:val="20"/>
            <w:szCs w:val="20"/>
          </w:rPr>
        </w:r>
      </w:hyperlink>
      <w:r>
        <w:rPr>
          <w:sz w:val="20"/>
          <w:szCs w:val="20"/>
          <w:bCs/>
          <w:rFonts w:cs="Arial" w:ascii="Times New Roman" w:hAnsi="Times New Roman"/>
          <w:color w:val="000000"/>
        </w:rPr>
        <w:fldChar w:fldCharType="end"/>
      </w:r>
      <w:r>
        <w:rPr>
          <w:rFonts w:cs="Bookman Old Style" w:ascii="Times New Roman" w:hAnsi="Times New Roman"/>
          <w:b/>
          <w:bCs/>
          <w:color w:val="000000"/>
          <w:sz w:val="20"/>
          <w:szCs w:val="20"/>
        </w:rPr>
        <w:t>.</w:t>
      </w:r>
      <w:r>
        <w:rPr>
          <w:rFonts w:cs="Arial" w:ascii="Times New Roman" w:hAnsi="Times New Roman"/>
          <w:bCs/>
          <w:color w:val="000000" w:themeColor="text1"/>
          <w:sz w:val="20"/>
          <w:szCs w:val="20"/>
        </w:rPr>
        <w:t xml:space="preserve"> El análisis y mejora de la competividad exige de la implementación de diversidad de políticas que permitan superar los obstáculos existentes para lograrla. La teoría de la competividad señala la necesidad de crear factores productivos y competentes en economías de escasos desarrollos; de tal manera, que se tenga la capacidad de sostenerse e incrementar la participación en los mercados internacionales </w:t>
      </w:r>
      <w:r>
        <w:fldChar w:fldCharType="begin"/>
      </w:r>
      <w:r>
        <w:rPr>
          <w:sz w:val="20"/>
          <w:szCs w:val="20"/>
          <w:bCs/>
          <w:rFonts w:cs="Arial" w:ascii="Times New Roman" w:hAnsi="Times New Roman"/>
          <w:color w:val="000000"/>
        </w:rPr>
        <w:instrText>ADDIN EN.CITE &lt;EndNote&gt;&lt;Cite&gt;&lt;Author&gt;Capobianco-Uriarte&lt;/Author&gt;&lt;Year&gt;2019&lt;/Year&gt;&lt;RecNum&gt;22&lt;/RecNum&gt;&lt;DisplayText&gt;[4]&lt;/DisplayText&gt;&lt;record&gt;&lt;rec-number&gt;22&lt;/rec-number&gt;&lt;foreign-keys&gt;&lt;key app="EN" db-id="xrds25tsaxxsthedsav52z092p50zrswf55r"&gt;22&lt;/key&gt;&lt;/foreign-keys&gt;&lt;ref-type name="Journal Article"&gt;17&lt;/ref-type&gt;&lt;contributors&gt;&lt;authors&gt;&lt;author&gt;María de las Mercedes Capobianco-Uriarte&lt;/author&gt;&lt;author&gt;María del Pilar Casado-Belmonte ,&lt;/author&gt;&lt;author&gt;Gema María Marín-Carrillo&lt;/author&gt;&lt;author&gt;Eduardo Terán-Yépez&lt;/author&gt;&lt;/authors&gt;&lt;/contributors&gt;&lt;titles&gt;&lt;title&gt;A Bibliometric Analysis of International Competitiveness (1983–2017)&lt;/title&gt;&lt;secondary-title&gt;Sustainability &lt;/secondary-title&gt;&lt;/titles&gt;&lt;periodical&gt;&lt;full-title&gt;Sustainability&lt;/full-title&gt;&lt;/periodical&gt;&lt;pages&gt;1-22&lt;/pages&gt;&lt;volume&gt;11&lt;/volume&gt;&lt;dates&gt;&lt;year&gt;2019&lt;/year&gt;&lt;/dates&gt;&lt;urls&gt;&lt;/urls&gt;&lt;/record&gt;&lt;/Cite&gt;&lt;/EndNote&gt;</w:instrText>
      </w:r>
      <w:r>
        <w:rPr>
          <w:rFonts w:cs="Arial" w:ascii="Times New Roman" w:hAnsi="Times New Roman"/>
          <w:bCs/>
          <w:color w:val="000000" w:themeColor="text1"/>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themeColor="text1"/>
          <w:sz w:val="20"/>
          <w:szCs w:val="20"/>
        </w:rPr>
        <w:t>[</w:t>
      </w:r>
      <w:hyperlink r:id="rId16">
        <w:r>
          <w:rPr>
            <w:rFonts w:cs="Arial" w:ascii="Times New Roman" w:hAnsi="Times New Roman"/>
            <w:bCs/>
            <w:color w:val="000000" w:themeColor="text1"/>
            <w:sz w:val="20"/>
            <w:szCs w:val="20"/>
          </w:rPr>
          <w:t>4</w:t>
        </w:r>
      </w:hyperlink>
      <w:r>
        <w:rPr>
          <w:rFonts w:cs="Arial" w:ascii="Times New Roman" w:hAnsi="Times New Roman"/>
          <w:bCs/>
          <w:color w:val="000000" w:themeColor="text1"/>
          <w:sz w:val="20"/>
          <w:szCs w:val="20"/>
        </w:rPr>
        <w:t>]</w:t>
      </w:r>
      <w:hyperlink r:id="rId17">
        <w:r>
          <w:rPr>
            <w:rFonts w:cs="Arial" w:ascii="Times New Roman" w:hAnsi="Times New Roman"/>
            <w:bCs/>
            <w:color w:val="000000" w:themeColor="text1"/>
            <w:sz w:val="20"/>
            <w:szCs w:val="20"/>
          </w:rPr>
        </w:r>
      </w:hyperlink>
      <w:r>
        <w:rPr>
          <w:sz w:val="20"/>
          <w:szCs w:val="20"/>
          <w:bCs/>
          <w:rFonts w:cs="Arial" w:ascii="Times New Roman" w:hAnsi="Times New Roman"/>
          <w:color w:val="000000"/>
        </w:rPr>
        <w:fldChar w:fldCharType="end"/>
      </w:r>
      <w:r>
        <w:rPr>
          <w:rFonts w:cs="Arial" w:ascii="Times New Roman" w:hAnsi="Times New Roman"/>
          <w:bCs/>
          <w:color w:val="000000" w:themeColor="text1"/>
          <w:sz w:val="20"/>
          <w:szCs w:val="20"/>
        </w:rPr>
        <w:t xml:space="preserve">. </w:t>
      </w:r>
    </w:p>
    <w:p>
      <w:pPr>
        <w:pStyle w:val="Normal"/>
        <w:spacing w:lineRule="auto" w:line="240" w:before="0" w:after="0"/>
        <w:ind w:left="0" w:right="0" w:hanging="0"/>
        <w:jc w:val="both"/>
        <w:rPr>
          <w:rFonts w:ascii="Times New Roman" w:hAnsi="Times New Roman" w:cs="Arial"/>
          <w:bCs/>
          <w:color w:val="000000" w:themeColor="text1"/>
          <w:sz w:val="20"/>
          <w:szCs w:val="20"/>
        </w:rPr>
      </w:pPr>
      <w:r>
        <w:rPr>
          <w:rFonts w:cs="Arial" w:ascii="Times New Roman" w:hAnsi="Times New Roman"/>
          <w:bCs/>
          <w:color w:val="000000" w:themeColor="text1"/>
          <w:sz w:val="20"/>
          <w:szCs w:val="20"/>
        </w:rPr>
      </w:r>
    </w:p>
    <w:p>
      <w:pPr>
        <w:pStyle w:val="Normal"/>
        <w:spacing w:lineRule="auto" w:line="240" w:before="0" w:after="0"/>
        <w:ind w:left="0" w:right="0" w:hanging="0"/>
        <w:jc w:val="both"/>
        <w:rPr/>
      </w:pPr>
      <w:r>
        <w:rPr>
          <w:rFonts w:cs="Arial" w:ascii="Times New Roman" w:hAnsi="Times New Roman"/>
          <w:color w:val="000000"/>
          <w:sz w:val="20"/>
          <w:szCs w:val="20"/>
        </w:rPr>
        <w:t xml:space="preserve">Si bien, en países en desarrollo han avanzado tanto en concepto como en indicadores de competitividad, en el ámbito empresarial dista mucho de haber un acuerdo sobre los factores que inciden en una mayor o menor competitividad de las empresas. Al respecto, se mencionan factores internos y externos que se pudieran considerar como convencionales (métodos de producción y organización del trabajo que en tiempos pasados fueron efectivos, actualmente y debido a los cambios de paradigmas se han vuelto obsoletos), al lado de otros como la investigación y el desarrollo tecnológico, que en el contexto global han adquirido un creciente peso relativo, dando lugar a variables e indicadores que hacen cada vez más complejo el estudio de este tema </w:t>
      </w:r>
      <w:r>
        <w:fldChar w:fldCharType="begin"/>
      </w:r>
      <w:r>
        <w:rPr>
          <w:sz w:val="20"/>
          <w:szCs w:val="20"/>
          <w:rFonts w:cs="Arial" w:ascii="Times New Roman" w:hAnsi="Times New Roman"/>
          <w:color w:val="000000"/>
        </w:rPr>
        <w:instrText>ADDIN EN.CITE &lt;EndNote&gt;&lt;Cite&gt;&lt;Author&gt;García&lt;/Author&gt;&lt;Year&gt;2018&lt;/Year&gt;&lt;RecNum&gt;4&lt;/RecNum&gt;&lt;DisplayText&gt;[5]&lt;/DisplayText&gt;&lt;record&gt;&lt;rec-number&gt;4&lt;/rec-number&gt;&lt;foreign-keys&gt;&lt;key app="EN" db-id="xrds25tsaxxsthedsav52z092p50zrswf55r"&gt;4&lt;/key&gt;&lt;/foreign-keys&gt;&lt;ref-type name="Journal Article"&gt;17&lt;/ref-type&gt;&lt;contributors&gt;&lt;authors&gt;&lt;author&gt;Belinda Izquierdo García &lt;/author&gt;&lt;author&gt;Juan Schuster Fonseca &lt;/author&gt;&lt;/authors&gt;&lt;/contributors&gt;&lt;titles&gt;&lt;title&gt;Construcción de indicadores para la competitividad. Caso de empresas dirigidas por mujeres en la región de Xalapa, Ver., México&lt;/title&gt;&lt;secondary-title&gt;Investigación administrativa&lt;/secondary-title&gt;&lt;/titles&gt;&lt;periodical&gt;&lt;full-title&gt;Investigación administrativa&lt;/full-title&gt;&lt;/periodical&gt;&lt;pages&gt;1-21&lt;/pages&gt;&lt;dates&gt;&lt;year&gt;2018&lt;/year&gt;&lt;/dates&gt;&lt;urls&gt;&lt;/urls&gt;&lt;/record&gt;&lt;/Cite&gt;&lt;/EndNote&gt;</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w:t>
      </w:r>
      <w:hyperlink r:id="rId18">
        <w:r>
          <w:rPr>
            <w:rFonts w:cs="Arial" w:ascii="Times New Roman" w:hAnsi="Times New Roman"/>
            <w:color w:val="000000"/>
            <w:sz w:val="20"/>
            <w:szCs w:val="20"/>
          </w:rPr>
          <w:t>5</w:t>
        </w:r>
      </w:hyperlink>
      <w:r>
        <w:rPr>
          <w:rFonts w:cs="Arial" w:ascii="Times New Roman" w:hAnsi="Times New Roman"/>
          <w:color w:val="000000"/>
          <w:sz w:val="20"/>
          <w:szCs w:val="20"/>
        </w:rPr>
        <w:t>]</w:t>
      </w:r>
      <w:hyperlink r:id="rId19">
        <w:r>
          <w:rPr>
            <w:rFonts w:cs="Arial" w:ascii="Times New Roman" w:hAnsi="Times New Roman"/>
            <w:color w:val="000000"/>
            <w:sz w:val="20"/>
            <w:szCs w:val="20"/>
          </w:rPr>
        </w:r>
      </w:hyperlink>
      <w:r>
        <w:rPr>
          <w:sz w:val="20"/>
          <w:szCs w:val="20"/>
          <w:rFonts w:cs="Arial" w:ascii="Times New Roman" w:hAnsi="Times New Roman"/>
          <w:color w:val="000000"/>
        </w:rPr>
        <w:fldChar w:fldCharType="end"/>
      </w:r>
      <w:r>
        <w:rPr>
          <w:rFonts w:cs="Arial" w:ascii="Times New Roman" w:hAnsi="Times New Roman"/>
          <w:b/>
          <w:color w:val="000000"/>
          <w:sz w:val="20"/>
          <w:szCs w:val="20"/>
        </w:rPr>
        <w:t>.</w:t>
      </w:r>
    </w:p>
    <w:p>
      <w:pPr>
        <w:pStyle w:val="Normal"/>
        <w:spacing w:lineRule="auto" w:line="240" w:before="0" w:after="0"/>
        <w:ind w:left="0" w:right="0" w:hanging="0"/>
        <w:jc w:val="both"/>
        <w:rPr/>
      </w:pPr>
      <w:r>
        <w:rPr>
          <w:rFonts w:cs="Arial" w:ascii="Times New Roman" w:hAnsi="Times New Roman"/>
          <w:bCs/>
          <w:color w:val="000000" w:themeColor="text1"/>
          <w:sz w:val="20"/>
          <w:szCs w:val="20"/>
        </w:rPr>
        <w:t xml:space="preserve">Con el tiempo, la competividad ha determinado el nivel de vida y el ingreso de la población, ya que incide en los salarios como en la distribución de ingresos; por tal motivo, </w:t>
      </w:r>
      <w:r>
        <w:rPr>
          <w:rFonts w:cs="Arial" w:ascii="Times New Roman" w:hAnsi="Times New Roman"/>
          <w:color w:val="000000"/>
          <w:sz w:val="20"/>
          <w:szCs w:val="20"/>
        </w:rPr>
        <w:t xml:space="preserve">ha cobrado importancia no solo entre los académicos sino también entre las empresas y debe ser adoptada por las organizaciones como una filosofía de vida, </w:t>
      </w:r>
      <w:r>
        <w:fldChar w:fldCharType="begin"/>
      </w:r>
      <w:r>
        <w:rPr>
          <w:sz w:val="20"/>
          <w:szCs w:val="20"/>
          <w:rFonts w:cs="Arial" w:ascii="Times New Roman" w:hAnsi="Times New Roman"/>
          <w:color w:val="000000"/>
        </w:rPr>
        <w:instrText>ADDIN EN.CITE &lt;EndNote&gt;&lt;Cite AuthorYear="1"&gt;&lt;Author&gt;Mankiw&lt;/Author&gt;&lt;Year&gt;2012&lt;/Year&gt;&lt;RecNum&gt;9&lt;/RecNum&gt;&lt;DisplayText&gt;Mankiw [6]&lt;/DisplayText&gt;&lt;record&gt;&lt;rec-number&gt;9&lt;/rec-number&gt;&lt;foreign-keys&gt;&lt;key app="EN" db-id="xrds25tsaxxsthedsav52z092p50zrswf55r"&gt;9&lt;/key&gt;&lt;/foreign-keys&gt;&lt;ref-type name="Journal Article"&gt;17&lt;/ref-type&gt;&lt;contributors&gt;&lt;authors&gt;&lt;author&gt;N. Gregory Mankiw&lt;/author&gt;&lt;/authors&gt;&lt;/contributors&gt;&lt;titles&gt;&lt;title&gt;Principio de economia&lt;/title&gt;&lt;secondary-title&gt;Cengage learning&lt;/secondary-title&gt;&lt;/titles&gt;&lt;periodical&gt;&lt;full-title&gt;Cengage learning&lt;/full-title&gt;&lt;/periodical&gt;&lt;pages&gt;1-881&lt;/pages&gt;&lt;dates&gt;&lt;year&gt;2012&lt;/year&gt;&lt;/dates&gt;&lt;urls&gt;&lt;/urls&gt;&lt;/record&gt;&lt;/Cite&gt;&lt;/EndNote&gt;</w:instrText>
      </w:r>
      <w:hyperlink w:anchor="_ENREF_6" w:tgtFrame="Mankiw, 2012 #9">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Mankiw [6]</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xml:space="preserve"> menciona que existe una relación entre la productividad y la competividad; </w:t>
      </w:r>
      <w:r>
        <w:rPr>
          <w:rFonts w:cs="Arial" w:ascii="Times New Roman" w:hAnsi="Times New Roman"/>
          <w:color w:val="000000"/>
          <w:sz w:val="20"/>
          <w:szCs w:val="20"/>
        </w:rPr>
        <w:t>la productividad es necesario para la competitividad de las organizaciones y;  la describe como la cantidad de bienes y servicios elaborados en un determinado tiempo, siendo factores importantes para su determinación el capital, los factores de producción y el conocimiento tecnológico</w:t>
      </w:r>
      <w:r>
        <w:rPr>
          <w:rFonts w:cs="Helvetica LT Std Light" w:ascii="Times New Roman" w:hAnsi="Times New Roman"/>
          <w:color w:val="000000"/>
          <w:sz w:val="20"/>
          <w:szCs w:val="20"/>
        </w:rPr>
        <w:t>.</w:t>
      </w:r>
      <w:r>
        <w:rPr>
          <w:rFonts w:cs="Arial" w:ascii="Times New Roman" w:hAnsi="Times New Roman"/>
          <w:color w:val="000000"/>
          <w:sz w:val="20"/>
          <w:szCs w:val="20"/>
        </w:rPr>
        <w:t xml:space="preserve">. </w:t>
      </w:r>
      <w:r>
        <w:rPr>
          <w:rFonts w:cs="Arial" w:ascii="Times New Roman" w:hAnsi="Times New Roman"/>
          <w:bCs/>
          <w:color w:val="000000"/>
          <w:sz w:val="20"/>
          <w:szCs w:val="20"/>
        </w:rPr>
        <w:t xml:space="preserve">El desarrollo de la competividad requiere de políticas elaboradas e implementadas por el gobierno como son las políticas de investigación desarrollo e innovación tecnológica que han elevado los niveles desarrollo </w:t>
      </w:r>
      <w:r>
        <w:fldChar w:fldCharType="begin"/>
      </w:r>
      <w:r>
        <w:rPr>
          <w:sz w:val="20"/>
          <w:szCs w:val="20"/>
          <w:bCs/>
          <w:rFonts w:cs="Arial" w:ascii="Times New Roman" w:hAnsi="Times New Roman"/>
          <w:color w:val="000000"/>
        </w:rPr>
        <w:instrText>ADDIN EN.CITE &lt;EndNote&gt;&lt;Cite&gt;&lt;Author&gt;Dewi&lt;/Author&gt;&lt;Year&gt;2019&lt;/Year&gt;&lt;RecNum&gt;5&lt;/RecNum&gt;&lt;DisplayText&gt;[7]&lt;/DisplayText&gt;&lt;record&gt;&lt;rec-number&gt;5&lt;/rec-number&gt;&lt;foreign-keys&gt;&lt;key app="EN" db-id="xrds25tsaxxsthedsav52z092p50zrswf55r"&gt;5&lt;/key&gt;&lt;/foreign-keys&gt;&lt;ref-type name="Journal Article"&gt;17&lt;/ref-type&gt;&lt;contributors&gt;&lt;authors&gt;&lt;author&gt;Made Vera Kristanti Dewi &lt;/author&gt;&lt;author&gt;Gede Sri Darma &lt;/author&gt;&lt;/authors&gt;&lt;/contributors&gt;&lt;titles&gt;&lt;title&gt;The Role of Marketing &amp;amp; Competitive Intelligence In Industrial Revolution 4.0&lt;/title&gt;&lt;secondary-title&gt;Jurnal Manajemen dan Bisnis&lt;/secondary-title&gt;&lt;/titles&gt;&lt;periodical&gt;&lt;full-title&gt;Jurnal Manajemen dan Bisnis&lt;/full-title&gt;&lt;/periodical&gt;&lt;pages&gt;1-12&lt;/pages&gt;&lt;volume&gt;16&lt;/volume&gt;&lt;dates&gt;&lt;year&gt;2019&lt;/year&gt;&lt;/dates&gt;&lt;urls&gt;&lt;/urls&gt;&lt;/record&gt;&lt;/Cite&gt;&lt;/EndNote&gt;</w:instrText>
      </w:r>
      <w:r>
        <w:rPr>
          <w:rFonts w:cs="Arial" w:ascii="Times New Roman" w:hAnsi="Times New Roman"/>
          <w:bCs/>
          <w:color w:val="000000"/>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sz w:val="20"/>
          <w:szCs w:val="20"/>
        </w:rPr>
        <w:t>[</w:t>
      </w:r>
      <w:hyperlink r:id="rId20">
        <w:r>
          <w:rPr>
            <w:rFonts w:cs="Arial" w:ascii="Times New Roman" w:hAnsi="Times New Roman"/>
            <w:bCs/>
            <w:color w:val="000000"/>
            <w:sz w:val="20"/>
            <w:szCs w:val="20"/>
          </w:rPr>
          <w:t>7</w:t>
        </w:r>
      </w:hyperlink>
      <w:r>
        <w:rPr>
          <w:rFonts w:cs="Arial" w:ascii="Times New Roman" w:hAnsi="Times New Roman"/>
          <w:bCs/>
          <w:color w:val="000000"/>
          <w:sz w:val="20"/>
          <w:szCs w:val="20"/>
        </w:rPr>
        <w:t>]</w:t>
      </w:r>
      <w:r>
        <w:rPr>
          <w:rFonts w:cs="Arial" w:ascii="Times New Roman" w:hAnsi="Times New Roman"/>
          <w:bCs/>
          <w:color w:val="000000"/>
          <w:sz w:val="20"/>
          <w:szCs w:val="20"/>
        </w:rPr>
      </w:r>
      <w:r>
        <w:rPr>
          <w:sz w:val="20"/>
          <w:szCs w:val="20"/>
          <w:bCs/>
          <w:rFonts w:cs="Arial" w:ascii="Times New Roman" w:hAnsi="Times New Roman"/>
          <w:color w:val="000000"/>
        </w:rPr>
        <w:fldChar w:fldCharType="end"/>
      </w:r>
      <w:r>
        <w:rPr>
          <w:rFonts w:cs="Arial" w:ascii="Times New Roman" w:hAnsi="Times New Roman"/>
          <w:bCs/>
          <w:color w:val="000000"/>
          <w:sz w:val="20"/>
          <w:szCs w:val="20"/>
        </w:rPr>
        <w:t xml:space="preserve">; las políticas crediticias que inducen la asignación del capital facilitan el equipamiento y modernización de las empresas y las políticas de educación que elevan la calidad del capital humano; además, para que los países sean capaces de mejorar la competividad deben de mejorar la educación técnica y profesional con infraestructura de acorde a las necesidades y exigencias del campo laborar </w:t>
      </w:r>
      <w:r>
        <w:fldChar w:fldCharType="begin"/>
      </w:r>
      <w:r>
        <w:rPr>
          <w:sz w:val="20"/>
          <w:szCs w:val="20"/>
          <w:bCs/>
          <w:rFonts w:cs="Arial" w:ascii="Times New Roman" w:hAnsi="Times New Roman"/>
          <w:color w:val="000000"/>
        </w:rPr>
        <w:instrText>ADDIN EN.CITE &lt;EndNote&gt;&lt;Cite&gt;&lt;Author&gt;Vega&lt;/Author&gt;&lt;Year&gt;2021&lt;/Year&gt;&lt;RecNum&gt;7&lt;/RecNum&gt;&lt;DisplayText&gt;[8]&lt;/DisplayText&gt;&lt;record&gt;&lt;rec-number&gt;7&lt;/rec-number&gt;&lt;foreign-keys&gt;&lt;key app="EN" db-id="xrds25tsaxxsthedsav52z092p50zrswf55r"&gt;7&lt;/key&gt;&lt;/foreign-keys&gt;&lt;ref-type name="Journal Article"&gt;17&lt;/ref-type&gt;&lt;contributors&gt;&lt;authors&gt;&lt;author&gt;Yajaira Lizeth Carrasco Vega&lt;/author&gt;&lt;author&gt;Nil Edinson Mendoza Virhuez&lt;/author&gt;&lt;author&gt;Yelka Martina López Cuadra1&lt;/author&gt;&lt;author&gt;Rómulo Mori Zavaleta1&lt;/author&gt;&lt;author&gt;Juan Carlos Alvarado Ibáñe&lt;/author&gt;&lt;/authors&gt;&lt;/contributors&gt;&lt;titles&gt;&lt;title&gt;LA COMPETIVIDAD EMPRESARIAL EN LAS PYMES: RETOS Y ALCANCES&lt;/title&gt;&lt;secondary-title&gt;UNIVERSIDAD Y SOCIEDAD&lt;/secondary-title&gt;&lt;/titles&gt;&lt;periodical&gt;&lt;full-title&gt;UNIVERSIDAD Y SOCIEDAD&lt;/full-title&gt;&lt;/periodical&gt;&lt;pages&gt;557-564&lt;/pages&gt;&lt;volume&gt;13&lt;/volume&gt;&lt;dates&gt;&lt;year&gt;2021&lt;/year&gt;&lt;/dates&gt;&lt;urls&gt;&lt;/urls&gt;&lt;/record&gt;&lt;/Cite&gt;&lt;/EndNote&gt;</w:instrText>
      </w:r>
      <w:r>
        <w:rPr>
          <w:rFonts w:cs="Arial" w:ascii="Times New Roman" w:hAnsi="Times New Roman"/>
          <w:bCs/>
          <w:color w:val="000000"/>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sz w:val="20"/>
          <w:szCs w:val="20"/>
        </w:rPr>
        <w:t>[</w:t>
      </w:r>
      <w:hyperlink r:id="rId21">
        <w:r>
          <w:rPr>
            <w:rFonts w:cs="Arial" w:ascii="Times New Roman" w:hAnsi="Times New Roman"/>
            <w:bCs/>
            <w:color w:val="000000"/>
            <w:sz w:val="20"/>
            <w:szCs w:val="20"/>
          </w:rPr>
          <w:t>8</w:t>
        </w:r>
      </w:hyperlink>
      <w:r>
        <w:rPr>
          <w:rFonts w:cs="Arial" w:ascii="Times New Roman" w:hAnsi="Times New Roman"/>
          <w:bCs/>
          <w:color w:val="000000"/>
          <w:sz w:val="20"/>
          <w:szCs w:val="20"/>
        </w:rPr>
        <w:t>]</w:t>
      </w:r>
      <w:r>
        <w:rPr>
          <w:rFonts w:cs="Arial" w:ascii="Times New Roman" w:hAnsi="Times New Roman"/>
          <w:bCs/>
          <w:color w:val="000000"/>
          <w:sz w:val="20"/>
          <w:szCs w:val="20"/>
        </w:rPr>
      </w:r>
      <w:r>
        <w:rPr>
          <w:sz w:val="20"/>
          <w:szCs w:val="20"/>
          <w:bCs/>
          <w:rFonts w:cs="Arial" w:ascii="Times New Roman" w:hAnsi="Times New Roman"/>
          <w:color w:val="000000"/>
        </w:rPr>
        <w:fldChar w:fldCharType="end"/>
      </w:r>
      <w:r>
        <w:rPr>
          <w:rFonts w:cs="Arial" w:ascii="Times New Roman" w:hAnsi="Times New Roman"/>
          <w:bCs/>
          <w:color w:val="000000"/>
          <w:sz w:val="20"/>
          <w:szCs w:val="20"/>
        </w:rPr>
        <w:t>.</w:t>
      </w:r>
    </w:p>
    <w:p>
      <w:pPr>
        <w:pStyle w:val="Normal"/>
        <w:spacing w:lineRule="auto" w:line="240" w:before="0" w:after="0"/>
        <w:ind w:left="0" w:right="0" w:hanging="0"/>
        <w:jc w:val="both"/>
        <w:rPr>
          <w:rFonts w:ascii="Times New Roman" w:hAnsi="Times New Roman" w:cs="Arial"/>
          <w:bCs/>
          <w:color w:val="000000"/>
          <w:sz w:val="20"/>
          <w:szCs w:val="20"/>
        </w:rPr>
      </w:pPr>
      <w:r>
        <w:rPr>
          <w:rFonts w:cs="Arial" w:ascii="Times New Roman" w:hAnsi="Times New Roman"/>
          <w:bCs/>
          <w:color w:val="000000"/>
          <w:sz w:val="20"/>
          <w:szCs w:val="20"/>
        </w:rPr>
      </w:r>
    </w:p>
    <w:p>
      <w:pPr>
        <w:pStyle w:val="Normal"/>
        <w:spacing w:lineRule="auto" w:line="240" w:before="0" w:after="0"/>
        <w:ind w:left="0" w:right="0" w:hanging="0"/>
        <w:jc w:val="both"/>
        <w:rPr/>
      </w:pPr>
      <w:r>
        <w:rPr>
          <w:rFonts w:cs="Arial" w:ascii="Times New Roman" w:hAnsi="Times New Roman"/>
          <w:bCs/>
          <w:color w:val="000000"/>
          <w:sz w:val="20"/>
          <w:szCs w:val="20"/>
        </w:rPr>
        <w:t xml:space="preserve">La medición de la competitividad implica la identificación de factores que la generan y el grado de impacto de los mismos; existen diversas definiciones para este término; así como de metodologías que buscan medir determinados elementos de la competitividad, basándose en diferentes factores condicionantes. Se mencionan factores críticos que son pilares de competividad como son: </w:t>
      </w:r>
      <w:r>
        <w:rPr>
          <w:rFonts w:cs="Arial" w:ascii="Times New Roman" w:hAnsi="Times New Roman"/>
          <w:color w:val="000000"/>
          <w:sz w:val="20"/>
          <w:szCs w:val="20"/>
          <w:shd w:fill="FFFFFF" w:val="clear"/>
        </w:rPr>
        <w:t xml:space="preserve">instituciones, infraestructuras, entorno macroeconómico, salud, educación primaria, educación superior y formación, eficiencia del mercado de bienes, eficiencia del mercado laboral, desarrollo del mercado financiero, preparación tecnológica, tamaño del mercado, el análisis de estos factores permite determinar el grado de competividad de la empresa en su entorno, </w:t>
      </w:r>
      <w:r>
        <w:fldChar w:fldCharType="begin"/>
      </w:r>
      <w:r>
        <w:rPr>
          <w:sz w:val="20"/>
          <w:shd w:fill="FFFFFF" w:val="clear"/>
          <w:szCs w:val="20"/>
          <w:rFonts w:cs="Arial" w:ascii="Times New Roman" w:hAnsi="Times New Roman"/>
          <w:color w:val="000000"/>
        </w:rPr>
        <w:instrText>ADDIN EN.CITE &lt;EndNote&gt;&lt;Cite AuthorYear="1"&gt;&lt;Author&gt;Silva&lt;/Author&gt;&lt;Year&gt;2018&lt;/Year&gt;&lt;RecNum&gt;8&lt;/RecNum&gt;&lt;DisplayText&gt;Silva, et al., [9]&lt;/DisplayText&gt;&lt;record&gt;&lt;rec-number&gt;8&lt;/rec-number&gt;&lt;foreign-keys&gt;&lt;key app="EN" db-id="xrds25tsaxxsthedsav52z092p50zrswf55r"&gt;8&lt;/key&gt;&lt;/foreign-keys&gt;&lt;ref-type name="Journal Article"&gt;17&lt;/ref-type&gt;&lt;contributors&gt;&lt;authors&gt;&lt;author&gt;Otmara Navarro Silva&lt;/author&gt;&lt;author&gt;German Gracián Moran&lt;/author&gt;&lt;author&gt;William Ferrer Reyes&lt;/author&gt;&lt;/authors&gt;&lt;/contributors&gt;&lt;titles&gt;&lt;title&gt;La calidad del capital humano una vertiente positiva en la competitividad de las micros, pequeñas y medianas empresas enfocada en la empresa Cristy viajes&lt;/title&gt;&lt;secondary-title&gt;Universidad y Sociedad&lt;/secondary-title&gt;&lt;/titles&gt;&lt;periodical&gt;&lt;full-title&gt;UNIVERSIDAD Y SOCIEDAD&lt;/full-title&gt;&lt;/periodical&gt;&lt;pages&gt;26 - 33.&lt;/pages&gt;&lt;volume&gt;10&lt;/volume&gt;&lt;dates&gt;&lt;year&gt;2018&lt;/year&gt;&lt;/dates&gt;&lt;urls&gt;&lt;/urls&gt;&lt;/record&gt;&lt;/Cite&gt;&lt;/EndNote&gt;</w:instrText>
      </w:r>
      <w:hyperlink w:anchor="_ENREF_9" w:tgtFrame="Silva, 2018 #8">
        <w:r>
          <w:rPr>
            <w:rFonts w:cs="Arial" w:ascii="Times New Roman" w:hAnsi="Times New Roman"/>
            <w:color w:val="000000"/>
            <w:sz w:val="20"/>
            <w:szCs w:val="20"/>
            <w:shd w:fill="FFFFFF" w:val="clear"/>
          </w:rPr>
        </w:r>
        <w:r>
          <w:rPr>
            <w:sz w:val="20"/>
            <w:shd w:fill="FFFFFF" w:val="clear"/>
            <w:szCs w:val="20"/>
            <w:rFonts w:cs="Arial" w:ascii="Times New Roman" w:hAnsi="Times New Roman"/>
            <w:color w:val="000000"/>
          </w:rPr>
          <w:fldChar w:fldCharType="separate"/>
        </w:r>
        <w:r>
          <w:rPr>
            <w:rFonts w:cs="Arial" w:ascii="Times New Roman" w:hAnsi="Times New Roman"/>
            <w:color w:val="000000"/>
            <w:sz w:val="20"/>
            <w:szCs w:val="20"/>
            <w:shd w:fill="FFFFFF" w:val="clear"/>
          </w:rPr>
        </w:r>
        <w:r>
          <w:rPr>
            <w:rFonts w:cs="Arial" w:ascii="Times New Roman" w:hAnsi="Times New Roman"/>
            <w:color w:val="000000"/>
            <w:sz w:val="20"/>
            <w:szCs w:val="20"/>
          </w:rPr>
          <w:t>Silva, et al., [9]</w:t>
        </w:r>
        <w:r>
          <w:rPr>
            <w:rFonts w:cs="Arial" w:ascii="Times New Roman" w:hAnsi="Times New Roman"/>
            <w:color w:val="000000"/>
            <w:sz w:val="20"/>
            <w:szCs w:val="20"/>
            <w:shd w:fill="FFFFFF" w:val="clear"/>
          </w:rPr>
        </w:r>
        <w:r>
          <w:rPr>
            <w:sz w:val="20"/>
            <w:shd w:fill="FFFFFF" w:val="clear"/>
            <w:szCs w:val="20"/>
            <w:rFonts w:cs="Arial" w:ascii="Times New Roman" w:hAnsi="Times New Roman"/>
            <w:color w:val="000000"/>
          </w:rPr>
          <w:fldChar w:fldCharType="end"/>
        </w:r>
      </w:hyperlink>
      <w:r>
        <w:rPr>
          <w:rFonts w:cs="Arial" w:ascii="Times New Roman" w:hAnsi="Times New Roman"/>
          <w:color w:val="000000"/>
          <w:sz w:val="20"/>
          <w:szCs w:val="20"/>
        </w:rPr>
        <w:t>, considera la competividad como l</w:t>
      </w:r>
      <w:r>
        <w:rPr>
          <w:rFonts w:cs="Arial" w:ascii="Times New Roman" w:hAnsi="Times New Roman"/>
          <w:iCs/>
          <w:color w:val="000000"/>
          <w:sz w:val="20"/>
          <w:szCs w:val="20"/>
        </w:rPr>
        <w:t>a capacidad de la empresa para producir y mercadear productos en mejores condiciones de precio, calidad y oportunidad</w:t>
      </w:r>
      <w:r>
        <w:rPr>
          <w:rFonts w:cs="Arial" w:ascii="Times New Roman" w:hAnsi="Times New Roman"/>
          <w:color w:val="000000"/>
          <w:sz w:val="20"/>
          <w:szCs w:val="20"/>
        </w:rPr>
        <w:t xml:space="preserve"> que sus competentes, es decir, le permite a la empresa ser exitosa en el mundo en que se desenvuelve</w:t>
      </w:r>
      <w:r>
        <w:rPr>
          <w:rFonts w:cs="Helvetica LT Std Light" w:ascii="Times New Roman" w:hAnsi="Times New Roman"/>
          <w:color w:val="000000"/>
          <w:sz w:val="20"/>
          <w:szCs w:val="20"/>
        </w:rPr>
        <w:t>.</w:t>
      </w:r>
      <w:r>
        <w:rPr>
          <w:rFonts w:cs="Arial" w:ascii="Times New Roman" w:hAnsi="Times New Roman"/>
          <w:color w:val="000000"/>
          <w:sz w:val="20"/>
          <w:szCs w:val="20"/>
          <w:shd w:fill="FFFFFF" w:val="clear"/>
        </w:rPr>
        <w:t>; por otra parte, la competividad se evalúa e</w:t>
      </w:r>
      <w:r>
        <w:rPr>
          <w:rFonts w:cs="Arial" w:ascii="Times New Roman" w:hAnsi="Times New Roman"/>
          <w:bCs/>
          <w:iCs/>
          <w:color w:val="000000"/>
          <w:sz w:val="20"/>
          <w:szCs w:val="20"/>
        </w:rPr>
        <w:t xml:space="preserve">l modo como un producto o un insumo determinado o las condiciones de la demanda se relacionan con la estrategia de las empresas, la tasa de interés y la tasa de cambio </w:t>
      </w:r>
      <w:r>
        <w:fldChar w:fldCharType="begin"/>
      </w:r>
      <w:r>
        <w:rPr>
          <w:sz w:val="20"/>
          <w:szCs w:val="20"/>
          <w:iCs/>
          <w:bCs/>
          <w:rFonts w:cs="Arial" w:ascii="Times New Roman" w:hAnsi="Times New Roman"/>
          <w:color w:val="000000"/>
        </w:rPr>
        <w:instrText>ADDIN EN.CITE &lt;EndNote&gt;&lt;Cite&gt;&lt;Author&gt;Rojas&lt;/Author&gt;&lt;Year&gt;2000&lt;/Year&gt;&lt;RecNum&gt;3&lt;/RecNum&gt;&lt;DisplayText&gt;[10]&lt;/DisplayText&gt;&lt;record&gt;&lt;rec-number&gt;3&lt;/rec-number&gt;&lt;foreign-keys&gt;&lt;key app="EN" db-id="xrds25tsaxxsthedsav52z092p50zrswf55r"&gt;3&lt;/key&gt;&lt;/foreign-keys&gt;&lt;ref-type name="Journal Article"&gt;17&lt;/ref-type&gt;&lt;contributors&gt;&lt;authors&gt;&lt;author&gt;Patricia Rojas&lt;/author&gt;&lt;author&gt;Sergio Romero&lt;/author&gt;&lt;author&gt;Sergio Sepúlveda&lt;/author&gt;&lt;/authors&gt;&lt;/contributors&gt;&lt;titles&gt;&lt;title&gt;Competitividad de la agricultura: Cadenas agroalimentarias y el impacto del factor localizacion espacial&lt;/title&gt;&lt;/titles&gt;&lt;pages&gt;1-43&lt;/pages&gt;&lt;dates&gt;&lt;year&gt;2000&lt;/year&gt;&lt;/dates&gt;&lt;urls&gt;&lt;/urls&gt;&lt;/record&gt;&lt;/Cite&gt;&lt;/EndNote&gt;</w:instrText>
      </w:r>
      <w:r>
        <w:rPr>
          <w:rFonts w:cs="Arial" w:ascii="Times New Roman" w:hAnsi="Times New Roman"/>
          <w:bCs/>
          <w:iCs/>
          <w:color w:val="000000"/>
          <w:sz w:val="20"/>
          <w:szCs w:val="20"/>
        </w:rPr>
      </w:r>
      <w:r>
        <w:rPr>
          <w:sz w:val="20"/>
          <w:szCs w:val="20"/>
          <w:iCs/>
          <w:bCs/>
          <w:rFonts w:cs="Arial" w:ascii="Times New Roman" w:hAnsi="Times New Roman"/>
          <w:color w:val="000000"/>
        </w:rPr>
        <w:fldChar w:fldCharType="separate"/>
      </w:r>
      <w:r>
        <w:rPr>
          <w:rFonts w:cs="Arial" w:ascii="Times New Roman" w:hAnsi="Times New Roman"/>
          <w:bCs/>
          <w:iCs/>
          <w:color w:val="000000"/>
          <w:sz w:val="20"/>
          <w:szCs w:val="20"/>
        </w:rPr>
        <w:t>[</w:t>
      </w:r>
      <w:hyperlink r:id="rId22">
        <w:r>
          <w:rPr>
            <w:rFonts w:cs="Arial" w:ascii="Times New Roman" w:hAnsi="Times New Roman"/>
            <w:bCs/>
            <w:iCs/>
            <w:color w:val="000000"/>
            <w:sz w:val="20"/>
            <w:szCs w:val="20"/>
          </w:rPr>
          <w:t>10</w:t>
        </w:r>
      </w:hyperlink>
      <w:r>
        <w:rPr>
          <w:rFonts w:cs="Arial" w:ascii="Times New Roman" w:hAnsi="Times New Roman"/>
          <w:bCs/>
          <w:iCs/>
          <w:color w:val="000000"/>
          <w:sz w:val="20"/>
          <w:szCs w:val="20"/>
        </w:rPr>
        <w:t>]</w:t>
      </w:r>
      <w:hyperlink r:id="rId23">
        <w:r>
          <w:rPr>
            <w:rFonts w:cs="Arial" w:ascii="Times New Roman" w:hAnsi="Times New Roman"/>
            <w:bCs/>
            <w:iCs/>
            <w:color w:val="000000"/>
            <w:sz w:val="20"/>
            <w:szCs w:val="20"/>
          </w:rPr>
        </w:r>
      </w:hyperlink>
      <w:r>
        <w:rPr>
          <w:sz w:val="20"/>
          <w:szCs w:val="20"/>
          <w:iCs/>
          <w:bCs/>
          <w:rFonts w:cs="Arial" w:ascii="Times New Roman" w:hAnsi="Times New Roman"/>
          <w:color w:val="000000"/>
        </w:rPr>
        <w:fldChar w:fldCharType="end"/>
      </w:r>
      <w:r>
        <w:rPr>
          <w:rFonts w:cs="Arial" w:ascii="Times New Roman" w:hAnsi="Times New Roman"/>
          <w:bCs/>
          <w:iCs/>
          <w:color w:val="000000"/>
          <w:sz w:val="20"/>
          <w:szCs w:val="20"/>
        </w:rPr>
        <w:t xml:space="preserve">, por ejemplo, es una cuestión de análisis, las categorías analíticas que explican estas relaciones proveen las teorías económicas, sociológicas y políticas. </w:t>
      </w:r>
    </w:p>
    <w:p>
      <w:pPr>
        <w:pStyle w:val="Normal"/>
        <w:spacing w:lineRule="auto" w:line="240" w:before="0" w:after="0"/>
        <w:ind w:left="0" w:right="0" w:hanging="0"/>
        <w:jc w:val="both"/>
        <w:rPr>
          <w:rFonts w:ascii="Times New Roman" w:hAnsi="Times New Roman" w:cs="Arial"/>
          <w:bCs/>
          <w:iCs/>
          <w:color w:val="000000"/>
          <w:sz w:val="20"/>
          <w:szCs w:val="20"/>
        </w:rPr>
      </w:pPr>
      <w:r>
        <w:rPr>
          <w:rFonts w:cs="Arial" w:ascii="Times New Roman" w:hAnsi="Times New Roman"/>
          <w:bCs/>
          <w:iCs/>
          <w:color w:val="000000"/>
          <w:sz w:val="20"/>
          <w:szCs w:val="20"/>
        </w:rPr>
      </w:r>
    </w:p>
    <w:p>
      <w:pPr>
        <w:pStyle w:val="Normal"/>
        <w:spacing w:lineRule="auto" w:line="240" w:before="0" w:after="0"/>
        <w:ind w:left="0" w:right="0" w:hanging="0"/>
        <w:jc w:val="both"/>
        <w:rPr/>
      </w:pPr>
      <w:r>
        <w:rPr>
          <w:rFonts w:cs="Arial" w:ascii="Times New Roman" w:hAnsi="Times New Roman"/>
          <w:color w:val="000000"/>
          <w:sz w:val="20"/>
          <w:szCs w:val="20"/>
        </w:rPr>
        <w:t xml:space="preserve">La ventaja competitiva viene definida como todo factor que permite a la organización diferencial sus productos o servicios de los de sus competidores. Este factor puede ser los recursos humano, las estrategias que son formuladas considerando las fortalezas, oportunidades, debilidades y amenazas de la organización. El capital humano, si no es gestionado adecuadamente puede ser una debilidad, pero como socio estratégico. </w:t>
      </w:r>
      <w:r>
        <w:fldChar w:fldCharType="begin"/>
      </w:r>
      <w:r>
        <w:rPr>
          <w:sz w:val="20"/>
          <w:szCs w:val="20"/>
          <w:rFonts w:cs="Arial" w:ascii="Times New Roman" w:hAnsi="Times New Roman"/>
          <w:color w:val="000000"/>
        </w:rPr>
        <w:instrText>ADDIN EN.CITE &lt;EndNote&gt;&lt;Cite AuthorYear="1"&gt;&lt;Author&gt;z&lt;/Author&gt;&lt;Year&gt;2021&lt;/Year&gt;&lt;RecNum&gt;10&lt;/RecNum&gt;&lt;DisplayText&gt;Jiméne y Cruz [11]&lt;/DisplayText&gt;&lt;record&gt;&lt;rec-number&gt;10&lt;/rec-number&gt;&lt;foreign-keys&gt;&lt;key app="EN" db-id="xrds25tsaxxsthedsav52z092p50zrswf55r"&gt;10&lt;/key&gt;&lt;/foreign-keys&gt;&lt;ref-type name="Journal Article"&gt;17&lt;/ref-type&gt;&lt;contributors&gt;&lt;authors&gt;&lt;author&gt;Marco Alberto Valenzo Jiméne&lt;/author&gt;&lt;author&gt;Antonio Kido Cruz&lt;/author&gt;&lt;/authors&gt;&lt;/contributors&gt;&lt;titles&gt;&lt;title&gt;Gestión Ambiental, Innovación y Ventaja Competitiva en Empresas Exportadoras de Aguacate&lt;/title&gt;&lt;secondary-title&gt;Redalyc:&lt;/secondary-title&gt;&lt;/titles&gt;&lt;periodical&gt;&lt;full-title&gt;Redalyc:&lt;/full-title&gt;&lt;/periodical&gt;&lt;pages&gt;1-21&lt;/pages&gt;&lt;dates&gt;&lt;year&gt;2021&lt;/year&gt;&lt;/dates&gt;&lt;urls&gt;&lt;/urls&gt;&lt;/record&gt;&lt;/Cite&gt;&lt;/EndNote&gt;</w:instrText>
      </w:r>
      <w:hyperlink w:anchor="_ENREF_11" w:tgtFrame="Jiméne, 2021 #10">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ascii="Times New Roman" w:hAnsi="Times New Roman"/>
            <w:color w:val="000000"/>
            <w:sz w:val="20"/>
            <w:szCs w:val="20"/>
          </w:rPr>
          <w:t>Jiméne y Cruz [11]</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ascii="Times New Roman" w:hAnsi="Times New Roman"/>
          <w:color w:val="000000"/>
          <w:sz w:val="20"/>
          <w:szCs w:val="20"/>
        </w:rPr>
        <w:t xml:space="preserve"> describen que, </w:t>
      </w:r>
      <w:r>
        <w:rPr>
          <w:rFonts w:cs="GaramondPremrPro" w:ascii="Times New Roman" w:hAnsi="Times New Roman"/>
          <w:bCs/>
          <w:color w:val="000000"/>
          <w:sz w:val="20"/>
          <w:szCs w:val="20"/>
        </w:rPr>
        <w:t>tener una ventaja competitiva, ubica a una organización con una posición ideal, para construir y mantener una posición única, sin embargo, este concepto está dado con un entorno predecible y relativamente estable.</w:t>
      </w:r>
    </w:p>
    <w:p>
      <w:pPr>
        <w:pStyle w:val="Normal"/>
        <w:spacing w:lineRule="auto" w:line="240" w:before="0" w:after="0"/>
        <w:ind w:left="0" w:right="0" w:hanging="0"/>
        <w:jc w:val="both"/>
        <w:rPr>
          <w:rFonts w:ascii="Times New Roman" w:hAnsi="Times New Roman" w:cs="GaramondPremrPro"/>
          <w:b/>
          <w:b/>
          <w:bCs/>
          <w:color w:val="000000"/>
          <w:sz w:val="20"/>
          <w:szCs w:val="20"/>
        </w:rPr>
      </w:pPr>
      <w:r>
        <w:rPr>
          <w:rFonts w:cs="GaramondPremrPro" w:ascii="Times New Roman" w:hAnsi="Times New Roman"/>
          <w:b/>
          <w:bCs/>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Hoy día la competividad es considerado como una fuente de ventaja; por consiguiente, ya no es considerado como un gasto sino un recurso que hay que cuidar a través de planes de formación, desarrollo e inventivos, capacitación, calidad en los productos, desarrollo de capital humano, inversión en infraestructura y equipamiento entre otros. En la actualidad, las organizaciones han descubierto que su personal hace la diferencia al ser responsables de movilizar las metas u objetivos estratégicos y hacerlos realizables.</w:t>
      </w:r>
    </w:p>
    <w:p>
      <w:pPr>
        <w:pStyle w:val="Normal"/>
        <w:spacing w:lineRule="auto" w:line="240" w:before="0" w:after="0"/>
        <w:ind w:left="0" w:right="0" w:hanging="0"/>
        <w:jc w:val="both"/>
        <w:rPr>
          <w:rFonts w:ascii="Times New Roman" w:hAnsi="Times New Roman" w:cs="Arial"/>
          <w:bCs/>
          <w:color w:val="000000"/>
          <w:sz w:val="20"/>
          <w:szCs w:val="20"/>
        </w:rPr>
      </w:pPr>
      <w:r>
        <w:rPr>
          <w:rFonts w:cs="Arial" w:ascii="Times New Roman" w:hAnsi="Times New Roman"/>
          <w:bCs/>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por tal motivo, la finalidad de este trabajo es realizar un análisis sobre el conocimiento de los factores de competividad de las empresas que se encuentra en la región y cómo influyen en el desarrollo de la organización; así como sus aplicaciones.</w:t>
      </w:r>
    </w:p>
    <w:p>
      <w:pPr>
        <w:pStyle w:val="Normal"/>
        <w:spacing w:lineRule="auto" w:line="240" w:before="0" w:after="0"/>
        <w:ind w:left="0" w:right="0" w:hanging="0"/>
        <w:jc w:val="both"/>
        <w:rPr>
          <w:rFonts w:ascii="Times New Roman" w:hAnsi="Times New Roman" w:cs="Arial"/>
          <w:bCs/>
          <w:color w:val="000000"/>
          <w:sz w:val="20"/>
          <w:szCs w:val="20"/>
        </w:rPr>
      </w:pPr>
      <w:r>
        <w:rPr>
          <w:rFonts w:cs="Arial" w:ascii="Times New Roman" w:hAnsi="Times New Roman"/>
          <w:bCs/>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b/>
          <w:color w:val="000000"/>
          <w:sz w:val="20"/>
          <w:szCs w:val="20"/>
        </w:rPr>
        <w:t xml:space="preserve">II. </w:t>
      </w:r>
      <w:r>
        <w:rPr>
          <w:rFonts w:cs="Arial" w:ascii="Times New Roman" w:hAnsi="Times New Roman"/>
          <w:b/>
          <w:color w:val="000000"/>
          <w:sz w:val="20"/>
          <w:szCs w:val="20"/>
        </w:rPr>
        <w:t>MATERIALES Y MÉTODOS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Las metodologías que a continuación se presentan emplean uno o varios de los factores antes mencionados, al tiempo que incluyen también factores externos, los cuales ejercen influencia sobre el comportamiento competitivo de las empresas, los productos y las cadenas de suministros.</w:t>
      </w:r>
    </w:p>
    <w:p>
      <w:pPr>
        <w:pStyle w:val="Normal"/>
        <w:spacing w:lineRule="auto" w:line="240" w:before="0" w:after="0"/>
        <w:ind w:left="0" w:right="0" w:hanging="0"/>
        <w:jc w:val="both"/>
        <w:rPr>
          <w:rFonts w:cs="Arial"/>
        </w:rPr>
      </w:pPr>
      <w:r>
        <w:rPr>
          <w:rFonts w:ascii="Times New Roman" w:hAnsi="Times New Roman"/>
          <w:color w:val="000000"/>
          <w:sz w:val="20"/>
          <w:szCs w:val="20"/>
        </w:rPr>
      </w:r>
    </w:p>
    <w:p>
      <w:pPr>
        <w:pStyle w:val="Normal"/>
        <w:spacing w:lineRule="auto" w:line="240" w:before="0" w:after="0"/>
        <w:ind w:left="0" w:right="0" w:hanging="0"/>
        <w:jc w:val="both"/>
        <w:rPr/>
      </w:pPr>
      <w:r>
        <w:rPr>
          <w:rFonts w:cs="Arial" w:ascii="Times New Roman" w:hAnsi="Times New Roman"/>
          <w:color w:val="000000"/>
          <w:sz w:val="20"/>
          <w:szCs w:val="20"/>
        </w:rPr>
        <w:t xml:space="preserve">La investigación realizada fue de tipo descriptivo, con enfoque cuantitativo y recopilación de datos de forma numérica; además, se aplicó el método no experimental, las variables analizados fueron seleccionados tomando como referencia los trabajos realizados por distintos autores </w:t>
      </w:r>
      <w:r>
        <w:fldChar w:fldCharType="begin"/>
      </w:r>
      <w:r>
        <w:rPr>
          <w:sz w:val="20"/>
          <w:szCs w:val="20"/>
          <w:rFonts w:cs="Arial" w:ascii="Times New Roman" w:hAnsi="Times New Roman"/>
          <w:color w:val="000000"/>
        </w:rPr>
        <w:instrText>ADDIN EN.CITE</w:instrText>
      </w:r>
      <w:r>
        <w:rPr>
          <w:rFonts w:cs="Arial" w:ascii="Times New Roman" w:hAnsi="Times New Roman"/>
          <w:color w:val="000000"/>
          <w:sz w:val="20"/>
          <w:szCs w:val="20"/>
        </w:rPr>
      </w:r>
      <w:r>
        <w:fldChar w:fldCharType="begin"/>
      </w:r>
      <w:r>
        <w:rPr>
          <w:sz w:val="20"/>
          <w:szCs w:val="20"/>
          <w:rFonts w:cs="Arial" w:ascii="Times New Roman" w:hAnsi="Times New Roman"/>
          <w:color w:val="000000"/>
        </w:rPr>
        <w:instrText>ADDIN EN.CITE.DATA</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cs="Arial" w:ascii="Times New Roman" w:hAnsi="Times New Roman"/>
          <w:color w:val="000000"/>
          <w:sz w:val="20"/>
          <w:szCs w:val="20"/>
        </w:rPr>
      </w:r>
      <w:r>
        <w:rPr>
          <w:sz w:val="20"/>
          <w:szCs w:val="20"/>
          <w:rFonts w:cs="Arial" w:ascii="Times New Roman" w:hAnsi="Times New Roman"/>
          <w:color w:val="000000"/>
        </w:rPr>
        <w:fldChar w:fldCharType="end"/>
      </w:r>
      <w:r>
        <w:rPr>
          <w:sz w:val="20"/>
          <w:szCs w:val="20"/>
          <w:rFonts w:cs="Arial" w:ascii="Times New Roman" w:hAnsi="Times New Roman"/>
          <w:color w:val="000000"/>
        </w:rPr>
        <w:fldChar w:fldCharType="separate"/>
      </w:r>
      <w:r>
        <w:rPr>
          <w:rFonts w:cs="Arial" w:ascii="Times New Roman" w:hAnsi="Times New Roman"/>
          <w:color w:val="000000"/>
          <w:sz w:val="20"/>
          <w:szCs w:val="20"/>
        </w:rPr>
        <w:t>[</w:t>
      </w:r>
      <w:hyperlink r:id="rId24">
        <w:r>
          <w:rPr>
            <w:rFonts w:cs="Arial" w:ascii="Times New Roman" w:hAnsi="Times New Roman"/>
            <w:color w:val="000000"/>
            <w:sz w:val="20"/>
            <w:szCs w:val="20"/>
          </w:rPr>
          <w:t>9</w:t>
        </w:r>
      </w:hyperlink>
      <w:r>
        <w:rPr>
          <w:rFonts w:cs="Arial" w:ascii="Times New Roman" w:hAnsi="Times New Roman"/>
          <w:color w:val="000000"/>
          <w:sz w:val="20"/>
          <w:szCs w:val="20"/>
        </w:rPr>
        <w:t>,</w:t>
      </w:r>
      <w:hyperlink r:id="rId25">
        <w:r>
          <w:rPr>
            <w:rFonts w:cs="Arial" w:ascii="Times New Roman" w:hAnsi="Times New Roman"/>
            <w:color w:val="000000"/>
            <w:sz w:val="20"/>
            <w:szCs w:val="20"/>
          </w:rPr>
          <w:t>11-12</w:t>
        </w:r>
      </w:hyperlink>
      <w:r>
        <w:rPr>
          <w:rFonts w:cs="Arial" w:ascii="Times New Roman" w:hAnsi="Times New Roman"/>
          <w:color w:val="000000"/>
          <w:sz w:val="20"/>
          <w:szCs w:val="20"/>
        </w:rPr>
        <w:t>]</w:t>
      </w:r>
      <w:hyperlink r:id="rId26">
        <w:r>
          <w:rPr>
            <w:rFonts w:cs="Arial" w:ascii="Times New Roman" w:hAnsi="Times New Roman"/>
            <w:color w:val="000000"/>
            <w:sz w:val="20"/>
            <w:szCs w:val="20"/>
          </w:rPr>
        </w:r>
      </w:hyperlink>
      <w:r>
        <w:rPr>
          <w:sz w:val="20"/>
          <w:szCs w:val="20"/>
          <w:rFonts w:cs="Arial" w:ascii="Times New Roman" w:hAnsi="Times New Roman"/>
          <w:color w:val="000000"/>
        </w:rPr>
        <w:fldChar w:fldCharType="end"/>
      </w:r>
      <w:r>
        <w:rPr>
          <w:rFonts w:cs="Arial" w:ascii="Times New Roman" w:hAnsi="Times New Roman"/>
          <w:color w:val="000000"/>
          <w:sz w:val="20"/>
          <w:szCs w:val="20"/>
        </w:rPr>
        <w:t xml:space="preserve">; además, se realizó una descripción detallada del contexto tomando como referencia a </w:t>
      </w:r>
      <w:r>
        <w:fldChar w:fldCharType="begin"/>
      </w:r>
      <w:r>
        <w:rPr>
          <w:sz w:val="20"/>
          <w:szCs w:val="20"/>
          <w:rFonts w:cs="Arial" w:ascii="Times New Roman" w:hAnsi="Times New Roman"/>
          <w:color w:val="000000"/>
        </w:rPr>
        <w:instrText>ADDIN EN.CITE &lt;EndNote&gt;&lt;Cite AuthorYear="1"&gt;&lt;Author&gt;Igwenagu&lt;/Author&gt;&lt;Year&gt;2016&lt;/Year&gt;&lt;RecNum&gt;11&lt;/RecNum&gt;&lt;DisplayText&gt;Igwenagu [13]&lt;/DisplayText&gt;&lt;record&gt;&lt;rec-number&gt;11&lt;/rec-number&gt;&lt;foreign-keys&gt;&lt;key app="EN" db-id="xrds25tsaxxsthedsav52z092p50zrswf55r"&gt;11&lt;/key&gt;&lt;/foreign-keys&gt;&lt;ref-type name="Journal Article"&gt;17&lt;/ref-type&gt;&lt;contributors&gt;&lt;authors&gt;&lt;author&gt;Chinelo Igwenagu&lt;/author&gt;&lt;/authors&gt;&lt;/contributors&gt;&lt;titles&gt;&lt;title&gt;Fundamentals of research methodology and data collection&lt;/title&gt;&lt;secondary-title&gt;Reseach Gate&lt;/secondary-title&gt;&lt;/titles&gt;&lt;periodical&gt;&lt;full-title&gt;Reseach Gate&lt;/full-title&gt;&lt;/periodical&gt;&lt;pages&gt;1-48&lt;/pages&gt;&lt;dates&gt;&lt;year&gt;2016&lt;/year&gt;&lt;/dates&gt;&lt;urls&gt;&lt;/urls&gt;&lt;/record&gt;&lt;/Cite&gt;&lt;/EndNote&gt;</w:instrText>
      </w:r>
      <w:hyperlink w:anchor="_ENREF_13" w:tgtFrame="Igwenagu, 2016 #11">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Igwenagu [13]</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xml:space="preserve"> quien describe la metodología de recopilar la información mediante registros, análisis e interpretación del medio actual de las variables de estudio; por tal motivo, esta investigación estuvo conceptualizada en un diseño no experimental debido a que no se realizaron modificaciones en el entorno y los resultados de las variables fueron analizadas y registradas tal como se encontraron en su ámbito.</w:t>
      </w:r>
    </w:p>
    <w:p>
      <w:pPr>
        <w:pStyle w:val="Normal"/>
        <w:spacing w:lineRule="auto" w:line="240" w:before="0" w:after="0"/>
        <w:ind w:left="0" w:right="0" w:hanging="0"/>
        <w:rPr>
          <w:rFonts w:ascii="Times New Roman" w:hAnsi="Times New Roman" w:cs="Arial"/>
          <w:color w:val="000000"/>
          <w:sz w:val="20"/>
          <w:szCs w:val="20"/>
          <w:highlight w:val="yellow"/>
        </w:rPr>
      </w:pPr>
      <w:r>
        <w:rPr>
          <w:rFonts w:cs="Arial" w:ascii="Times New Roman" w:hAnsi="Times New Roman"/>
          <w:color w:val="000000"/>
          <w:sz w:val="20"/>
          <w:szCs w:val="20"/>
          <w:highlight w:val="yellow"/>
        </w:rPr>
      </w:r>
    </w:p>
    <w:p>
      <w:pPr>
        <w:pStyle w:val="Normal"/>
        <w:spacing w:lineRule="auto" w:line="240" w:before="0" w:after="0"/>
        <w:ind w:left="0" w:right="0" w:hanging="0"/>
        <w:jc w:val="both"/>
        <w:rPr/>
      </w:pPr>
      <w:r>
        <w:rPr>
          <w:rFonts w:cs="Arial" w:ascii="Times New Roman" w:hAnsi="Times New Roman"/>
          <w:color w:val="000000"/>
          <w:sz w:val="20"/>
          <w:szCs w:val="20"/>
        </w:rPr>
        <w:t>Con tal propósito, se realizó un análisis del estado del arte del concepto de</w:t>
      </w:r>
      <w:r>
        <w:rPr>
          <w:rFonts w:ascii="Times New Roman" w:hAnsi="Times New Roman"/>
          <w:color w:val="000000"/>
          <w:sz w:val="20"/>
          <w:szCs w:val="20"/>
        </w:rPr>
        <w:t xml:space="preserve"> </w:t>
      </w:r>
      <w:r>
        <w:rPr>
          <w:rFonts w:cs="Arial" w:ascii="Times New Roman" w:hAnsi="Times New Roman"/>
          <w:color w:val="000000"/>
          <w:sz w:val="20"/>
          <w:szCs w:val="20"/>
        </w:rPr>
        <w:t>competitividad, poniendo énfasis en los factores</w:t>
      </w:r>
      <w:r>
        <w:rPr>
          <w:rFonts w:ascii="Times New Roman" w:hAnsi="Times New Roman"/>
          <w:color w:val="000000"/>
          <w:sz w:val="20"/>
          <w:szCs w:val="20"/>
        </w:rPr>
        <w:t xml:space="preserve"> </w:t>
      </w:r>
      <w:r>
        <w:rPr>
          <w:rFonts w:cs="Arial" w:ascii="Times New Roman" w:hAnsi="Times New Roman"/>
          <w:color w:val="000000"/>
          <w:sz w:val="20"/>
          <w:szCs w:val="20"/>
        </w:rPr>
        <w:t>que los distintos autores consideran como</w:t>
      </w:r>
      <w:r>
        <w:rPr>
          <w:rFonts w:ascii="Times New Roman" w:hAnsi="Times New Roman"/>
          <w:color w:val="000000"/>
          <w:sz w:val="20"/>
          <w:szCs w:val="20"/>
        </w:rPr>
        <w:t xml:space="preserve"> </w:t>
      </w:r>
      <w:r>
        <w:rPr>
          <w:rFonts w:cs="Arial" w:ascii="Times New Roman" w:hAnsi="Times New Roman"/>
          <w:color w:val="000000"/>
          <w:sz w:val="20"/>
          <w:szCs w:val="20"/>
        </w:rPr>
        <w:t xml:space="preserve">primordiales y que fueron utilizados considerando el objetivo de estudio planteado </w:t>
      </w:r>
      <w:r>
        <w:fldChar w:fldCharType="begin"/>
      </w:r>
      <w:r>
        <w:rPr>
          <w:sz w:val="20"/>
          <w:szCs w:val="20"/>
          <w:rFonts w:cs="Arial" w:ascii="Times New Roman" w:hAnsi="Times New Roman"/>
          <w:color w:val="000000"/>
        </w:rPr>
        <w:instrText>ADDIN EN.CITE &lt;EndNote&gt;&lt;Cite&gt;&lt;Author&gt;Azeem&lt;/Author&gt;&lt;Year&gt;2021&lt;/Year&gt;&lt;RecNum&gt;24&lt;/RecNum&gt;&lt;DisplayText&gt;[14]&lt;/DisplayText&gt;&lt;record&gt;&lt;rec-number&gt;24&lt;/rec-number&gt;&lt;foreign-keys&gt;&lt;key app="EN" db-id="xrds25tsaxxsthedsav52z092p50zrswf55r"&gt;24&lt;/key&gt;&lt;/foreign-keys&gt;&lt;ref-type name="Journal Article"&gt;17&lt;/ref-type&gt;&lt;contributors&gt;&lt;authors&gt;&lt;author&gt;Muhammad Azeem&lt;/author&gt;&lt;author&gt;Munir Ahmed, Sajid Haider&lt;/author&gt;&lt;author&gt;Muhammad Sajjad&lt;/author&gt;&lt;/authors&gt;&lt;/contributors&gt;&lt;titles&gt;&lt;title&gt;Expanding competitive advantage through organizational culture, knowledge sharing and organizational innovation&lt;/title&gt;&lt;secondary-title&gt;Technology in Society &lt;/secondary-title&gt;&lt;/titles&gt;&lt;periodical&gt;&lt;full-title&gt;Technology in Society&lt;/full-title&gt;&lt;/periodical&gt;&lt;pages&gt;1-10&lt;/pages&gt;&lt;volume&gt;66&lt;/volume&gt;&lt;dates&gt;&lt;year&gt;2021&lt;/year&gt;&lt;/dates&gt;&lt;urls&gt;&lt;/urls&gt;&lt;/record&gt;&lt;/Cite&gt;&lt;/EndNote&gt;</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w:t>
      </w:r>
      <w:hyperlink r:id="rId27">
        <w:r>
          <w:rPr>
            <w:rFonts w:cs="Arial" w:ascii="Times New Roman" w:hAnsi="Times New Roman"/>
            <w:color w:val="000000"/>
            <w:sz w:val="20"/>
            <w:szCs w:val="20"/>
          </w:rPr>
          <w:t>14</w:t>
        </w:r>
      </w:hyperlink>
      <w:r>
        <w:rPr>
          <w:rFonts w:cs="Arial" w:ascii="Times New Roman" w:hAnsi="Times New Roman"/>
          <w:color w:val="000000"/>
          <w:sz w:val="20"/>
          <w:szCs w:val="20"/>
        </w:rPr>
        <w:t>]</w:t>
      </w:r>
      <w:hyperlink r:id="rId28">
        <w:r>
          <w:rPr>
            <w:rFonts w:cs="Arial" w:ascii="Times New Roman" w:hAnsi="Times New Roman"/>
            <w:color w:val="000000"/>
            <w:sz w:val="20"/>
            <w:szCs w:val="20"/>
          </w:rPr>
        </w:r>
      </w:hyperlink>
      <w:r>
        <w:rPr>
          <w:sz w:val="20"/>
          <w:szCs w:val="20"/>
          <w:rFonts w:cs="Arial" w:ascii="Times New Roman" w:hAnsi="Times New Roman"/>
          <w:color w:val="000000"/>
        </w:rPr>
        <w:fldChar w:fldCharType="end"/>
      </w:r>
      <w:r>
        <w:rPr>
          <w:rFonts w:cs="Arial" w:ascii="Times New Roman" w:hAnsi="Times New Roman"/>
          <w:color w:val="000000"/>
          <w:sz w:val="20"/>
          <w:szCs w:val="20"/>
        </w:rPr>
        <w:t>; se destacan los</w:t>
      </w:r>
      <w:r>
        <w:rPr>
          <w:rFonts w:ascii="Times New Roman" w:hAnsi="Times New Roman"/>
          <w:color w:val="000000"/>
          <w:sz w:val="20"/>
          <w:szCs w:val="20"/>
        </w:rPr>
        <w:t xml:space="preserve"> </w:t>
      </w:r>
      <w:r>
        <w:rPr>
          <w:rFonts w:cs="Arial" w:ascii="Times New Roman" w:hAnsi="Times New Roman"/>
          <w:color w:val="000000"/>
          <w:sz w:val="20"/>
          <w:szCs w:val="20"/>
        </w:rPr>
        <w:t>indicadores de competitividad y que sirvieron de</w:t>
      </w:r>
      <w:r>
        <w:rPr>
          <w:rFonts w:ascii="Times New Roman" w:hAnsi="Times New Roman"/>
          <w:color w:val="000000"/>
          <w:sz w:val="20"/>
          <w:szCs w:val="20"/>
        </w:rPr>
        <w:t xml:space="preserve"> </w:t>
      </w:r>
      <w:r>
        <w:rPr>
          <w:rFonts w:cs="Arial" w:ascii="Times New Roman" w:hAnsi="Times New Roman"/>
          <w:color w:val="000000"/>
          <w:sz w:val="20"/>
          <w:szCs w:val="20"/>
        </w:rPr>
        <w:t>referencia para la construcción de los</w:t>
      </w:r>
      <w:r>
        <w:rPr>
          <w:rFonts w:ascii="Times New Roman" w:hAnsi="Times New Roman"/>
          <w:color w:val="000000"/>
          <w:sz w:val="20"/>
          <w:szCs w:val="20"/>
        </w:rPr>
        <w:t xml:space="preserve"> </w:t>
      </w:r>
      <w:r>
        <w:rPr>
          <w:rFonts w:cs="Arial" w:ascii="Times New Roman" w:hAnsi="Times New Roman"/>
          <w:color w:val="000000"/>
          <w:sz w:val="20"/>
          <w:szCs w:val="20"/>
        </w:rPr>
        <w:t>indicadores del estudio. Posteriormente, se</w:t>
      </w:r>
      <w:r>
        <w:rPr>
          <w:rFonts w:ascii="Times New Roman" w:hAnsi="Times New Roman"/>
          <w:color w:val="000000"/>
          <w:sz w:val="20"/>
          <w:szCs w:val="20"/>
        </w:rPr>
        <w:t xml:space="preserve"> </w:t>
      </w:r>
      <w:r>
        <w:rPr>
          <w:rFonts w:cs="Arial" w:ascii="Times New Roman" w:hAnsi="Times New Roman"/>
          <w:color w:val="000000"/>
          <w:sz w:val="20"/>
          <w:szCs w:val="20"/>
        </w:rPr>
        <w:t>argumenta sobre la manera en que fueron</w:t>
      </w:r>
      <w:r>
        <w:rPr>
          <w:rFonts w:ascii="Times New Roman" w:hAnsi="Times New Roman"/>
          <w:color w:val="000000"/>
          <w:sz w:val="20"/>
          <w:szCs w:val="20"/>
        </w:rPr>
        <w:t xml:space="preserve"> </w:t>
      </w:r>
      <w:r>
        <w:rPr>
          <w:rFonts w:cs="Arial" w:ascii="Times New Roman" w:hAnsi="Times New Roman"/>
          <w:color w:val="000000"/>
          <w:sz w:val="20"/>
          <w:szCs w:val="20"/>
        </w:rPr>
        <w:t>construidos dichos indicadores y su</w:t>
      </w:r>
      <w:r>
        <w:rPr>
          <w:rFonts w:ascii="Times New Roman" w:hAnsi="Times New Roman"/>
          <w:color w:val="000000"/>
          <w:sz w:val="20"/>
          <w:szCs w:val="20"/>
        </w:rPr>
        <w:t xml:space="preserve"> </w:t>
      </w:r>
      <w:r>
        <w:rPr>
          <w:rFonts w:cs="Arial" w:ascii="Times New Roman" w:hAnsi="Times New Roman"/>
          <w:color w:val="000000"/>
          <w:sz w:val="20"/>
          <w:szCs w:val="20"/>
        </w:rPr>
        <w:t>transformación en categorías de pregunta para la</w:t>
      </w:r>
      <w:r>
        <w:rPr>
          <w:rFonts w:ascii="Times New Roman" w:hAnsi="Times New Roman"/>
          <w:color w:val="000000"/>
          <w:sz w:val="20"/>
          <w:szCs w:val="20"/>
        </w:rPr>
        <w:t xml:space="preserve"> </w:t>
      </w:r>
      <w:r>
        <w:rPr>
          <w:rFonts w:cs="Arial" w:ascii="Times New Roman" w:hAnsi="Times New Roman"/>
          <w:color w:val="000000"/>
          <w:sz w:val="20"/>
          <w:szCs w:val="20"/>
        </w:rPr>
        <w:t>elaboración del instrumento utilizado para la</w:t>
      </w:r>
      <w:r>
        <w:rPr>
          <w:rFonts w:ascii="Times New Roman" w:hAnsi="Times New Roman"/>
          <w:color w:val="000000"/>
          <w:sz w:val="20"/>
          <w:szCs w:val="20"/>
        </w:rPr>
        <w:t xml:space="preserve"> </w:t>
      </w:r>
      <w:r>
        <w:rPr>
          <w:rFonts w:cs="Arial" w:ascii="Times New Roman" w:hAnsi="Times New Roman"/>
          <w:color w:val="000000"/>
          <w:sz w:val="20"/>
          <w:szCs w:val="20"/>
        </w:rPr>
        <w:t>recolección de datos, así como los resultados y el</w:t>
      </w:r>
      <w:r>
        <w:rPr>
          <w:rFonts w:ascii="Times New Roman" w:hAnsi="Times New Roman"/>
          <w:color w:val="000000"/>
          <w:sz w:val="20"/>
          <w:szCs w:val="20"/>
        </w:rPr>
        <w:t xml:space="preserve"> </w:t>
      </w:r>
      <w:r>
        <w:rPr>
          <w:rFonts w:cs="Arial" w:ascii="Times New Roman" w:hAnsi="Times New Roman"/>
          <w:color w:val="000000"/>
          <w:sz w:val="20"/>
          <w:szCs w:val="20"/>
        </w:rPr>
        <w:t>análisis exploratorio de las características y la competitividad de las empresas. Por último, se</w:t>
      </w:r>
      <w:r>
        <w:rPr>
          <w:rFonts w:ascii="Times New Roman" w:hAnsi="Times New Roman"/>
          <w:color w:val="000000"/>
          <w:sz w:val="20"/>
          <w:szCs w:val="20"/>
        </w:rPr>
        <w:t xml:space="preserve"> </w:t>
      </w:r>
      <w:r>
        <w:rPr>
          <w:rFonts w:cs="Arial" w:ascii="Times New Roman" w:hAnsi="Times New Roman"/>
          <w:color w:val="000000"/>
          <w:sz w:val="20"/>
          <w:szCs w:val="20"/>
        </w:rPr>
        <w:t>formulan las conclusiones a las que se llegaron y se plantearon alguna recomendación.</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Cada uno de los análisis de las preguntas de estudio involucra el empleo de algún indicador y factor de competividad que permite diagnosticar el contexto económico  donde se desarrolla la actividad económica; permite realizar una comparación en contexto sectorial y si es requerido con el plan nacional, y apuntando aquellos elementos que le suman o restan competitividad, para cumplir con el objetivo propuesto en este trabajo, se pone énfasis en los indicadores utilizados, así como en los resultados obtenidos.</w:t>
      </w:r>
    </w:p>
    <w:p>
      <w:pPr>
        <w:pStyle w:val="Normal"/>
        <w:shd w:val="clear" w:color="auto" w:fill="FFFFFF"/>
        <w:spacing w:lineRule="auto" w:line="240" w:before="0" w:after="0"/>
        <w:ind w:left="0" w:right="0" w:hanging="0"/>
        <w:jc w:val="both"/>
        <w:rPr>
          <w:rFonts w:ascii="Times New Roman" w:hAnsi="Times New Roman" w:cs="Arial"/>
          <w:b/>
          <w:b/>
          <w:color w:val="000000"/>
          <w:sz w:val="20"/>
          <w:szCs w:val="20"/>
        </w:rPr>
      </w:pPr>
      <w:r>
        <w:rPr>
          <w:rFonts w:cs="Arial" w:ascii="Times New Roman" w:hAnsi="Times New Roman"/>
          <w:b/>
          <w:color w:val="000000"/>
          <w:sz w:val="20"/>
          <w:szCs w:val="20"/>
        </w:rPr>
      </w:r>
    </w:p>
    <w:p>
      <w:pPr>
        <w:pStyle w:val="Normal"/>
        <w:shd w:val="clear" w:color="auto" w:fill="FFFFFF"/>
        <w:spacing w:lineRule="auto" w:line="240" w:before="0" w:after="0"/>
        <w:ind w:left="0" w:right="0" w:hanging="0"/>
        <w:jc w:val="both"/>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A. </w:t>
      </w:r>
      <w:r>
        <w:rPr>
          <w:rFonts w:cs="Arial" w:ascii="Times New Roman" w:hAnsi="Times New Roman"/>
          <w:b w:val="false"/>
          <w:bCs w:val="false"/>
          <w:i/>
          <w:iCs/>
          <w:color w:val="000000"/>
          <w:sz w:val="20"/>
          <w:szCs w:val="20"/>
        </w:rPr>
        <w:t>Selección del área de estudio</w:t>
      </w:r>
    </w:p>
    <w:p>
      <w:pPr>
        <w:pStyle w:val="Normal"/>
        <w:shd w:val="clear" w:color="auto" w:fill="FFFFFF"/>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Este trabajo se realizó en la ciudad de Motul, Yucatán, México; se encuentra ubicada en la parte centro-norte del Estado de Yucatán </w:t>
      </w:r>
      <w:r>
        <w:rPr>
          <w:rFonts w:cs="Arial" w:ascii="Times New Roman" w:hAnsi="Times New Roman"/>
          <w:b w:val="false"/>
          <w:bCs w:val="false"/>
          <w:i w:val="false"/>
          <w:iCs w:val="false"/>
          <w:color w:val="000000"/>
          <w:sz w:val="20"/>
          <w:szCs w:val="20"/>
        </w:rPr>
        <w:t>(Fig. 1)</w:t>
      </w:r>
      <w:r>
        <w:rPr>
          <w:rFonts w:cs="Arial" w:ascii="Times New Roman" w:hAnsi="Times New Roman"/>
          <w:color w:val="000000"/>
          <w:sz w:val="20"/>
          <w:szCs w:val="20"/>
        </w:rPr>
        <w:t xml:space="preserve">, la principal actividad económica es la agricultura; además, se encuentran empresas como son maquiladoras, supermercados, tiendas de abarrotes, talleres de costura, hoteles, micro-empresas y unidades de servicio diverso. </w:t>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cs="Arial"/>
        </w:rPr>
      </w:pPr>
      <w:r>
        <w:rPr>
          <w:rFonts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drawing>
          <wp:anchor behindDoc="0" distT="0" distB="0" distL="114300" distR="114300" simplePos="0" locked="0" layoutInCell="0" allowOverlap="1" relativeHeight="10">
            <wp:simplePos x="0" y="0"/>
            <wp:positionH relativeFrom="column">
              <wp:posOffset>114935</wp:posOffset>
            </wp:positionH>
            <wp:positionV relativeFrom="paragraph">
              <wp:posOffset>30480</wp:posOffset>
            </wp:positionV>
            <wp:extent cx="2667635" cy="2179955"/>
            <wp:effectExtent l="0" t="0" r="0" b="0"/>
            <wp:wrapSquare wrapText="bothSides"/>
            <wp:docPr id="2" name="Imagen 2" descr="C:\Users\Fernando\Desktop\ARTÍCULO  NUEVO\MAPA MO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Fernando\Desktop\ARTÍCULO  NUEVO\MAPA MOTUL.jpg"/>
                    <pic:cNvPicPr>
                      <a:picLocks noChangeAspect="1" noChangeArrowheads="1"/>
                    </pic:cNvPicPr>
                  </pic:nvPicPr>
                  <pic:blipFill>
                    <a:blip r:embed="rId29"/>
                    <a:stretch>
                      <a:fillRect/>
                    </a:stretch>
                  </pic:blipFill>
                  <pic:spPr bwMode="auto">
                    <a:xfrm>
                      <a:off x="0" y="0"/>
                      <a:ext cx="2667635" cy="2179955"/>
                    </a:xfrm>
                    <a:prstGeom prst="rect">
                      <a:avLst/>
                    </a:prstGeom>
                  </pic:spPr>
                </pic:pic>
              </a:graphicData>
            </a:graphic>
          </wp:anchor>
        </w:drawing>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hd w:val="clear" w:color="auto" w:fill="FFFFFF"/>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8504" w:leader="none"/>
        </w:tabs>
        <w:spacing w:lineRule="auto" w:line="240" w:before="0" w:after="0"/>
        <w:ind w:left="0" w:right="0" w:hanging="0"/>
        <w:jc w:val="center"/>
        <w:rPr>
          <w:rFonts w:ascii="Times New Roman" w:hAnsi="Times New Roman" w:cs="Arial"/>
          <w:i/>
          <w:i/>
          <w:iCs/>
          <w:color w:val="000000"/>
          <w:sz w:val="20"/>
          <w:szCs w:val="20"/>
          <w:lang w:eastAsia="es-MX"/>
        </w:rPr>
      </w:pPr>
      <w:r>
        <w:rPr>
          <w:rFonts w:cs="Arial" w:ascii="Times New Roman" w:hAnsi="Times New Roman"/>
          <w:i/>
          <w:iCs/>
          <w:color w:val="000000"/>
          <w:sz w:val="20"/>
          <w:szCs w:val="20"/>
          <w:lang w:eastAsia="es-MX"/>
        </w:rPr>
        <w:t>Figura. 1. Mapa de la ciudad de Motul. Fuente. www.google.com.</w:t>
      </w:r>
    </w:p>
    <w:p>
      <w:pPr>
        <w:pStyle w:val="Normal"/>
        <w:widowControl w:val="false"/>
        <w:tabs>
          <w:tab w:val="clear" w:pos="708"/>
          <w:tab w:val="left" w:pos="8504" w:leader="none"/>
        </w:tabs>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widowControl w:val="false"/>
        <w:tabs>
          <w:tab w:val="clear" w:pos="708"/>
          <w:tab w:val="left" w:pos="567" w:leader="none"/>
        </w:tabs>
        <w:spacing w:lineRule="auto" w:line="240" w:before="0" w:after="0"/>
        <w:ind w:left="0" w:right="0" w:hanging="0"/>
        <w:jc w:val="both"/>
        <w:rPr>
          <w:rFonts w:ascii="Times New Roman" w:hAnsi="Times New Roman"/>
          <w:color w:val="000000"/>
          <w:sz w:val="20"/>
          <w:szCs w:val="20"/>
        </w:rPr>
      </w:pPr>
      <w:r>
        <w:rPr>
          <w:rFonts w:eastAsia="Calibri" w:cs="Arial" w:ascii="Times New Roman" w:hAnsi="Times New Roman"/>
          <w:bCs/>
          <w:color w:val="000000"/>
          <w:sz w:val="20"/>
          <w:szCs w:val="20"/>
        </w:rPr>
        <w:t>Para la recolección de la información se diseñó una encuesta (no mostrado) y fue aplicado a un representante o personal de las empresas, explicando los objetivos y la importancia de la información que proporcionaran;</w:t>
      </w:r>
      <w:r>
        <w:rPr>
          <w:rFonts w:cs="Arial" w:ascii="Times New Roman" w:hAnsi="Times New Roman"/>
          <w:color w:val="000000"/>
          <w:spacing w:val="-1"/>
          <w:sz w:val="20"/>
          <w:szCs w:val="20"/>
        </w:rPr>
        <w:t xml:space="preserve"> previamente a la aplicación de la encuesta fue valorado aplicándolo a 10 establecimientos como prueba pilotos, esta se realizó con la finalidad de verificar la compresión de las preguntas a aplicar; además, se obtuvo información que sirvió para alcanzar las metas planteadas.</w:t>
      </w:r>
    </w:p>
    <w:p>
      <w:pPr>
        <w:pStyle w:val="Normal"/>
        <w:spacing w:lineRule="auto" w:line="240" w:before="0" w:after="0"/>
        <w:ind w:left="0" w:right="0" w:hanging="0"/>
        <w:jc w:val="both"/>
        <w:rPr>
          <w:rFonts w:ascii="Times New Roman" w:hAnsi="Times New Roman" w:eastAsia="Calibri" w:cs="Arial"/>
          <w:bCs/>
          <w:color w:val="000000"/>
          <w:sz w:val="20"/>
          <w:szCs w:val="20"/>
        </w:rPr>
      </w:pPr>
      <w:r>
        <w:rPr>
          <w:rFonts w:eastAsia="Calibri" w:cs="Arial" w:ascii="Times New Roman" w:hAnsi="Times New Roman"/>
          <w:bCs/>
          <w:color w:val="000000"/>
          <w:sz w:val="20"/>
          <w:szCs w:val="20"/>
        </w:rPr>
      </w:r>
    </w:p>
    <w:p>
      <w:pPr>
        <w:pStyle w:val="Normal"/>
        <w:spacing w:lineRule="auto" w:line="240" w:before="0" w:after="0"/>
        <w:ind w:left="0" w:right="0" w:hanging="0"/>
        <w:jc w:val="both"/>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B. </w:t>
      </w:r>
      <w:r>
        <w:rPr>
          <w:rFonts w:cs="Arial" w:ascii="Times New Roman" w:hAnsi="Times New Roman"/>
          <w:b w:val="false"/>
          <w:bCs w:val="false"/>
          <w:i/>
          <w:iCs/>
          <w:color w:val="000000"/>
          <w:sz w:val="20"/>
          <w:szCs w:val="20"/>
        </w:rPr>
        <w:t xml:space="preserve">Determinación del tamaño de muestra </w:t>
      </w:r>
    </w:p>
    <w:p>
      <w:pPr>
        <w:pStyle w:val="Normal"/>
        <w:widowControl w:val="false"/>
        <w:spacing w:lineRule="auto" w:line="240" w:before="0" w:after="0"/>
        <w:ind w:left="0" w:right="0" w:hanging="0"/>
        <w:jc w:val="both"/>
        <w:rPr/>
      </w:pPr>
      <w:r>
        <w:rPr>
          <w:rFonts w:cs="Arial" w:ascii="Times New Roman" w:hAnsi="Times New Roman"/>
          <w:color w:val="000000"/>
          <w:spacing w:val="-1"/>
          <w:sz w:val="20"/>
          <w:szCs w:val="20"/>
        </w:rPr>
        <w:t xml:space="preserve">Los empresas que se encuentran en el área de estudio tiene diferentes giros comerciales, sus actividades económicas son heterogéneas </w:t>
      </w:r>
      <w:r>
        <w:fldChar w:fldCharType="begin"/>
      </w:r>
      <w:r>
        <w:rPr>
          <w:sz w:val="20"/>
          <w:spacing w:val="-1"/>
          <w:szCs w:val="20"/>
          <w:rFonts w:cs="Arial" w:ascii="Times New Roman" w:hAnsi="Times New Roman"/>
          <w:color w:val="000000"/>
        </w:rPr>
        <w:instrText>ADDIN EN.CITE &lt;EndNote&gt;&lt;Cite&gt;&lt;Author&gt;Pandey&lt;/Author&gt;&lt;Year&gt;2016&lt;/Year&gt;&lt;RecNum&gt;22&lt;/RecNum&gt;&lt;DisplayText&gt;[15]&lt;/DisplayText&gt;&lt;record&gt;&lt;rec-number&gt;22&lt;/rec-number&gt;&lt;foreign-keys&gt;&lt;key app="EN" db-id="tp5essrdrffrxye2fxj59v5xvaxet0sx5fww"&gt;22&lt;/key&gt;&lt;/foreign-keys&gt;&lt;ref-type name="Journal Article"&gt;17&lt;/ref-type&gt;&lt;contributors&gt;&lt;authors&gt;&lt;author&gt;Brijesh Kumar Pandey&lt;/author&gt;&lt;author&gt;Savita Vyas&lt;/author&gt;&lt;author&gt;Mukesh Pandey&lt;/author&gt;&lt;author&gt;Anurag Gaur&lt;/author&gt;&lt;/authors&gt;&lt;/contributors&gt;&lt;titles&gt;&lt;title&gt;Municipal solid waste to energy conversion methodology as physical, thermal, and biological methods&lt;/title&gt;&lt;secondary-title&gt; Current Science Perspectives &lt;/secondary-title&gt;&lt;/titles&gt;&lt;pages&gt;39-44&lt;/pages&gt;&lt;volume&gt;2&lt;/volume&gt;&lt;dates&gt;&lt;year&gt;2016&lt;/year&gt;&lt;/dates&gt;&lt;urls&gt;&lt;/urls&gt;&lt;/record&gt;&lt;/Cite&gt;&lt;/EndNote&gt;</w:instrText>
      </w:r>
      <w:r>
        <w:rPr>
          <w:rFonts w:cs="Arial" w:ascii="Times New Roman" w:hAnsi="Times New Roman"/>
          <w:color w:val="000000"/>
          <w:spacing w:val="-1"/>
          <w:sz w:val="20"/>
          <w:szCs w:val="20"/>
        </w:rPr>
      </w:r>
      <w:r>
        <w:rPr>
          <w:sz w:val="20"/>
          <w:spacing w:val="-1"/>
          <w:szCs w:val="20"/>
          <w:rFonts w:cs="Arial" w:ascii="Times New Roman" w:hAnsi="Times New Roman"/>
          <w:color w:val="000000"/>
        </w:rPr>
        <w:fldChar w:fldCharType="separate"/>
      </w:r>
      <w:r>
        <w:rPr>
          <w:rFonts w:cs="Arial" w:ascii="Times New Roman" w:hAnsi="Times New Roman"/>
          <w:color w:val="000000"/>
          <w:spacing w:val="-1"/>
          <w:sz w:val="20"/>
          <w:szCs w:val="20"/>
        </w:rPr>
        <w:t>[</w:t>
      </w:r>
      <w:hyperlink r:id="rId30">
        <w:r>
          <w:rPr>
            <w:rFonts w:cs="Arial" w:ascii="Times New Roman" w:hAnsi="Times New Roman"/>
            <w:color w:val="000000"/>
            <w:spacing w:val="-1"/>
            <w:sz w:val="20"/>
            <w:szCs w:val="20"/>
          </w:rPr>
          <w:t>15</w:t>
        </w:r>
      </w:hyperlink>
      <w:r>
        <w:rPr>
          <w:rFonts w:cs="Arial" w:ascii="Times New Roman" w:hAnsi="Times New Roman"/>
          <w:color w:val="000000"/>
          <w:spacing w:val="-1"/>
          <w:sz w:val="20"/>
          <w:szCs w:val="20"/>
        </w:rPr>
        <w:t>]</w:t>
      </w:r>
      <w:hyperlink r:id="rId31">
        <w:r>
          <w:rPr>
            <w:rFonts w:cs="Arial" w:ascii="Times New Roman" w:hAnsi="Times New Roman"/>
            <w:color w:val="000000"/>
            <w:spacing w:val="-1"/>
            <w:sz w:val="20"/>
            <w:szCs w:val="20"/>
          </w:rPr>
        </w:r>
      </w:hyperlink>
      <w:r>
        <w:rPr>
          <w:sz w:val="20"/>
          <w:spacing w:val="-1"/>
          <w:szCs w:val="20"/>
          <w:rFonts w:cs="Arial" w:ascii="Times New Roman" w:hAnsi="Times New Roman"/>
          <w:color w:val="000000"/>
        </w:rPr>
        <w:fldChar w:fldCharType="end"/>
      </w:r>
      <w:r>
        <w:rPr>
          <w:rFonts w:cs="Arial" w:ascii="Times New Roman" w:hAnsi="Times New Roman"/>
          <w:color w:val="000000"/>
          <w:spacing w:val="-1"/>
          <w:sz w:val="20"/>
          <w:szCs w:val="20"/>
        </w:rPr>
        <w:t xml:space="preserve">; por tal motivo, para recolectar la información con mayor precisión, el diseño del instrumento fue realizado considerando preguntas que permitan evaluar el grado de competividad de manera general a las empresas; además, los establecimientos fueron seleccionados de manera aleatoria. </w:t>
      </w:r>
    </w:p>
    <w:p>
      <w:pPr>
        <w:pStyle w:val="Normal"/>
        <w:widowControl w:val="false"/>
        <w:spacing w:lineRule="auto" w:line="240" w:before="0" w:after="0"/>
        <w:ind w:left="0" w:right="0" w:hanging="0"/>
        <w:jc w:val="both"/>
        <w:rPr>
          <w:rFonts w:ascii="Times New Roman" w:hAnsi="Times New Roman" w:cs="Arial"/>
          <w:color w:val="000000"/>
          <w:spacing w:val="-1"/>
          <w:sz w:val="20"/>
          <w:szCs w:val="20"/>
        </w:rPr>
      </w:pPr>
      <w:r>
        <w:rPr/>
      </w:r>
    </w:p>
    <w:p>
      <w:pPr>
        <w:pStyle w:val="Normal"/>
        <w:spacing w:lineRule="auto" w:line="240" w:before="0" w:after="0"/>
        <w:ind w:left="0" w:right="0" w:hanging="0"/>
        <w:jc w:val="both"/>
        <w:rPr/>
      </w:pPr>
      <w:r>
        <w:rPr>
          <w:rFonts w:cs="Arial" w:ascii="Times New Roman" w:hAnsi="Times New Roman"/>
          <w:color w:val="000000"/>
          <w:sz w:val="20"/>
          <w:szCs w:val="20"/>
        </w:rPr>
        <w:t xml:space="preserve">Para la determinación del tamaño de la muestra, se tomó como universo la cantidad total de empresas que se encuentran en la ciudad de Motul, para el conteo de los establecimientos, se utilizó la base de datos que se encuentra en el </w:t>
      </w:r>
      <w:r>
        <w:rPr>
          <w:rFonts w:cs="Arial" w:ascii="Times New Roman" w:hAnsi="Times New Roman"/>
          <w:color w:val="000000"/>
          <w:sz w:val="20"/>
          <w:szCs w:val="20"/>
          <w:shd w:fill="FFFFFF" w:val="clear"/>
        </w:rPr>
        <w:t>Directorio Estadístico Nacional de Unidades Económicas (</w:t>
      </w:r>
      <w:r>
        <w:rPr>
          <w:rFonts w:cs="Arial" w:ascii="Times New Roman" w:hAnsi="Times New Roman"/>
          <w:bCs/>
          <w:color w:val="000000"/>
          <w:sz w:val="20"/>
          <w:szCs w:val="20"/>
          <w:shd w:fill="FFFFFF" w:val="clear"/>
        </w:rPr>
        <w:t>DENUE</w:t>
      </w:r>
      <w:r>
        <w:rPr>
          <w:rFonts w:cs="Arial" w:ascii="Times New Roman" w:hAnsi="Times New Roman"/>
          <w:color w:val="000000"/>
          <w:sz w:val="20"/>
          <w:szCs w:val="20"/>
          <w:shd w:fill="FFFFFF" w:val="clear"/>
        </w:rPr>
        <w:t>); cuyo propósito es proveer información como son: datos de identificación, ubicación y contacto de las unidades económicas. Para la selección del área de estudio fue necesario ingresar a la página oficial, mediante filtros se seleccionó el estado o municipio; así como las características de las industrias como son: giro de las empresas, tipo</w:t>
      </w:r>
      <w:r>
        <w:rPr>
          <w:rFonts w:cs="Arial" w:ascii="Times New Roman" w:hAnsi="Times New Roman"/>
          <w:color w:val="000000"/>
          <w:sz w:val="20"/>
          <w:szCs w:val="20"/>
          <w:lang w:val="es-ES"/>
        </w:rPr>
        <w:t xml:space="preserve">, tamaño de la empresa y el área geográfica </w:t>
      </w:r>
      <w:r>
        <w:fldChar w:fldCharType="begin"/>
      </w:r>
      <w:r>
        <w:rPr>
          <w:sz w:val="20"/>
          <w:szCs w:val="20"/>
          <w:rFonts w:cs="Arial" w:ascii="Times New Roman" w:hAnsi="Times New Roman"/>
          <w:color w:val="000000"/>
          <w:lang w:val="es-ES"/>
        </w:rPr>
        <w:instrText>ADDIN EN.CITE &lt;EndNote&gt;&lt;Cite&gt;&lt;Author&gt;INEGI&lt;/Author&gt;&lt;RecNum&gt;19&lt;/RecNum&gt;&lt;DisplayText&gt;[16]&lt;/DisplayText&gt;&lt;record&gt;&lt;rec-number&gt;19&lt;/rec-number&gt;&lt;foreign-keys&gt;&lt;key app="EN" db-id="xrds25tsaxxsthedsav52z092p50zrswf55r"&gt;19&lt;/key&gt;&lt;/foreign-keys&gt;&lt;ref-type name="Web Page"&gt;12&lt;/ref-type&gt;&lt;contributors&gt;&lt;authors&gt;&lt;author&gt;INEGI&lt;/author&gt;&lt;/authors&gt;&lt;/contributors&gt;&lt;titles&gt;&lt;title&gt;Directorio Estadístico Nacional de Unidades Económicas,&lt;/title&gt;&lt;/titles&gt;&lt;dates&gt;&lt;/dates&gt;&lt;urls&gt;&lt;related-urls&gt;&lt;url&gt;https://inegi.org.mx/app/mapa/denue/default.aspx&lt;/url&gt;&lt;/related-urls&gt;&lt;/urls&gt;&lt;/record&gt;&lt;/Cite&gt;&lt;/EndNote&gt;</w:instrText>
      </w:r>
      <w:r>
        <w:rPr>
          <w:rFonts w:cs="Arial" w:ascii="Times New Roman" w:hAnsi="Times New Roman"/>
          <w:color w:val="000000"/>
          <w:sz w:val="20"/>
          <w:szCs w:val="20"/>
          <w:lang w:val="es-ES"/>
        </w:rPr>
      </w:r>
      <w:r>
        <w:rPr>
          <w:sz w:val="20"/>
          <w:szCs w:val="20"/>
          <w:rFonts w:cs="Arial" w:ascii="Times New Roman" w:hAnsi="Times New Roman"/>
          <w:color w:val="000000"/>
          <w:lang w:val="es-ES"/>
        </w:rPr>
        <w:fldChar w:fldCharType="separate"/>
      </w:r>
      <w:r>
        <w:rPr>
          <w:rFonts w:cs="Arial" w:ascii="Times New Roman" w:hAnsi="Times New Roman"/>
          <w:color w:val="000000"/>
          <w:sz w:val="20"/>
          <w:szCs w:val="20"/>
          <w:lang w:val="es-ES"/>
        </w:rPr>
        <w:t>[</w:t>
      </w:r>
      <w:hyperlink r:id="rId32">
        <w:r>
          <w:rPr>
            <w:rFonts w:cs="Arial" w:ascii="Times New Roman" w:hAnsi="Times New Roman"/>
            <w:color w:val="000000"/>
            <w:sz w:val="20"/>
            <w:szCs w:val="20"/>
            <w:lang w:val="es-ES"/>
          </w:rPr>
          <w:t>16</w:t>
        </w:r>
      </w:hyperlink>
      <w:r>
        <w:rPr>
          <w:rFonts w:cs="Arial" w:ascii="Times New Roman" w:hAnsi="Times New Roman"/>
          <w:color w:val="000000"/>
          <w:sz w:val="20"/>
          <w:szCs w:val="20"/>
          <w:lang w:val="es-ES"/>
        </w:rPr>
        <w:t>]</w:t>
      </w:r>
      <w:hyperlink r:id="rId33">
        <w:r>
          <w:rPr>
            <w:rFonts w:cs="Arial" w:ascii="Times New Roman" w:hAnsi="Times New Roman"/>
            <w:color w:val="000000"/>
            <w:sz w:val="20"/>
            <w:szCs w:val="20"/>
            <w:lang w:val="es-ES"/>
          </w:rPr>
        </w:r>
      </w:hyperlink>
      <w:r>
        <w:rPr>
          <w:sz w:val="20"/>
          <w:szCs w:val="20"/>
          <w:rFonts w:cs="Arial" w:ascii="Times New Roman" w:hAnsi="Times New Roman"/>
          <w:color w:val="000000"/>
          <w:lang w:val="es-ES"/>
        </w:rPr>
        <w:fldChar w:fldCharType="end"/>
      </w:r>
      <w:r>
        <w:rPr>
          <w:rFonts w:cs="Arial" w:ascii="Times New Roman" w:hAnsi="Times New Roman"/>
          <w:color w:val="000000"/>
          <w:sz w:val="20"/>
          <w:szCs w:val="20"/>
          <w:lang w:val="es-ES"/>
        </w:rPr>
        <w:t xml:space="preserve">. </w:t>
      </w:r>
    </w:p>
    <w:p>
      <w:pPr>
        <w:pStyle w:val="Normal"/>
        <w:widowControl w:val="false"/>
        <w:spacing w:lineRule="auto" w:line="240" w:before="0" w:after="0"/>
        <w:ind w:left="0" w:right="0" w:hanging="0"/>
        <w:jc w:val="both"/>
        <w:rPr/>
      </w:pPr>
      <w:r>
        <w:rPr>
          <w:rFonts w:cs="Arial" w:ascii="Times New Roman" w:hAnsi="Times New Roman"/>
          <w:color w:val="000000"/>
          <w:spacing w:val="-1"/>
          <w:sz w:val="20"/>
          <w:szCs w:val="20"/>
        </w:rPr>
        <w:t xml:space="preserve">Para la determinación del tamaño de muestra se tomó como referencia a </w:t>
      </w:r>
      <w:r>
        <w:fldChar w:fldCharType="begin"/>
      </w:r>
      <w:r>
        <w:rPr>
          <w:sz w:val="20"/>
          <w:spacing w:val="-1"/>
          <w:szCs w:val="20"/>
          <w:rFonts w:cs="Arial" w:ascii="Times New Roman" w:hAnsi="Times New Roman"/>
          <w:color w:val="000000"/>
        </w:rPr>
        <w:instrText>ADDIN EN.CITE &lt;EndNote&gt;&lt;Cite AuthorYear="1"&gt;&lt;Author&gt;Salgado-López&lt;/Author&gt;&lt;Year&gt;2012&lt;/Year&gt;&lt;RecNum&gt;15&lt;/RecNum&gt;&lt;DisplayText&gt;Salgado-López [17]&lt;/DisplayText&gt;&lt;record&gt;&lt;rec-number&gt;15&lt;/rec-number&gt;&lt;foreign-keys&gt;&lt;key app="EN" db-id="tp5essrdrffrxye2fxj59v5xvaxet0sx5fww"&gt;15&lt;/key&gt;&lt;/foreign-keys&gt;&lt;ref-type name="Journal Article"&gt;17&lt;/ref-type&gt;&lt;contributors&gt;&lt;authors&gt;&lt;author&gt;Juana Amalia Salgado-López&lt;/author&gt;&lt;/authors&gt;&lt;/contributors&gt;&lt;titles&gt;&lt;title&gt;Solid Waste: Perception and factors which facilitate its separation at home: The study case of two habitable units in Tlalpan&lt;/title&gt;&lt;secondary-title&gt;QUIVERA&lt;/secondary-title&gt;&lt;/titles&gt;&lt;periodical&gt;&lt;full-title&gt;QUIVERA&lt;/full-title&gt;&lt;/periodical&gt;&lt;pages&gt;91-112&lt;/pages&gt;&lt;dates&gt;&lt;year&gt;2012&lt;/year&gt;&lt;/dates&gt;&lt;urls&gt;&lt;/urls&gt;&lt;electronic-resource-num&gt;https://quivera.uaemex.mx/article/view/9627 &lt;/electronic-resource-num&gt;&lt;/record&gt;&lt;/Cite&gt;&lt;/EndNote&gt;</w:instrText>
      </w:r>
      <w:hyperlink w:anchor="_ENREF_17" w:tgtFrame="Salgado-López, 2012 #15">
        <w:r>
          <w:rPr>
            <w:rFonts w:cs="Arial" w:ascii="Times New Roman" w:hAnsi="Times New Roman"/>
            <w:color w:val="000000"/>
            <w:spacing w:val="-1"/>
            <w:sz w:val="20"/>
            <w:szCs w:val="20"/>
          </w:rPr>
        </w:r>
        <w:r>
          <w:rPr>
            <w:sz w:val="20"/>
            <w:spacing w:val="-1"/>
            <w:szCs w:val="20"/>
            <w:rFonts w:cs="Arial" w:ascii="Times New Roman" w:hAnsi="Times New Roman"/>
            <w:color w:val="000000"/>
          </w:rPr>
          <w:fldChar w:fldCharType="separate"/>
        </w:r>
        <w:r>
          <w:rPr>
            <w:rFonts w:cs="Arial" w:ascii="Times New Roman" w:hAnsi="Times New Roman"/>
            <w:color w:val="000000"/>
            <w:spacing w:val="-1"/>
            <w:sz w:val="20"/>
            <w:szCs w:val="20"/>
          </w:rPr>
          <w:t>Salgado-López [17]</w:t>
        </w:r>
        <w:r>
          <w:rPr>
            <w:rFonts w:cs="Arial" w:ascii="Times New Roman" w:hAnsi="Times New Roman"/>
            <w:color w:val="000000"/>
            <w:spacing w:val="-1"/>
            <w:sz w:val="20"/>
            <w:szCs w:val="20"/>
          </w:rPr>
        </w:r>
        <w:r>
          <w:rPr>
            <w:sz w:val="20"/>
            <w:spacing w:val="-1"/>
            <w:szCs w:val="20"/>
            <w:rFonts w:cs="Arial" w:ascii="Times New Roman" w:hAnsi="Times New Roman"/>
            <w:color w:val="000000"/>
          </w:rPr>
          <w:fldChar w:fldCharType="end"/>
        </w:r>
      </w:hyperlink>
      <w:r>
        <w:rPr>
          <w:rFonts w:cs="Arial" w:ascii="Times New Roman" w:hAnsi="Times New Roman"/>
          <w:color w:val="000000"/>
          <w:spacing w:val="-1"/>
          <w:sz w:val="20"/>
          <w:szCs w:val="20"/>
        </w:rPr>
        <w:t>, y se utilizó la ecuación 1.</w:t>
      </w:r>
    </w:p>
    <w:tbl>
      <w:tblPr>
        <w:tblStyle w:val="Tablaconcuadrcula"/>
        <w:tblpPr w:vertAnchor="text" w:horzAnchor="margin" w:tblpXSpec="right" w:leftFromText="180" w:rightFromText="180" w:tblpY="198"/>
        <w:tblW w:w="264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41"/>
      </w:tblGrid>
      <w:tr>
        <w:trPr>
          <w:trHeight w:val="260" w:hRule="atLeast"/>
        </w:trPr>
        <w:tc>
          <w:tcPr>
            <w:tcW w:w="2641" w:type="dxa"/>
            <w:tcBorders>
              <w:top w:val="nil"/>
              <w:left w:val="nil"/>
              <w:bottom w:val="nil"/>
              <w:right w:val="nil"/>
            </w:tcBorders>
          </w:tcPr>
          <w:p>
            <w:pPr>
              <w:pStyle w:val="Normal"/>
              <w:widowControl/>
              <w:spacing w:lineRule="auto" w:line="240" w:before="0" w:after="0"/>
              <w:jc w:val="both"/>
              <w:rPr>
                <w:rFonts w:ascii="Arial" w:hAnsi="Arial" w:cs="Arial"/>
                <w:sz w:val="24"/>
                <w:szCs w:val="24"/>
              </w:rPr>
            </w:pPr>
            <w:r>
              <w:rPr>
                <w:rFonts w:eastAsia="Calibri" w:cs="Arial" w:ascii="Arial" w:hAnsi="Arial"/>
                <w:kern w:val="0"/>
                <w:sz w:val="24"/>
                <w:szCs w:val="24"/>
                <w:lang w:val="es-MX" w:eastAsia="en-US" w:bidi="ar-SA"/>
              </w:rPr>
            </w:r>
          </w:p>
          <w:p>
            <w:pPr>
              <w:pStyle w:val="Normal"/>
              <w:widowControl/>
              <w:spacing w:lineRule="auto" w:line="240" w:before="0" w:after="0"/>
              <w:jc w:val="both"/>
              <w:rPr>
                <w:rFonts w:ascii="Arial" w:hAnsi="Arial" w:cs="Arial"/>
                <w:sz w:val="24"/>
                <w:szCs w:val="24"/>
                <w:u w:val="single"/>
              </w:rPr>
            </w:pPr>
            <w:r>
              <w:rPr>
                <w:rFonts w:eastAsia="Calibri" w:cs="Arial" w:ascii="Arial" w:hAnsi="Arial"/>
                <w:kern w:val="0"/>
                <w:sz w:val="24"/>
                <w:szCs w:val="24"/>
                <w:lang w:val="es-MX" w:eastAsia="en-US" w:bidi="ar-SA"/>
              </w:rPr>
              <w:t>n =</w:t>
            </w:r>
            <w:r>
              <w:rPr>
                <w:rFonts w:eastAsia="Calibri" w:cs="Arial" w:ascii="Arial" w:hAnsi="Arial"/>
                <w:kern w:val="0"/>
                <w:sz w:val="24"/>
                <w:szCs w:val="24"/>
                <w:u w:val="single"/>
                <w:lang w:val="es-MX" w:eastAsia="en-US" w:bidi="ar-SA"/>
              </w:rPr>
              <w:t xml:space="preserve">       NZ</w:t>
            </w:r>
            <w:r>
              <w:rPr>
                <w:rFonts w:eastAsia="Calibri" w:cs="Arial" w:ascii="Arial" w:hAnsi="Arial"/>
                <w:kern w:val="0"/>
                <w:sz w:val="24"/>
                <w:szCs w:val="24"/>
                <w:u w:val="single"/>
                <w:vertAlign w:val="superscript"/>
                <w:lang w:val="es-MX" w:eastAsia="en-US" w:bidi="ar-SA"/>
              </w:rPr>
              <w:t>2</w:t>
            </w:r>
            <w:r>
              <w:rPr>
                <w:rFonts w:eastAsia="Calibri" w:cs="Arial" w:ascii="Arial" w:hAnsi="Arial"/>
                <w:kern w:val="0"/>
                <w:sz w:val="24"/>
                <w:szCs w:val="24"/>
                <w:u w:val="single"/>
                <w:vertAlign w:val="subscript"/>
                <w:lang w:val="es-MX" w:eastAsia="en-US" w:bidi="ar-SA"/>
              </w:rPr>
              <w:t>α/2</w:t>
            </w:r>
            <w:r>
              <w:rPr>
                <w:rFonts w:eastAsia="Calibri" w:cs="Arial" w:ascii="Arial" w:hAnsi="Arial"/>
                <w:kern w:val="0"/>
                <w:sz w:val="24"/>
                <w:szCs w:val="24"/>
                <w:u w:val="single"/>
                <w:lang w:val="es-MX" w:eastAsia="en-US" w:bidi="ar-SA"/>
              </w:rPr>
              <w:t>pq</w:t>
            </w:r>
          </w:p>
        </w:tc>
      </w:tr>
      <w:tr>
        <w:trPr>
          <w:trHeight w:val="260" w:hRule="atLeast"/>
        </w:trPr>
        <w:tc>
          <w:tcPr>
            <w:tcW w:w="2641" w:type="dxa"/>
            <w:tcBorders>
              <w:top w:val="nil"/>
              <w:left w:val="nil"/>
              <w:bottom w:val="nil"/>
              <w:right w:val="nil"/>
            </w:tcBorders>
          </w:tcPr>
          <w:p>
            <w:pPr>
              <w:pStyle w:val="Normal"/>
              <w:widowControl/>
              <w:spacing w:lineRule="auto" w:line="240" w:before="0" w:after="0"/>
              <w:jc w:val="both"/>
              <w:rPr>
                <w:rFonts w:ascii="Arial" w:hAnsi="Arial" w:cs="Arial"/>
                <w:sz w:val="24"/>
                <w:szCs w:val="24"/>
              </w:rPr>
            </w:pPr>
            <w:r>
              <w:rPr>
                <w:rFonts w:eastAsia="Calibri" w:cs="Arial" w:ascii="Arial" w:hAnsi="Arial"/>
                <w:kern w:val="0"/>
                <w:sz w:val="24"/>
                <w:szCs w:val="24"/>
                <w:lang w:val="es-MX" w:eastAsia="en-US" w:bidi="ar-SA"/>
              </w:rPr>
              <w:t xml:space="preserve">        </w:t>
            </w:r>
            <w:r>
              <w:rPr>
                <w:rFonts w:eastAsia="Calibri" w:cs="Arial" w:ascii="Arial" w:hAnsi="Arial"/>
                <w:kern w:val="0"/>
                <w:sz w:val="24"/>
                <w:szCs w:val="24"/>
                <w:lang w:val="es-MX" w:eastAsia="en-US" w:bidi="ar-SA"/>
              </w:rPr>
              <w:t>Nd</w:t>
            </w:r>
            <w:r>
              <w:rPr>
                <w:rFonts w:eastAsia="Calibri" w:cs="Arial" w:ascii="Arial" w:hAnsi="Arial"/>
                <w:kern w:val="0"/>
                <w:sz w:val="24"/>
                <w:szCs w:val="24"/>
                <w:vertAlign w:val="superscript"/>
                <w:lang w:val="es-MX" w:eastAsia="en-US" w:bidi="ar-SA"/>
              </w:rPr>
              <w:t xml:space="preserve">2   </w:t>
            </w:r>
            <w:r>
              <w:rPr>
                <w:rFonts w:eastAsia="Calibri" w:cs="Arial" w:ascii="Arial" w:hAnsi="Arial"/>
                <w:kern w:val="0"/>
                <w:sz w:val="24"/>
                <w:szCs w:val="24"/>
                <w:lang w:val="es-MX" w:eastAsia="en-US" w:bidi="ar-SA"/>
              </w:rPr>
              <w:t>+  Z</w:t>
            </w:r>
            <w:r>
              <w:rPr>
                <w:rFonts w:eastAsia="Calibri" w:cs="Arial" w:ascii="Arial" w:hAnsi="Arial"/>
                <w:kern w:val="0"/>
                <w:sz w:val="24"/>
                <w:szCs w:val="24"/>
                <w:vertAlign w:val="superscript"/>
                <w:lang w:val="es-MX" w:eastAsia="en-US" w:bidi="ar-SA"/>
              </w:rPr>
              <w:t>2</w:t>
            </w:r>
            <w:r>
              <w:rPr>
                <w:rFonts w:eastAsia="Calibri" w:cs="Arial" w:ascii="Arial" w:hAnsi="Arial"/>
                <w:kern w:val="0"/>
                <w:sz w:val="24"/>
                <w:szCs w:val="24"/>
                <w:vertAlign w:val="subscript"/>
                <w:lang w:val="es-MX" w:eastAsia="en-US" w:bidi="ar-SA"/>
              </w:rPr>
              <w:t xml:space="preserve"> α/2</w:t>
            </w:r>
            <w:r>
              <w:rPr>
                <w:rFonts w:eastAsia="Calibri" w:cs="Arial" w:ascii="Arial" w:hAnsi="Arial"/>
                <w:kern w:val="0"/>
                <w:sz w:val="24"/>
                <w:szCs w:val="24"/>
                <w:lang w:val="es-MX" w:eastAsia="en-US" w:bidi="ar-SA"/>
              </w:rPr>
              <w:t>pq</w:t>
            </w:r>
          </w:p>
        </w:tc>
      </w:tr>
    </w:tbl>
    <w:p>
      <w:pPr>
        <w:pStyle w:val="Normal"/>
        <w:widowControl w:val="false"/>
        <w:spacing w:lineRule="auto" w:line="240" w:before="0" w:after="0"/>
        <w:ind w:left="0" w:right="0" w:hanging="0"/>
        <w:jc w:val="both"/>
        <w:rPr>
          <w:rFonts w:ascii="Times New Roman" w:hAnsi="Times New Roman" w:cs="Arial"/>
          <w:color w:val="000000"/>
          <w:spacing w:val="-1"/>
          <w:sz w:val="20"/>
          <w:szCs w:val="20"/>
        </w:rPr>
      </w:pPr>
      <w:r>
        <w:rPr>
          <w:rFonts w:cs="Arial" w:ascii="Times New Roman" w:hAnsi="Times New Roman"/>
          <w:color w:val="000000"/>
          <w:spacing w:val="-1"/>
          <w:sz w:val="20"/>
          <w:szCs w:val="20"/>
        </w:rPr>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(1)</w:t>
      </w:r>
    </w:p>
    <w:p>
      <w:pPr>
        <w:pStyle w:val="Normal"/>
        <w:widowControl w:val="false"/>
        <w:spacing w:lineRule="auto" w:line="240" w:before="0" w:after="0"/>
        <w:ind w:left="0" w:right="0" w:hanging="0"/>
        <w:jc w:val="both"/>
        <w:rPr>
          <w:rFonts w:ascii="Times New Roman" w:hAnsi="Times New Roman" w:cs="Arial"/>
          <w:color w:val="000000"/>
          <w:spacing w:val="-1"/>
          <w:sz w:val="20"/>
          <w:szCs w:val="20"/>
        </w:rPr>
      </w:pPr>
      <w:r>
        <w:rPr>
          <w:rFonts w:cs="Arial" w:ascii="Times New Roman" w:hAnsi="Times New Roman"/>
          <w:color w:val="000000"/>
          <w:spacing w:val="-1"/>
          <w:sz w:val="20"/>
          <w:szCs w:val="20"/>
        </w:rPr>
      </w:r>
    </w:p>
    <w:p>
      <w:pPr>
        <w:pStyle w:val="Normal"/>
        <w:widowControl w:val="false"/>
        <w:spacing w:lineRule="auto" w:line="240" w:before="0" w:after="0"/>
        <w:ind w:left="0" w:right="0" w:hanging="0"/>
        <w:jc w:val="both"/>
        <w:rPr>
          <w:rFonts w:ascii="Times New Roman" w:hAnsi="Times New Roman" w:cs="Arial"/>
          <w:color w:val="000000"/>
          <w:spacing w:val="-1"/>
          <w:sz w:val="20"/>
          <w:szCs w:val="20"/>
        </w:rPr>
      </w:pPr>
      <w:r>
        <w:rPr>
          <w:rFonts w:cs="Arial" w:ascii="Times New Roman" w:hAnsi="Times New Roman"/>
          <w:color w:val="000000"/>
          <w:spacing w:val="-1"/>
          <w:sz w:val="20"/>
          <w:szCs w:val="20"/>
        </w:rPr>
      </w:r>
    </w:p>
    <w:p>
      <w:pPr>
        <w:pStyle w:val="Normal"/>
        <w:widowControl w:val="false"/>
        <w:spacing w:lineRule="auto" w:line="240" w:before="0" w:after="0"/>
        <w:ind w:left="0" w:right="0" w:hanging="0"/>
        <w:jc w:val="both"/>
        <w:rPr>
          <w:rFonts w:cs="Arial"/>
          <w:spacing w:val="-1"/>
        </w:rPr>
      </w:pPr>
      <w:r>
        <w:rPr>
          <w:rFonts w:ascii="Times New Roman" w:hAnsi="Times New Roman"/>
          <w:color w:val="000000"/>
          <w:sz w:val="20"/>
          <w:szCs w:val="20"/>
        </w:rPr>
      </w:r>
    </w:p>
    <w:p>
      <w:pPr>
        <w:pStyle w:val="Normal"/>
        <w:widowControl w:val="false"/>
        <w:spacing w:lineRule="auto" w:line="240" w:before="0" w:after="0"/>
        <w:ind w:left="0" w:right="0" w:hanging="0"/>
        <w:jc w:val="both"/>
        <w:rPr>
          <w:rFonts w:cs="Arial"/>
          <w:spacing w:val="-1"/>
        </w:rPr>
      </w:pPr>
      <w:r>
        <w:rPr>
          <w:rFonts w:ascii="Times New Roman" w:hAnsi="Times New Roman"/>
          <w:color w:val="000000"/>
          <w:sz w:val="20"/>
          <w:szCs w:val="20"/>
        </w:rPr>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Esta ecuación corresponde al modelo de muestreo simple aleatorio donde:</w:t>
      </w:r>
    </w:p>
    <w:p>
      <w:pPr>
        <w:pStyle w:val="Normal"/>
        <w:widowControl w:val="false"/>
        <w:spacing w:lineRule="auto" w:line="240" w:before="0" w:after="0"/>
        <w:ind w:left="0" w:right="0" w:hanging="0"/>
        <w:jc w:val="both"/>
        <w:rPr>
          <w:rFonts w:cs="Arial"/>
          <w:spacing w:val="-1"/>
        </w:rPr>
      </w:pPr>
      <w:r>
        <w:rPr>
          <w:rFonts w:ascii="Times New Roman" w:hAnsi="Times New Roman"/>
          <w:color w:val="000000"/>
          <w:sz w:val="20"/>
          <w:szCs w:val="20"/>
        </w:rPr>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N= Tamaño de la población</w:t>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n= Tamaño de la muestra</w:t>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p= Probabilidad de éxito</w:t>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q= Probabilidad de fracaso</w:t>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Z= Cuantil α/2 de la distribución normal estándar con 95 % de confiabilidad.</w:t>
      </w:r>
    </w:p>
    <w:p>
      <w:pPr>
        <w:pStyle w:val="Normal"/>
        <w:widowControl w:val="false"/>
        <w:spacing w:lineRule="auto" w:line="240" w:before="0" w:after="0"/>
        <w:ind w:left="0" w:right="0" w:hanging="0"/>
        <w:jc w:val="both"/>
        <w:rPr>
          <w:rFonts w:cs="Arial"/>
          <w:spacing w:val="-1"/>
        </w:rPr>
      </w:pPr>
      <w:r>
        <w:rPr>
          <w:rFonts w:ascii="Times New Roman" w:hAnsi="Times New Roman"/>
          <w:color w:val="000000"/>
          <w:sz w:val="20"/>
          <w:szCs w:val="20"/>
        </w:rPr>
      </w:r>
    </w:p>
    <w:p>
      <w:pPr>
        <w:pStyle w:val="Normal"/>
        <w:widowControl w:val="false"/>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pacing w:val="-1"/>
          <w:sz w:val="20"/>
          <w:szCs w:val="20"/>
        </w:rPr>
        <w:t>El</w:t>
      </w:r>
      <w:r>
        <w:rPr>
          <w:rFonts w:cs="Arial" w:ascii="Times New Roman" w:hAnsi="Times New Roman"/>
          <w:color w:val="000000"/>
          <w:spacing w:val="-1"/>
          <w:sz w:val="20"/>
          <w:szCs w:val="20"/>
        </w:rPr>
        <w:t xml:space="preserve"> porcentaje de confiabilidad utilizado (Z) fue de 95%, valores de </w:t>
      </w:r>
      <w:r>
        <w:rPr>
          <w:rFonts w:cs="Arial" w:ascii="Times New Roman" w:hAnsi="Times New Roman"/>
          <w:color w:val="000000"/>
          <w:spacing w:val="-1"/>
          <w:sz w:val="20"/>
          <w:szCs w:val="20"/>
        </w:rPr>
        <w:t>q de 0.5 el cual representó la probabilidad de que no conozcan el concepto de competividad y p de 0.5 representó la probabilidad de que conozcan el concepto de competividad.</w:t>
      </w:r>
    </w:p>
    <w:p>
      <w:pPr>
        <w:pStyle w:val="Normal"/>
        <w:widowControl w:val="false"/>
        <w:spacing w:lineRule="auto" w:line="240" w:before="0" w:after="0"/>
        <w:ind w:left="0" w:right="0" w:hanging="0"/>
        <w:jc w:val="both"/>
        <w:rPr>
          <w:rFonts w:ascii="Times New Roman" w:hAnsi="Times New Roman" w:cs="Arial"/>
          <w:color w:val="000000"/>
          <w:spacing w:val="-1"/>
          <w:sz w:val="20"/>
          <w:szCs w:val="20"/>
        </w:rPr>
      </w:pPr>
      <w:r>
        <w:rPr>
          <w:rFonts w:cs="Arial" w:ascii="Times New Roman" w:hAnsi="Times New Roman"/>
          <w:color w:val="000000"/>
          <w:spacing w:val="-1"/>
          <w:sz w:val="20"/>
          <w:szCs w:val="20"/>
        </w:rPr>
      </w:r>
    </w:p>
    <w:p>
      <w:pPr>
        <w:pStyle w:val="Normal"/>
        <w:spacing w:lineRule="auto" w:line="240" w:before="0" w:after="0"/>
        <w:ind w:left="0" w:right="0" w:hanging="0"/>
        <w:jc w:val="both"/>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C. </w:t>
      </w:r>
      <w:r>
        <w:rPr>
          <w:rFonts w:cs="Arial" w:ascii="Times New Roman" w:hAnsi="Times New Roman"/>
          <w:b w:val="false"/>
          <w:bCs w:val="false"/>
          <w:i/>
          <w:iCs/>
          <w:color w:val="000000"/>
          <w:sz w:val="20"/>
          <w:szCs w:val="20"/>
        </w:rPr>
        <w:t xml:space="preserve">Selección de los puntos de muestreo </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Para facilitar el muestreo y por las características de la distribución de las empresas en la ciudad de Motul se utilizó un mapa (</w:t>
      </w:r>
      <w:r>
        <w:rPr>
          <w:rFonts w:cs="Arial" w:ascii="Times New Roman" w:hAnsi="Times New Roman"/>
          <w:b w:val="false"/>
          <w:bCs w:val="false"/>
          <w:color w:val="000000"/>
          <w:sz w:val="20"/>
          <w:szCs w:val="20"/>
        </w:rPr>
        <w:t>Fig. 2)</w:t>
      </w:r>
      <w:r>
        <w:rPr>
          <w:rFonts w:cs="Arial" w:ascii="Times New Roman" w:hAnsi="Times New Roman"/>
          <w:color w:val="000000"/>
          <w:sz w:val="20"/>
          <w:szCs w:val="20"/>
        </w:rPr>
        <w:t>.</w:t>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drawing>
          <wp:anchor behindDoc="0" distT="0" distB="0" distL="114300" distR="114300" simplePos="0" locked="0" layoutInCell="0" allowOverlap="1" relativeHeight="9">
            <wp:simplePos x="0" y="0"/>
            <wp:positionH relativeFrom="column">
              <wp:align>center</wp:align>
            </wp:positionH>
            <wp:positionV relativeFrom="paragraph">
              <wp:posOffset>118745</wp:posOffset>
            </wp:positionV>
            <wp:extent cx="1805305" cy="1649095"/>
            <wp:effectExtent l="0" t="0" r="0" b="0"/>
            <wp:wrapSquare wrapText="bothSides"/>
            <wp:docPr id="3" name="Imagen 1" descr="C:\Users\Fernando\Download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C:\Users\Fernando\Downloads\22.png"/>
                    <pic:cNvPicPr>
                      <a:picLocks noChangeAspect="1" noChangeArrowheads="1"/>
                    </pic:cNvPicPr>
                  </pic:nvPicPr>
                  <pic:blipFill>
                    <a:blip r:embed="rId34"/>
                    <a:stretch>
                      <a:fillRect/>
                    </a:stretch>
                  </pic:blipFill>
                  <pic:spPr bwMode="auto">
                    <a:xfrm>
                      <a:off x="0" y="0"/>
                      <a:ext cx="1805305" cy="1649095"/>
                    </a:xfrm>
                    <a:prstGeom prst="rect">
                      <a:avLst/>
                    </a:prstGeom>
                  </pic:spPr>
                </pic:pic>
              </a:graphicData>
            </a:graphic>
          </wp:anchor>
        </w:drawing>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both"/>
        <w:rPr>
          <w:rFonts w:cs="Arial"/>
          <w:b w:val="false"/>
          <w:b w:val="false"/>
        </w:rPr>
      </w:pPr>
      <w:r>
        <w:rPr>
          <w:rFonts w:ascii="Times New Roman" w:hAnsi="Times New Roman"/>
          <w:color w:val="000000"/>
          <w:sz w:val="20"/>
          <w:szCs w:val="20"/>
        </w:rPr>
      </w:r>
    </w:p>
    <w:p>
      <w:pPr>
        <w:pStyle w:val="Caption"/>
        <w:spacing w:lineRule="auto" w:line="240" w:before="0" w:after="0"/>
        <w:ind w:left="0" w:right="0" w:hanging="0"/>
        <w:jc w:val="center"/>
        <w:rPr>
          <w:rFonts w:ascii="Times New Roman" w:hAnsi="Times New Roman"/>
          <w:color w:val="000000"/>
          <w:sz w:val="20"/>
          <w:szCs w:val="20"/>
        </w:rPr>
      </w:pPr>
      <w:r>
        <w:rPr>
          <w:rFonts w:cs="Arial" w:ascii="Times New Roman" w:hAnsi="Times New Roman"/>
          <w:b w:val="false"/>
          <w:i/>
          <w:iCs/>
          <w:color w:val="000000"/>
          <w:sz w:val="20"/>
          <w:szCs w:val="20"/>
        </w:rPr>
        <w:t xml:space="preserve">Figura 2. Mapa de la ciudad de Motul.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jc w:val="both"/>
        <w:rPr/>
      </w:pPr>
      <w:r>
        <w:rPr>
          <w:rFonts w:cs="Arial" w:ascii="Times New Roman" w:hAnsi="Times New Roman"/>
          <w:color w:val="000000"/>
          <w:sz w:val="20"/>
          <w:szCs w:val="20"/>
        </w:rPr>
        <w:t xml:space="preserve">Para la determinación de los elementos de la muestra se tomó como referencia a </w:t>
      </w:r>
      <w:r>
        <w:fldChar w:fldCharType="begin"/>
      </w:r>
      <w:r>
        <w:rPr>
          <w:sz w:val="20"/>
          <w:szCs w:val="20"/>
          <w:rFonts w:cs="Arial" w:ascii="Times New Roman" w:hAnsi="Times New Roman"/>
          <w:color w:val="000000"/>
        </w:rPr>
        <w:instrText>ADDIN EN.CITE &lt;EndNote&gt;&lt;Cite AuthorYear="1"&gt;&lt;Author&gt;Addo&lt;/Author&gt;&lt;Year&gt;2015&lt;/Year&gt;&lt;RecNum&gt;16&lt;/RecNum&gt;&lt;DisplayText&gt;Addo, et al., [18]&lt;/DisplayText&gt;&lt;record&gt;&lt;rec-number&gt;16&lt;/rec-number&gt;&lt;foreign-keys&gt;&lt;key app="EN" db-id="tp5essrdrffrxye2fxj59v5xvaxet0sx5fww"&gt;16&lt;/key&gt;&lt;/foreign-keys&gt;&lt;ref-type name="Journal Article"&gt;17&lt;/ref-type&gt;&lt;contributors&gt;&lt;authors&gt;&lt;author&gt;I.B. Addo&lt;/author&gt;&lt;author&gt;D. Adei&lt;/author&gt;&lt;author&gt;E.O. Acheampong&lt;/author&gt;&lt;/authors&gt;&lt;/contributors&gt;&lt;titles&gt;&lt;title&gt;Solid Waste Management and Its Health Implications on the Dwellers of Kumasi Metropolis, Ghana&lt;/title&gt;&lt;secondary-title&gt;Current Research Journal of Social Sciences&lt;/secondary-title&gt;&lt;/titles&gt;&lt;periodical&gt;&lt;full-title&gt;Current Research Journal of Social Sciences&lt;/full-title&gt;&lt;/periodical&gt;&lt;pages&gt;81-93&lt;/pages&gt;&lt;volume&gt;3&lt;/volume&gt;&lt;dates&gt;&lt;year&gt;2015&lt;/year&gt;&lt;/dates&gt;&lt;urls&gt;&lt;/urls&gt;&lt;/record&gt;&lt;/Cite&gt;&lt;/EndNote&gt;</w:instrText>
      </w:r>
      <w:hyperlink w:anchor="_ENREF_18" w:tgtFrame="Addo, 2015 #16">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Addo, et al., [18]</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se aplicó la metodología del muestreo aleatorio simple y la ecuación 1.</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 </w:t>
      </w:r>
    </w:p>
    <w:p>
      <w:pPr>
        <w:pStyle w:val="MDPI22heading2"/>
        <w:spacing w:lineRule="auto" w:line="240" w:before="0" w:after="0"/>
        <w:ind w:left="0" w:right="0" w:hanging="0"/>
        <w:jc w:val="both"/>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lang w:val="es-MX"/>
        </w:rPr>
        <w:t xml:space="preserve">D. </w:t>
      </w:r>
      <w:r>
        <w:rPr>
          <w:rFonts w:cs="Arial" w:ascii="Times New Roman" w:hAnsi="Times New Roman"/>
          <w:b w:val="false"/>
          <w:bCs w:val="false"/>
          <w:i/>
          <w:iCs/>
          <w:color w:val="000000"/>
          <w:sz w:val="20"/>
          <w:szCs w:val="20"/>
          <w:lang w:val="es-MX"/>
        </w:rPr>
        <w:t>Análisis estadístico</w:t>
      </w:r>
    </w:p>
    <w:p>
      <w:pPr>
        <w:pStyle w:val="MDPI31text"/>
        <w:spacing w:lineRule="auto" w:line="240" w:before="0" w:after="0"/>
        <w:ind w:left="0" w:right="0" w:hanging="0"/>
        <w:rPr>
          <w:rFonts w:ascii="Times New Roman" w:hAnsi="Times New Roman"/>
          <w:color w:val="000000"/>
          <w:sz w:val="20"/>
          <w:szCs w:val="20"/>
        </w:rPr>
      </w:pPr>
      <w:r>
        <w:rPr>
          <w:rFonts w:cs="Arial" w:ascii="Times New Roman" w:hAnsi="Times New Roman"/>
          <w:color w:val="000000"/>
          <w:sz w:val="20"/>
          <w:szCs w:val="20"/>
          <w:lang w:val="es-MX"/>
        </w:rPr>
        <w:t>Para el procesamiento de la información, los resultados fueron analizados con los programas estadísticos Excel, Origin 2018 y googles formularios.</w:t>
      </w:r>
    </w:p>
    <w:p>
      <w:pPr>
        <w:pStyle w:val="Normal"/>
        <w:spacing w:lineRule="auto" w:line="240" w:before="0" w:after="0"/>
        <w:ind w:left="0" w:right="0" w:hanging="0"/>
        <w:jc w:val="both"/>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rPr>
          <w:rFonts w:ascii="Times New Roman" w:hAnsi="Times New Roman"/>
          <w:color w:val="000000"/>
          <w:sz w:val="20"/>
          <w:szCs w:val="20"/>
        </w:rPr>
      </w:pPr>
      <w:r>
        <w:rPr>
          <w:rFonts w:cs="Arial" w:ascii="Times New Roman" w:hAnsi="Times New Roman"/>
          <w:b/>
          <w:color w:val="000000"/>
          <w:sz w:val="20"/>
          <w:szCs w:val="20"/>
        </w:rPr>
        <w:t xml:space="preserve">III. </w:t>
      </w:r>
      <w:r>
        <w:rPr>
          <w:rFonts w:cs="Arial" w:ascii="Times New Roman" w:hAnsi="Times New Roman"/>
          <w:b/>
          <w:color w:val="000000"/>
          <w:sz w:val="20"/>
          <w:szCs w:val="20"/>
        </w:rPr>
        <w:t>RESULTADOS</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shd w:fill="FFFFFF" w:val="clear"/>
        </w:rPr>
        <w:t>Para determinar la cantidad total de empresas que se encuentran en la ciudad de Motul, se utilizó la base datos de DENUE, mediante filtros se seleccionó el área geográfica de interés en donde se realizó el estudio, se solicitó información a la plataforma indicando el giro de la empresa, la cantidad total de empresas que se encuentran registrados en la ciudad de Motul representó el universo total de elementos ver figura 3 y 4.</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spacing w:lineRule="auto" w:line="240" w:before="0" w:after="0"/>
        <w:ind w:left="0" w:right="0" w:hanging="0"/>
        <w:jc w:val="both"/>
        <w:rPr>
          <w:rFonts w:ascii="Times New Roman" w:hAnsi="Times New Roman" w:cs="Arial"/>
          <w:b/>
          <w:b/>
          <w:color w:val="000000"/>
          <w:sz w:val="20"/>
          <w:szCs w:val="20"/>
          <w:shd w:fill="FFFFFF" w:val="clear"/>
        </w:rPr>
      </w:pPr>
      <w:r>
        <w:rPr>
          <w:rFonts w:cs="Arial" w:ascii="Times New Roman" w:hAnsi="Times New Roman"/>
          <w:b/>
          <w:color w:val="000000"/>
          <w:sz w:val="20"/>
          <w:szCs w:val="20"/>
          <w:shd w:fill="FFFFFF" w:val="clear"/>
        </w:rPr>
      </w:r>
    </w:p>
    <w:p>
      <w:pPr>
        <w:pStyle w:val="Normal"/>
        <w:spacing w:lineRule="auto" w:line="240" w:before="0" w:after="0"/>
        <w:ind w:left="0" w:right="0" w:hanging="0"/>
        <w:jc w:val="both"/>
        <w:rPr>
          <w:rFonts w:ascii="Times New Roman" w:hAnsi="Times New Roman" w:cs="Arial"/>
          <w:b/>
          <w:b/>
          <w:color w:val="000000"/>
          <w:sz w:val="20"/>
          <w:szCs w:val="20"/>
          <w:shd w:fill="FFFFFF" w:val="clear"/>
        </w:rPr>
      </w:pPr>
      <w:r>
        <w:rPr>
          <w:rFonts w:cs="Arial" w:ascii="Times New Roman" w:hAnsi="Times New Roman"/>
          <w:b/>
          <w:color w:val="000000"/>
          <w:sz w:val="20"/>
          <w:szCs w:val="20"/>
          <w:shd w:fill="FFFFFF" w:val="clear"/>
        </w:rPr>
      </w:r>
    </w:p>
    <w:p>
      <w:pPr>
        <w:pStyle w:val="Normal"/>
        <w:spacing w:lineRule="auto" w:line="240" w:before="0" w:after="0"/>
        <w:ind w:left="0" w:right="0" w:hanging="0"/>
        <w:jc w:val="both"/>
        <w:rPr>
          <w:rFonts w:ascii="Times New Roman" w:hAnsi="Times New Roman" w:cs="Arial"/>
          <w:b/>
          <w:b/>
          <w:color w:val="000000"/>
          <w:sz w:val="20"/>
          <w:szCs w:val="20"/>
          <w:shd w:fill="FFFFFF" w:val="clear"/>
        </w:rPr>
      </w:pPr>
      <w:r>
        <w:rPr>
          <w:rFonts w:cs="Arial" w:ascii="Times New Roman" w:hAnsi="Times New Roman"/>
          <w:b/>
          <w:color w:val="000000"/>
          <w:sz w:val="20"/>
          <w:szCs w:val="20"/>
          <w:shd w:fill="FFFFFF" w:val="clear"/>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3951605"/>
            <wp:effectExtent l="0" t="0" r="0" b="0"/>
            <wp:docPr id="4"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0" descr=""/>
                    <pic:cNvPicPr>
                      <a:picLocks noChangeAspect="1" noChangeArrowheads="1"/>
                    </pic:cNvPicPr>
                  </pic:nvPicPr>
                  <pic:blipFill>
                    <a:blip r:embed="rId35"/>
                    <a:stretch>
                      <a:fillRect/>
                    </a:stretch>
                  </pic:blipFill>
                  <pic:spPr bwMode="auto">
                    <a:xfrm>
                      <a:off x="0" y="0"/>
                      <a:ext cx="5612130" cy="3951605"/>
                    </a:xfrm>
                    <a:prstGeom prst="rect">
                      <a:avLst/>
                    </a:prstGeom>
                  </pic:spPr>
                </pic:pic>
              </a:graphicData>
            </a:graphic>
          </wp:inline>
        </w:drawing>
      </w:r>
      <w:r>
        <w:rPr>
          <w:rFonts w:cs="Arial" w:ascii="Times New Roman" w:hAnsi="Times New Roman"/>
          <w:color w:val="000000"/>
          <w:sz w:val="20"/>
          <w:szCs w:val="20"/>
          <w:shd w:fill="FFFFFF" w:val="clear"/>
        </w:rPr>
        <w:t xml:space="preserve">  </w:t>
      </w:r>
    </w:p>
    <w:p>
      <w:pPr>
        <w:pStyle w:val="Caption"/>
        <w:spacing w:lineRule="auto" w:line="240" w:before="0" w:after="0"/>
        <w:ind w:left="0" w:right="0" w:hanging="0"/>
        <w:jc w:val="center"/>
        <w:rPr>
          <w:rFonts w:cs="Arial"/>
          <w:b w:val="false"/>
          <w:b w:val="false"/>
        </w:rPr>
      </w:pPr>
      <w:r>
        <w:rPr>
          <w:rFonts w:ascii="Times New Roman" w:hAnsi="Times New Roman"/>
          <w:i/>
          <w:iCs/>
          <w:color w:val="000000"/>
          <w:sz w:val="20"/>
          <w:szCs w:val="20"/>
        </w:rPr>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Figura 3.  Página oficial del DENUE, y selección de la ciudad de </w:t>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Motul, Yucatán, México. </w:t>
      </w:r>
      <w:r>
        <w:rPr>
          <w:rFonts w:cs="Arial" w:ascii="Times New Roman" w:hAnsi="Times New Roman"/>
          <w:b w:val="false"/>
          <w:bCs w:val="false"/>
          <w:i/>
          <w:iCs/>
          <w:color w:val="000000"/>
          <w:sz w:val="20"/>
          <w:szCs w:val="20"/>
        </w:rPr>
        <w:t>Fuente: DENUE (2023).</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jc w:val="both"/>
        <w:rPr>
          <w:rFonts w:ascii="Times New Roman" w:hAnsi="Times New Roman" w:cs="Arial"/>
          <w:b/>
          <w:b/>
          <w:color w:val="000000"/>
          <w:sz w:val="20"/>
          <w:szCs w:val="20"/>
          <w:shd w:fill="FFFFFF" w:val="clear"/>
        </w:rPr>
      </w:pPr>
      <w:r>
        <w:rPr>
          <w:rFonts w:cs="Arial" w:ascii="Times New Roman" w:hAnsi="Times New Roman"/>
          <w:b/>
          <w:color w:val="000000"/>
          <w:sz w:val="20"/>
          <w:szCs w:val="20"/>
          <w:shd w:fill="FFFFFF" w:val="clear"/>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4863465" cy="4171950"/>
            <wp:effectExtent l="0" t="0" r="0" b="0"/>
            <wp:docPr id="5"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6" descr=""/>
                    <pic:cNvPicPr>
                      <a:picLocks noChangeAspect="1" noChangeArrowheads="1"/>
                    </pic:cNvPicPr>
                  </pic:nvPicPr>
                  <pic:blipFill>
                    <a:blip r:embed="rId36"/>
                    <a:stretch>
                      <a:fillRect/>
                    </a:stretch>
                  </pic:blipFill>
                  <pic:spPr bwMode="auto">
                    <a:xfrm>
                      <a:off x="0" y="0"/>
                      <a:ext cx="4863465" cy="4171950"/>
                    </a:xfrm>
                    <a:prstGeom prst="rect">
                      <a:avLst/>
                    </a:prstGeom>
                  </pic:spPr>
                </pic:pic>
              </a:graphicData>
            </a:graphic>
          </wp:inline>
        </w:drawing>
      </w:r>
    </w:p>
    <w:p>
      <w:pPr>
        <w:pStyle w:val="Caption"/>
        <w:spacing w:lineRule="auto" w:line="240" w:before="0" w:after="0"/>
        <w:ind w:left="0" w:right="0" w:hanging="0"/>
        <w:jc w:val="center"/>
        <w:rPr>
          <w:rFonts w:cs="Arial"/>
          <w:b w:val="false"/>
          <w:b w:val="false"/>
        </w:rPr>
      </w:pPr>
      <w:r>
        <w:rPr>
          <w:rFonts w:ascii="Times New Roman" w:hAnsi="Times New Roman"/>
          <w:i/>
          <w:iCs/>
          <w:color w:val="000000"/>
          <w:sz w:val="20"/>
          <w:szCs w:val="20"/>
        </w:rPr>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Figura 4. Selección de la actividad económica y giro de la </w:t>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empresa.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jc w:val="both"/>
        <w:rPr>
          <w:rFonts w:ascii="Times New Roman" w:hAnsi="Times New Roman" w:cs="Arial"/>
          <w:color w:val="000000"/>
          <w:sz w:val="20"/>
          <w:szCs w:val="20"/>
          <w:shd w:fill="FFFFFF" w:val="clear"/>
        </w:rPr>
      </w:pPr>
      <w:r>
        <w:rPr>
          <w:rFonts w:cs="Arial" w:ascii="Times New Roman" w:hAnsi="Times New Roman"/>
          <w:color w:val="000000"/>
          <w:sz w:val="20"/>
          <w:szCs w:val="20"/>
          <w:shd w:fill="FFFFFF" w:val="clear"/>
        </w:rPr>
      </w:r>
    </w:p>
    <w:p>
      <w:pPr>
        <w:pStyle w:val="Normal"/>
        <w:spacing w:lineRule="auto" w:line="240" w:before="0" w:after="0"/>
        <w:ind w:left="0" w:right="0" w:hanging="0"/>
        <w:jc w:val="both"/>
        <w:rPr>
          <w:rFonts w:cs="Arial"/>
          <w:b/>
          <w:b/>
          <w:lang w:eastAsia="es-MX"/>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s="Arial"/>
          <w:b/>
          <w:b/>
          <w:color w:val="000000"/>
          <w:sz w:val="20"/>
          <w:szCs w:val="20"/>
          <w:lang w:eastAsia="es-MX"/>
        </w:rPr>
      </w:pPr>
      <w:r>
        <w:rPr>
          <w:rFonts w:cs="Arial" w:ascii="Times New Roman" w:hAnsi="Times New Roman"/>
          <w:b/>
          <w:color w:val="000000"/>
          <w:sz w:val="20"/>
          <w:szCs w:val="20"/>
          <w:lang w:eastAsia="es-MX"/>
        </w:rPr>
      </w:r>
    </w:p>
    <w:p>
      <w:pPr>
        <w:pStyle w:val="Normal"/>
        <w:spacing w:lineRule="auto" w:line="240" w:before="0" w:after="0"/>
        <w:ind w:left="0" w:right="0" w:hanging="0"/>
        <w:jc w:val="both"/>
        <w:rPr>
          <w:rFonts w:ascii="Times New Roman" w:hAnsi="Times New Roman" w:cs="Arial"/>
          <w:b/>
          <w:b/>
          <w:color w:val="000000"/>
          <w:sz w:val="20"/>
          <w:szCs w:val="20"/>
          <w:lang w:eastAsia="es-MX"/>
        </w:rPr>
      </w:pPr>
      <w:r>
        <w:rPr>
          <w:rFonts w:cs="Arial" w:ascii="Times New Roman" w:hAnsi="Times New Roman"/>
          <w:b/>
          <w:color w:val="000000"/>
          <w:sz w:val="20"/>
          <w:szCs w:val="20"/>
          <w:lang w:eastAsia="es-MX"/>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612130" cy="2980690"/>
            <wp:effectExtent l="0" t="0" r="0" b="0"/>
            <wp:docPr id="6"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2" descr=""/>
                    <pic:cNvPicPr>
                      <a:picLocks noChangeAspect="1" noChangeArrowheads="1"/>
                    </pic:cNvPicPr>
                  </pic:nvPicPr>
                  <pic:blipFill>
                    <a:blip r:embed="rId37"/>
                    <a:stretch>
                      <a:fillRect/>
                    </a:stretch>
                  </pic:blipFill>
                  <pic:spPr bwMode="auto">
                    <a:xfrm>
                      <a:off x="0" y="0"/>
                      <a:ext cx="5612130" cy="298069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eastAsia="es-MX"/>
        </w:rPr>
        <w:t xml:space="preserve">Figura 5. Listado de empresas que se encuentran en la </w:t>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eastAsia="es-MX"/>
        </w:rPr>
        <w:t xml:space="preserve">ciudad de Motul. </w:t>
      </w:r>
      <w:r>
        <w:rPr>
          <w:rFonts w:cs="Arial" w:ascii="Times New Roman" w:hAnsi="Times New Roman"/>
          <w:b w:val="false"/>
          <w:bCs w:val="false"/>
          <w:i/>
          <w:iCs/>
          <w:color w:val="000000"/>
          <w:sz w:val="20"/>
          <w:szCs w:val="20"/>
          <w:lang w:eastAsia="es-MX"/>
        </w:rPr>
        <w:t>Fuente: Elaboración propia.</w:t>
      </w:r>
      <w:r>
        <w:rPr>
          <w:rFonts w:cs="Arial" w:ascii="Times New Roman" w:hAnsi="Times New Roman"/>
          <w:b w:val="false"/>
          <w:bCs w:val="false"/>
          <w:i/>
          <w:iCs/>
          <w:color w:val="000000"/>
          <w:sz w:val="20"/>
          <w:szCs w:val="20"/>
          <w:lang w:eastAsia="es-MX"/>
        </w:rPr>
        <w:t xml:space="preserve"> </w:t>
      </w:r>
    </w:p>
    <w:p>
      <w:pPr>
        <w:pStyle w:val="Normal"/>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sectPr>
          <w:headerReference w:type="even" r:id="rId38"/>
          <w:headerReference w:type="default" r:id="rId39"/>
          <w:headerReference w:type="first" r:id="rId40"/>
          <w:footerReference w:type="even" r:id="rId41"/>
          <w:footerReference w:type="default" r:id="rId42"/>
          <w:footerReference w:type="first" r:id="rId43"/>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Con la finalidad de actualizar </w:t>
      </w:r>
      <w:r>
        <w:rPr>
          <w:rFonts w:cs="Arial" w:ascii="Times New Roman" w:hAnsi="Times New Roman"/>
          <w:color w:val="000000"/>
          <w:sz w:val="20"/>
          <w:szCs w:val="20"/>
          <w:lang w:val="es-ES" w:eastAsia="es-MX"/>
        </w:rPr>
        <w:t xml:space="preserve">el listado de empresas manufactureras y verificar los establecimientos que aún continúan en actividad, se procedió a realizar visitas y llamadas telefónicas. Una vez ubicadas las empresas que se encuentran en actividad, la información fue plasmada en una hoja de cálculo del programa informático Excel, ver figura 5; en ella, se encuentra información como son: </w:t>
      </w:r>
      <w:r>
        <w:rPr>
          <w:rFonts w:cs="Arial" w:ascii="Times New Roman" w:hAnsi="Times New Roman"/>
          <w:color w:val="000000"/>
          <w:sz w:val="20"/>
          <w:szCs w:val="20"/>
          <w:lang w:val="es-ES"/>
        </w:rPr>
        <w:t>nombre de la empresa, giro, la dirección y colonia en donde se encuentra.</w:t>
      </w:r>
      <w:r>
        <w:rPr>
          <w:rFonts w:cs="Arial" w:ascii="Times New Roman" w:hAnsi="Times New Roman"/>
          <w:b/>
          <w:color w:val="000000"/>
          <w:sz w:val="20"/>
          <w:szCs w:val="20"/>
          <w:lang w:val="es-ES" w:eastAsia="es-MX"/>
        </w:rPr>
        <w:t xml:space="preserve"> </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Para tener un mayor control y determinar la cantidad de los elementos a muestrear, en la hoja de cálculo de Excel se subrayaron de color verde las empresas que se mantienen activas y de color rojo las empresas que habían cerrado o habían cambiado de la dirección que señalaba el sistema DENUE, ver </w:t>
      </w:r>
      <w:r>
        <w:rPr>
          <w:rFonts w:cs="Arial" w:ascii="Times New Roman" w:hAnsi="Times New Roman"/>
          <w:color w:val="000000"/>
          <w:sz w:val="20"/>
          <w:szCs w:val="20"/>
          <w:lang w:val="es-ES"/>
        </w:rPr>
        <w:t>F</w:t>
      </w:r>
      <w:r>
        <w:rPr>
          <w:rFonts w:cs="Arial" w:ascii="Times New Roman" w:hAnsi="Times New Roman"/>
          <w:color w:val="000000"/>
          <w:sz w:val="20"/>
          <w:szCs w:val="20"/>
          <w:lang w:val="es-ES"/>
        </w:rPr>
        <w:t xml:space="preserve">igura 6. </w:t>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Además, para facilitar la ubicación de los establecimientos y para tener un mayor control sobre las direcciones y de las empresas, la ciudad fue divida por zonas, de esta forma se tuvo un mejor plano divisional y planeación de la recolección de la información, ver </w:t>
      </w:r>
      <w:r>
        <w:rPr>
          <w:rFonts w:cs="Arial" w:ascii="Times New Roman" w:hAnsi="Times New Roman"/>
          <w:color w:val="000000"/>
          <w:sz w:val="20"/>
          <w:szCs w:val="20"/>
          <w:lang w:val="es-ES"/>
        </w:rPr>
        <w:t>F</w:t>
      </w:r>
      <w:r>
        <w:rPr>
          <w:rFonts w:cs="Arial" w:ascii="Times New Roman" w:hAnsi="Times New Roman"/>
          <w:color w:val="000000"/>
          <w:sz w:val="20"/>
          <w:szCs w:val="20"/>
          <w:lang w:val="es-ES"/>
        </w:rPr>
        <w:t>igura 7.</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786120" cy="2942590"/>
            <wp:effectExtent l="0" t="0" r="0" b="0"/>
            <wp:docPr id="8"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4" descr=""/>
                    <pic:cNvPicPr>
                      <a:picLocks noChangeAspect="1" noChangeArrowheads="1"/>
                    </pic:cNvPicPr>
                  </pic:nvPicPr>
                  <pic:blipFill>
                    <a:blip r:embed="rId44"/>
                    <a:stretch>
                      <a:fillRect/>
                    </a:stretch>
                  </pic:blipFill>
                  <pic:spPr bwMode="auto">
                    <a:xfrm>
                      <a:off x="0" y="0"/>
                      <a:ext cx="5786120" cy="2942590"/>
                    </a:xfrm>
                    <a:prstGeom prst="rect">
                      <a:avLst/>
                    </a:prstGeom>
                  </pic:spPr>
                </pic:pic>
              </a:graphicData>
            </a:graphic>
          </wp:inline>
        </w:drawing>
      </w:r>
    </w:p>
    <w:p>
      <w:pPr>
        <w:pStyle w:val="Normal"/>
        <w:spacing w:lineRule="auto" w:line="240" w:before="0" w:after="0"/>
        <w:ind w:left="0" w:right="0" w:hanging="0"/>
        <w:jc w:val="center"/>
        <w:rPr>
          <w:rFonts w:cs="Arial"/>
          <w:lang w:eastAsia="es-MX"/>
        </w:rPr>
      </w:pPr>
      <w:r>
        <w:rPr>
          <w:rFonts w:ascii="Times New Roman" w:hAnsi="Times New Roman"/>
          <w:i/>
          <w:iCs/>
          <w:color w:val="000000"/>
          <w:sz w:val="20"/>
          <w:szCs w:val="20"/>
        </w:rPr>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eastAsia="es-MX"/>
        </w:rPr>
        <w:t xml:space="preserve">Figura 6. Listado de empresas activas que se encuentran en la </w:t>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lang w:eastAsia="es-MX"/>
        </w:rPr>
        <w:t xml:space="preserve">ciudad de Motul. </w:t>
      </w:r>
      <w:r>
        <w:rPr>
          <w:rFonts w:cs="Arial" w:ascii="Times New Roman" w:hAnsi="Times New Roman"/>
          <w:b w:val="false"/>
          <w:bCs w:val="false"/>
          <w:i/>
          <w:iCs/>
          <w:color w:val="000000"/>
          <w:sz w:val="20"/>
          <w:szCs w:val="20"/>
          <w:lang w:eastAsia="es-MX"/>
        </w:rPr>
        <w:t>Fuente: Elaboración propia.</w:t>
      </w:r>
      <w:r>
        <w:rPr>
          <w:rFonts w:cs="Arial" w:ascii="Times New Roman" w:hAnsi="Times New Roman"/>
          <w:b w:val="false"/>
          <w:bCs w:val="false"/>
          <w:i/>
          <w:iCs/>
          <w:color w:val="000000"/>
          <w:sz w:val="20"/>
          <w:szCs w:val="20"/>
          <w:lang w:eastAsia="es-MX"/>
        </w:rPr>
        <w:t xml:space="preserve"> </w:t>
      </w:r>
    </w:p>
    <w:p>
      <w:pPr>
        <w:pStyle w:val="Normal"/>
        <w:spacing w:lineRule="auto" w:line="240" w:before="0" w:after="0"/>
        <w:ind w:left="0" w:right="0" w:hanging="0"/>
        <w:jc w:val="both"/>
        <w:rPr>
          <w:rFonts w:ascii="Times New Roman" w:hAnsi="Times New Roman" w:cs="Arial"/>
          <w:b/>
          <w:b/>
          <w:color w:val="000000"/>
          <w:sz w:val="20"/>
          <w:szCs w:val="20"/>
          <w:lang w:val="es-ES"/>
        </w:rPr>
      </w:pPr>
      <w:r>
        <w:rPr>
          <w:rFonts w:cs="Arial" w:ascii="Times New Roman" w:hAnsi="Times New Roman"/>
          <w:b/>
          <w:color w:val="000000"/>
          <w:sz w:val="20"/>
          <w:szCs w:val="20"/>
          <w:lang w:val="es-ES"/>
        </w:rPr>
      </w:r>
    </w:p>
    <w:p>
      <w:pPr>
        <w:pStyle w:val="Normal"/>
        <w:spacing w:lineRule="auto" w:line="240" w:before="0" w:after="0"/>
        <w:ind w:left="0" w:right="0" w:hanging="0"/>
        <w:jc w:val="both"/>
        <w:rPr>
          <w:rFonts w:cs="Arial"/>
          <w:lang w:val="es-ES"/>
        </w:rPr>
      </w:pPr>
      <w:r>
        <w:rPr>
          <w:rFonts w:ascii="Times New Roman" w:hAnsi="Times New Roman"/>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drawing>
          <wp:anchor behindDoc="0" distT="0" distB="0" distL="114300" distR="114300" simplePos="0" locked="0" layoutInCell="0" allowOverlap="1" relativeHeight="12">
            <wp:simplePos x="0" y="0"/>
            <wp:positionH relativeFrom="column">
              <wp:align>center</wp:align>
            </wp:positionH>
            <wp:positionV relativeFrom="paragraph">
              <wp:posOffset>104140</wp:posOffset>
            </wp:positionV>
            <wp:extent cx="2070735" cy="1669415"/>
            <wp:effectExtent l="0" t="0" r="0" b="0"/>
            <wp:wrapSquare wrapText="bothSides"/>
            <wp:docPr id="9" name="Imagen 8" descr="C:\Users\Fernando Canul\Downloads\imageedit_65_999175905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Users\Fernando Canul\Downloads\imageedit_65_9991759057 (1).png"/>
                    <pic:cNvPicPr>
                      <a:picLocks noChangeAspect="1" noChangeArrowheads="1"/>
                    </pic:cNvPicPr>
                  </pic:nvPicPr>
                  <pic:blipFill>
                    <a:blip r:embed="rId45"/>
                    <a:stretch>
                      <a:fillRect/>
                    </a:stretch>
                  </pic:blipFill>
                  <pic:spPr bwMode="auto">
                    <a:xfrm>
                      <a:off x="0" y="0"/>
                      <a:ext cx="2070735" cy="1669415"/>
                    </a:xfrm>
                    <a:prstGeom prst="rect">
                      <a:avLst/>
                    </a:prstGeom>
                  </pic:spPr>
                </pic:pic>
              </a:graphicData>
            </a:graphic>
          </wp:anchor>
        </w:drawing>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cs="Arial"/>
        </w:rPr>
      </w:pPr>
      <w:r>
        <w:rPr>
          <w:rFonts w:ascii="Times New Roman" w:hAnsi="Times New Roman"/>
          <w:color w:val="000000"/>
          <w:sz w:val="20"/>
          <w:szCs w:val="20"/>
        </w:rPr>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rPr>
        <w:t>Figura 7. Mapa de la ciudad de Motul, Yucatán,</w:t>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rPr>
        <w:t xml:space="preserve">Fuente: </w:t>
      </w:r>
      <w:r>
        <w:rPr>
          <w:rFonts w:cs="Arial" w:ascii="Times New Roman" w:hAnsi="Times New Roman"/>
          <w:i/>
          <w:iCs/>
          <w:color w:val="000000"/>
          <w:sz w:val="20"/>
          <w:szCs w:val="20"/>
        </w:rPr>
        <w:t>G</w:t>
      </w:r>
      <w:r>
        <w:rPr>
          <w:rFonts w:cs="Arial" w:ascii="Times New Roman" w:hAnsi="Times New Roman"/>
          <w:i/>
          <w:iCs/>
          <w:color w:val="000000"/>
          <w:sz w:val="20"/>
          <w:szCs w:val="20"/>
        </w:rPr>
        <w:t xml:space="preserve">oogle </w:t>
      </w:r>
      <w:r>
        <w:rPr>
          <w:rFonts w:cs="Arial" w:ascii="Times New Roman" w:hAnsi="Times New Roman"/>
          <w:i/>
          <w:iCs/>
          <w:color w:val="000000"/>
          <w:sz w:val="20"/>
          <w:szCs w:val="20"/>
        </w:rPr>
        <w:t>M</w:t>
      </w:r>
      <w:r>
        <w:rPr>
          <w:rFonts w:cs="Arial" w:ascii="Times New Roman" w:hAnsi="Times New Roman"/>
          <w:i/>
          <w:iCs/>
          <w:color w:val="000000"/>
          <w:sz w:val="20"/>
          <w:szCs w:val="20"/>
        </w:rPr>
        <w:t xml:space="preserve">aps </w:t>
      </w:r>
      <w:r>
        <w:rPr>
          <w:rFonts w:cs="Arial" w:ascii="Times New Roman" w:hAnsi="Times New Roman"/>
          <w:i/>
          <w:iCs/>
          <w:color w:val="000000"/>
          <w:sz w:val="20"/>
          <w:szCs w:val="20"/>
        </w:rPr>
        <w:t>TM</w:t>
      </w:r>
      <w:r>
        <w:rPr>
          <w:rFonts w:cs="Arial" w:ascii="Times New Roman" w:hAnsi="Times New Roman"/>
          <w:i/>
          <w:iCs/>
          <w:color w:val="000000"/>
          <w:sz w:val="20"/>
          <w:szCs w:val="20"/>
        </w:rPr>
        <w:t>.</w:t>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sectPr>
          <w:headerReference w:type="even" r:id="rId46"/>
          <w:headerReference w:type="default" r:id="rId47"/>
          <w:headerReference w:type="first" r:id="rId48"/>
          <w:footerReference w:type="even" r:id="rId49"/>
          <w:footerReference w:type="default" r:id="rId50"/>
          <w:footerReference w:type="first" r:id="rId51"/>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A. </w:t>
      </w:r>
      <w:r>
        <w:rPr>
          <w:rFonts w:cs="Arial" w:ascii="Times New Roman" w:hAnsi="Times New Roman"/>
          <w:b w:val="false"/>
          <w:bCs w:val="false"/>
          <w:i/>
          <w:iCs/>
          <w:color w:val="000000"/>
          <w:sz w:val="20"/>
          <w:szCs w:val="20"/>
        </w:rPr>
        <w:t>Determinación del tamaño de muestra</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Para la determinación de la cantidad de elementos de la muestra se utilizó la ecuación1, arrojando una cantidad total de 50 establecimientos, los cuales fueron seleccionados al azar, de los elementos totales por medio de una tómbola y asignándole un número consecutivo a cada una; además, en caso de alguna de las seleccionas se negarán a participar, se tomaría otra para mantener el número de elementos de la muestra calculada. </w:t>
      </w:r>
    </w:p>
    <w:p>
      <w:pPr>
        <w:pStyle w:val="Normal"/>
        <w:spacing w:lineRule="auto" w:line="240" w:before="0" w:after="0"/>
        <w:ind w:left="0" w:right="0" w:hanging="0"/>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jc w:val="both"/>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B. </w:t>
      </w:r>
      <w:r>
        <w:rPr>
          <w:rFonts w:cs="Arial" w:ascii="Times New Roman" w:hAnsi="Times New Roman"/>
          <w:b w:val="false"/>
          <w:bCs w:val="false"/>
          <w:i/>
          <w:iCs/>
          <w:color w:val="000000"/>
          <w:sz w:val="20"/>
          <w:szCs w:val="20"/>
        </w:rPr>
        <w:t xml:space="preserve">Recolección de la información </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rPr>
        <w:t xml:space="preserve">La aplicación de las encuestas fue realizada de forma directa acudiendo a las empresas, se recabo información y se acento en el formato, esta información fue analizada y sirvió para determinan la competitividad de su producto u organización ante otras empresas, de igual forma se solicitó información de los factores de competividad en caso de desconocer alguno, se les ofreció asesoría o algún tipo de orientación (ver </w:t>
      </w:r>
      <w:r>
        <w:rPr>
          <w:rFonts w:cs="Arial" w:ascii="Times New Roman" w:hAnsi="Times New Roman"/>
          <w:color w:val="000000"/>
          <w:sz w:val="20"/>
          <w:szCs w:val="20"/>
        </w:rPr>
        <w:t>F</w:t>
      </w:r>
      <w:r>
        <w:rPr>
          <w:rFonts w:cs="Arial" w:ascii="Times New Roman" w:hAnsi="Times New Roman"/>
          <w:color w:val="000000"/>
          <w:sz w:val="20"/>
          <w:szCs w:val="20"/>
        </w:rPr>
        <w:t xml:space="preserve">igura 8). </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spacing w:lineRule="auto" w:line="240" w:before="0" w:after="0"/>
        <w:ind w:left="0" w:right="0" w:hanging="0"/>
        <w:jc w:val="both"/>
        <w:rPr>
          <w:rFonts w:ascii="Times New Roman" w:hAnsi="Times New Roman" w:cs="Arial"/>
          <w:b/>
          <w:b/>
          <w:color w:val="000000"/>
          <w:sz w:val="20"/>
          <w:szCs w:val="20"/>
        </w:rPr>
      </w:pPr>
      <w:r>
        <w:rPr>
          <w:rFonts w:cs="Arial" w:ascii="Times New Roman" w:hAnsi="Times New Roman"/>
          <w:b/>
          <w:color w:val="000000"/>
          <w:sz w:val="20"/>
          <w:szCs w:val="20"/>
        </w:rPr>
      </w:r>
    </w:p>
    <w:p>
      <w:pPr>
        <w:pStyle w:val="Normal"/>
        <w:keepNext w:val="true"/>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mc:AlternateContent>
          <mc:Choice Requires="wps">
            <w:drawing>
              <wp:inline distT="0" distB="0" distL="0" distR="0" wp14:anchorId="3A702844">
                <wp:extent cx="2890520" cy="1773555"/>
                <wp:effectExtent l="6033" t="0" r="0" b="0"/>
                <wp:docPr id="11" name="Picture 1" descr="C:\Users\Maricarmen\Downloads\20220923_115848.jpg"/>
                <a:graphic xmlns:a="http://schemas.openxmlformats.org/drawingml/2006/main">
                  <a:graphicData uri="http://schemas.openxmlformats.org/drawingml/2006/picture">
                    <pic:pic xmlns:pic="http://schemas.openxmlformats.org/drawingml/2006/picture">
                      <pic:nvPicPr>
                        <pic:cNvPr id="0" name="Picture 1" descr="C:\Users\Maricarmen\Downloads\20220923_115848.jpg"/>
                        <pic:cNvPicPr/>
                      </pic:nvPicPr>
                      <pic:blipFill>
                        <a:blip r:embed="rId52"/>
                        <a:srcRect l="12597" t="-734" r="0" b="0"/>
                        <a:stretch/>
                      </pic:blipFill>
                      <pic:spPr>
                        <a:xfrm rot="5400000">
                          <a:off x="0" y="0"/>
                          <a:ext cx="2889720" cy="177300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43.95pt;margin-top:-183.65pt;width:227.5pt;height:139.55pt;mso-wrap-style:none;v-text-anchor:middle;rotation:90;mso-position-vertical:top" wp14:anchorId="3A702844" type="shapetype_75">
                <v:imagedata r:id="rId52" o:detectmouseclick="t"/>
                <v:stroke color="#3465a4" joinstyle="round" endcap="flat"/>
                <w10:wrap type="square"/>
              </v:shape>
            </w:pict>
          </mc:Fallback>
        </mc:AlternateContent>
      </w:r>
      <w:r>
        <w:rPr>
          <w:rFonts w:ascii="Times New Roman" w:hAnsi="Times New Roman"/>
          <w:color w:val="000000"/>
          <w:sz w:val="20"/>
          <w:szCs w:val="20"/>
        </w:rPr>
        <mc:AlternateContent>
          <mc:Choice Requires="wps">
            <w:drawing>
              <wp:inline distT="0" distB="0" distL="0" distR="0" wp14:anchorId="622137DF">
                <wp:extent cx="2900680" cy="1806575"/>
                <wp:effectExtent l="0" t="5715" r="0" b="0"/>
                <wp:docPr id="12" name="Picture 2" descr="C:\Users\Maricarmen\Downloads\20220923_131039.jpg"/>
                <a:graphic xmlns:a="http://schemas.openxmlformats.org/drawingml/2006/main">
                  <a:graphicData uri="http://schemas.openxmlformats.org/drawingml/2006/picture">
                    <pic:pic xmlns:pic="http://schemas.openxmlformats.org/drawingml/2006/picture">
                      <pic:nvPicPr>
                        <pic:cNvPr id="1" name="Picture 2" descr="C:\Users\Maricarmen\Downloads\20220923_131039.jpg"/>
                        <pic:cNvPicPr/>
                      </pic:nvPicPr>
                      <pic:blipFill>
                        <a:blip r:embed="rId53"/>
                        <a:srcRect l="14044" t="4104" r="21890" b="0"/>
                        <a:stretch/>
                      </pic:blipFill>
                      <pic:spPr>
                        <a:xfrm rot="5400000">
                          <a:off x="0" y="0"/>
                          <a:ext cx="2900160" cy="1806120"/>
                        </a:xfrm>
                        <a:prstGeom prst="rect">
                          <a:avLst/>
                        </a:prstGeom>
                        <a:ln w="0">
                          <a:noFill/>
                        </a:ln>
                      </pic:spPr>
                    </pic:pic>
                  </a:graphicData>
                </a:graphic>
              </wp:inline>
            </w:drawing>
          </mc:Choice>
          <mc:Fallback>
            <w:pict>
              <v:shape id="shape_0" ID="Picture 2" stroked="f" style="position:absolute;margin-left:-43.05pt;margin-top:-185.35pt;width:228.3pt;height:142.15pt;mso-wrap-style:none;v-text-anchor:middle;rotation:90;mso-position-vertical:top" wp14:anchorId="622137DF" type="shapetype_75">
                <v:imagedata r:id="rId53" o:detectmouseclick="t"/>
                <v:stroke color="#3465a4" joinstyle="round" endcap="flat"/>
                <w10:wrap type="square"/>
              </v:shape>
            </w:pict>
          </mc:Fallback>
        </mc:AlternateContent>
      </w:r>
      <w:r>
        <w:rPr>
          <w:rFonts w:cs="Arial" w:ascii="Times New Roman" w:hAnsi="Times New Roman"/>
          <w:color w:val="000000"/>
          <w:sz w:val="20"/>
          <w:szCs w:val="20"/>
          <w:lang w:eastAsia="es-MX"/>
        </w:rPr>
        <w:t xml:space="preserve"> </w:t>
      </w:r>
      <w:r>
        <w:rPr>
          <w:rFonts w:ascii="Times New Roman" w:hAnsi="Times New Roman"/>
          <w:color w:val="000000"/>
          <w:sz w:val="20"/>
          <w:szCs w:val="20"/>
        </w:rPr>
        <mc:AlternateContent>
          <mc:Choice Requires="wps">
            <w:drawing>
              <wp:inline distT="0" distB="0" distL="0" distR="0" wp14:anchorId="739561EF">
                <wp:extent cx="2879725" cy="1559560"/>
                <wp:effectExtent l="0" t="6350" r="0" b="0"/>
                <wp:docPr id="13" name="Picture 3" descr="C:\Users\Maricarmen\Downloads\20221011_121743.jpg"/>
                <a:graphic xmlns:a="http://schemas.openxmlformats.org/drawingml/2006/main">
                  <a:graphicData uri="http://schemas.openxmlformats.org/drawingml/2006/picture">
                    <pic:pic xmlns:pic="http://schemas.openxmlformats.org/drawingml/2006/picture">
                      <pic:nvPicPr>
                        <pic:cNvPr id="2" name="Picture 3" descr="C:\Users\Maricarmen\Downloads\20221011_121743.jpg"/>
                        <pic:cNvPicPr/>
                      </pic:nvPicPr>
                      <pic:blipFill>
                        <a:blip r:embed="rId54"/>
                        <a:srcRect l="18879" t="92" r="25513" b="0"/>
                        <a:stretch/>
                      </pic:blipFill>
                      <pic:spPr>
                        <a:xfrm rot="5400000">
                          <a:off x="0" y="0"/>
                          <a:ext cx="2878920" cy="1558800"/>
                        </a:xfrm>
                        <a:prstGeom prst="rect">
                          <a:avLst/>
                        </a:prstGeom>
                        <a:ln w="0">
                          <a:noFill/>
                        </a:ln>
                      </pic:spPr>
                    </pic:pic>
                  </a:graphicData>
                </a:graphic>
              </wp:inline>
            </w:drawing>
          </mc:Choice>
          <mc:Fallback>
            <w:pict>
              <v:shape id="shape_0" ID="Picture 3" stroked="f" style="position:absolute;margin-left:-51.95pt;margin-top:-174.8pt;width:226.65pt;height:122.7pt;mso-wrap-style:none;v-text-anchor:middle;rotation:90;mso-position-vertical:top" wp14:anchorId="739561EF" type="shapetype_75">
                <v:imagedata r:id="rId54" o:detectmouseclick="t"/>
                <v:stroke color="#3465a4" joinstyle="round" endcap="flat"/>
                <w10:wrap type="square"/>
              </v:shape>
            </w:pict>
          </mc:Fallback>
        </mc:AlternateContent>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Figura 8. Visitas a las empresas y levantamiento de la información.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rPr>
          <w:rFonts w:ascii="Times New Roman" w:hAnsi="Times New Roman" w:cs="Arial"/>
          <w:color w:val="000000"/>
          <w:sz w:val="20"/>
          <w:szCs w:val="20"/>
          <w:lang w:val="es-ES"/>
        </w:rPr>
      </w:pPr>
      <w:r>
        <w:rPr>
          <w:rFonts w:cs="Arial" w:ascii="Times New Roman" w:hAnsi="Times New Roman"/>
          <w:color w:val="000000"/>
          <w:sz w:val="20"/>
          <w:szCs w:val="20"/>
          <w:lang w:val="es-ES"/>
        </w:rPr>
      </w:r>
    </w:p>
    <w:p>
      <w:pPr>
        <w:sectPr>
          <w:headerReference w:type="even" r:id="rId55"/>
          <w:headerReference w:type="default" r:id="rId56"/>
          <w:headerReference w:type="first" r:id="rId57"/>
          <w:footerReference w:type="even" r:id="rId58"/>
          <w:footerReference w:type="default" r:id="rId59"/>
          <w:footerReference w:type="first" r:id="rId60"/>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pPr>
      <w:r>
        <w:rPr>
          <w:rFonts w:cs="Arial" w:ascii="Times New Roman" w:hAnsi="Times New Roman"/>
          <w:color w:val="000000"/>
          <w:sz w:val="20"/>
          <w:szCs w:val="20"/>
          <w:lang w:eastAsia="es-MX"/>
        </w:rPr>
        <w:t xml:space="preserve">Los datos obtenidos de fueron analizados y se generaron graficas con los programas informáticos de Excel y Google Formularios. </w:t>
      </w:r>
      <w:r>
        <w:rPr>
          <w:rFonts w:cs="Arial" w:ascii="Times New Roman" w:hAnsi="Times New Roman"/>
          <w:color w:val="000000"/>
          <w:sz w:val="20"/>
          <w:szCs w:val="20"/>
        </w:rPr>
        <w:t xml:space="preserve">En la </w:t>
      </w:r>
      <w:r>
        <w:rPr>
          <w:rFonts w:cs="Arial" w:ascii="Times New Roman" w:hAnsi="Times New Roman"/>
          <w:color w:val="000000"/>
          <w:sz w:val="20"/>
          <w:szCs w:val="20"/>
        </w:rPr>
        <w:t>F</w:t>
      </w:r>
      <w:r>
        <w:rPr>
          <w:rFonts w:cs="Arial" w:ascii="Times New Roman" w:hAnsi="Times New Roman"/>
          <w:color w:val="000000"/>
          <w:sz w:val="20"/>
          <w:szCs w:val="20"/>
        </w:rPr>
        <w:t xml:space="preserve">igura 9, se analiza los factores que impulsan la competividad de la empresa, de los resultados obtenidos, se encontró que el 98 % de las encuestas  consideran que el conocimiento del enfoque al cliente, es el principal factor que determinan la competitividad en las empresas; este factor determina el conocimiento del mercado e identificación las oportunidades; de igual manera visualiza la propuesta de valor, el plan de comercialización, la satisfacción y experiencia de los clientes, quienes son los que aceptan el producto y hace crecer a la empresa, </w:t>
      </w:r>
      <w:r>
        <w:fldChar w:fldCharType="begin"/>
      </w:r>
      <w:r>
        <w:rPr>
          <w:sz w:val="20"/>
          <w:szCs w:val="20"/>
          <w:rFonts w:cs="Arial" w:ascii="Times New Roman" w:hAnsi="Times New Roman"/>
          <w:color w:val="000000"/>
        </w:rPr>
        <w:instrText>ADDIN EN.CITE &lt;EndNote&gt;&lt;Cite AuthorYear="1"&gt;&lt;Author&gt;Macías-Villacreses&lt;/Author&gt;&lt;Year&gt;2022&lt;/Year&gt;&lt;RecNum&gt;12&lt;/RecNum&gt;&lt;DisplayText&gt;Macías-Villacreses, et al., [19]&lt;/DisplayText&gt;&lt;record&gt;&lt;rec-number&gt;12&lt;/rec-number&gt;&lt;foreign-keys&gt;&lt;key app="EN" db-id="xrds25tsaxxsthedsav52z092p50zrswf55r"&gt;12&lt;/key&gt;&lt;/foreign-keys&gt;&lt;ref-type name="Journal Article"&gt;17&lt;/ref-type&gt;&lt;contributors&gt;&lt;authors&gt;&lt;author&gt;Tania Lisbeth Macías-Villacreses &lt;/author&gt;&lt;author&gt;Gissell Thalía Martínez-Llauca &lt;/author&gt;&lt;author&gt;Hugo Junior Lino-Mero&lt;/author&gt;&lt;/authors&gt;&lt;/contributors&gt;&lt;titles&gt;&lt;title&gt;La calidad en el servicio y satisfacción del cliente en el sector ferretero Ecuador&lt;/title&gt;&lt;secondary-title&gt;Polo del conocimiento&lt;/secondary-title&gt;&lt;/titles&gt;&lt;periodical&gt;&lt;full-title&gt;Polo del conocimiento&lt;/full-title&gt;&lt;/periodical&gt;&lt;pages&gt;1395-1411&lt;/pages&gt;&lt;volume&gt;7&lt;/volume&gt;&lt;dates&gt;&lt;year&gt;2022&lt;/year&gt;&lt;/dates&gt;&lt;urls&gt;&lt;/urls&gt;&lt;/record&gt;&lt;/Cite&gt;&lt;/EndNote&gt;</w:instrText>
      </w:r>
      <w:hyperlink w:anchor="_ENREF_19" w:tgtFrame="Macías-Villacreses, 2022 #12">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Macías-Villacreses, et al., [19]</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xml:space="preserve">, describen que el cliente desempeña un papel crucial en cualquier organización o empresa; por tanto, cada vez es importante, por otra parte </w:t>
      </w:r>
      <w:r>
        <w:fldChar w:fldCharType="begin"/>
      </w:r>
      <w:r>
        <w:rPr>
          <w:sz w:val="20"/>
          <w:szCs w:val="20"/>
          <w:rFonts w:cs="Arial" w:ascii="Times New Roman" w:hAnsi="Times New Roman"/>
          <w:color w:val="000000"/>
        </w:rPr>
        <w:instrText>ADDIN EN.CITE &lt;EndNote&gt;&lt;Cite AuthorYear="1"&gt;&lt;Author&gt;Cervantes&lt;/Author&gt;&lt;Year&gt;2020&lt;/Year&gt;&lt;RecNum&gt;13&lt;/RecNum&gt;&lt;DisplayText&gt;Cervantes, et al., [20]&lt;/DisplayText&gt;&lt;record&gt;&lt;rec-number&gt;13&lt;/rec-number&gt;&lt;foreign-keys&gt;&lt;key app="EN" db-id="xrds25tsaxxsthedsav52z092p50zrswf55r"&gt;13&lt;/key&gt;&lt;/foreign-keys&gt;&lt;ref-type name="Journal Article"&gt;17&lt;/ref-type&gt;&lt;contributors&gt;&lt;authors&gt;&lt;author&gt;Cervantes, Griselda&lt;/author&gt;&lt;author&gt;Muñoz, Gloria &lt;/author&gt;&lt;author&gt;Inda, Alma Delia&lt;/author&gt;&lt;/authors&gt;&lt;/contributors&gt;&lt;titles&gt;&lt;title&gt;El trabajo en equipo y su efecto en la calidad del servicio a clientes&lt;/title&gt;&lt;secondary-title&gt;Espacios&lt;/secondary-title&gt;&lt;/titles&gt;&lt;periodical&gt;&lt;full-title&gt;Espacios&lt;/full-title&gt;&lt;/periodical&gt;&lt;pages&gt;1-10&lt;/pages&gt;&lt;volume&gt;14&lt;/volume&gt;&lt;dates&gt;&lt;year&gt;2020&lt;/year&gt;&lt;/dates&gt;&lt;urls&gt;&lt;/urls&gt;&lt;/record&gt;&lt;/Cite&gt;&lt;/EndNote&gt;</w:instrText>
      </w:r>
      <w:hyperlink w:anchor="_ENREF_20" w:tgtFrame="Cervantes, 2020 #13">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Cervantes, et al., [20]</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xml:space="preserve"> </w:t>
      </w:r>
      <w:r>
        <w:fldChar w:fldCharType="begin"/>
      </w:r>
      <w:r>
        <w:rPr>
          <w:sz w:val="20"/>
          <w:szCs w:val="20"/>
          <w:rFonts w:cs="Arial" w:ascii="Times New Roman" w:hAnsi="Times New Roman"/>
          <w:color w:val="000000"/>
        </w:rPr>
        <w:instrText>ADDIN EN.CITE</w:instrText>
      </w:r>
      <w:r>
        <w:rPr>
          <w:rFonts w:cs="Arial" w:ascii="Times New Roman" w:hAnsi="Times New Roman"/>
          <w:color w:val="000000"/>
          <w:sz w:val="20"/>
          <w:szCs w:val="20"/>
        </w:rPr>
      </w:r>
      <w:r>
        <w:fldChar w:fldCharType="begin"/>
      </w:r>
      <w:r>
        <w:rPr>
          <w:sz w:val="20"/>
          <w:szCs w:val="20"/>
          <w:rFonts w:cs="Arial" w:ascii="Times New Roman" w:hAnsi="Times New Roman"/>
          <w:color w:val="000000"/>
        </w:rPr>
        <w:instrText>ADDIN EN.CITE.DATA</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cs="Arial" w:ascii="Times New Roman" w:hAnsi="Times New Roman"/>
          <w:color w:val="000000"/>
          <w:sz w:val="20"/>
          <w:szCs w:val="20"/>
        </w:rPr>
      </w:r>
      <w:r>
        <w:rPr>
          <w:sz w:val="20"/>
          <w:szCs w:val="20"/>
          <w:rFonts w:cs="Arial" w:ascii="Times New Roman" w:hAnsi="Times New Roman"/>
          <w:color w:val="000000"/>
        </w:rPr>
        <w:fldChar w:fldCharType="end"/>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cs="Arial" w:ascii="Times New Roman" w:hAnsi="Times New Roman"/>
          <w:color w:val="000000"/>
          <w:sz w:val="20"/>
          <w:szCs w:val="20"/>
        </w:rPr>
      </w:r>
      <w:r>
        <w:rPr>
          <w:sz w:val="20"/>
          <w:szCs w:val="20"/>
          <w:rFonts w:cs="Arial" w:ascii="Times New Roman" w:hAnsi="Times New Roman"/>
          <w:color w:val="000000"/>
        </w:rPr>
        <w:fldChar w:fldCharType="end"/>
      </w:r>
      <w:r>
        <w:fldChar w:fldCharType="begin"/>
      </w:r>
      <w:r>
        <w:rPr>
          <w:sz w:val="20"/>
          <w:szCs w:val="20"/>
          <w:rFonts w:cs="Arial" w:ascii="Times New Roman" w:hAnsi="Times New Roman"/>
          <w:color w:val="000000"/>
        </w:rPr>
        <w:instrText>ADDIN EN.CITE</w:instrText>
      </w:r>
      <w:r>
        <w:rPr>
          <w:rFonts w:cs="Arial" w:ascii="Times New Roman" w:hAnsi="Times New Roman"/>
          <w:color w:val="000000"/>
          <w:sz w:val="20"/>
          <w:szCs w:val="20"/>
        </w:rPr>
      </w:r>
      <w:r>
        <w:fldChar w:fldCharType="begin"/>
      </w:r>
      <w:r>
        <w:rPr>
          <w:sz w:val="20"/>
          <w:szCs w:val="20"/>
          <w:rFonts w:cs="Arial" w:ascii="Times New Roman" w:hAnsi="Times New Roman"/>
          <w:color w:val="000000"/>
        </w:rPr>
        <w:instrText>ADDIN EN.CITE.DATA</w:instrText>
      </w:r>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cs="Arial" w:ascii="Times New Roman" w:hAnsi="Times New Roman"/>
          <w:color w:val="000000"/>
          <w:sz w:val="20"/>
          <w:szCs w:val="20"/>
        </w:rPr>
      </w:r>
      <w:r>
        <w:rPr>
          <w:sz w:val="20"/>
          <w:szCs w:val="20"/>
          <w:rFonts w:cs="Arial" w:ascii="Times New Roman" w:hAnsi="Times New Roman"/>
          <w:color w:val="000000"/>
        </w:rPr>
        <w:fldChar w:fldCharType="end"/>
      </w:r>
      <w:r>
        <w:rPr>
          <w:sz w:val="20"/>
          <w:szCs w:val="20"/>
          <w:rFonts w:cs="Arial" w:ascii="Times New Roman" w:hAnsi="Times New Roman"/>
          <w:color w:val="000000"/>
        </w:rPr>
        <w:fldChar w:fldCharType="separate"/>
      </w:r>
      <w:r>
        <w:rPr>
          <w:rFonts w:cs="Arial" w:ascii="Times New Roman" w:hAnsi="Times New Roman"/>
          <w:color w:val="000000"/>
          <w:sz w:val="20"/>
          <w:szCs w:val="20"/>
        </w:rPr>
      </w:r>
      <w:r>
        <w:rPr>
          <w:rFonts w:cs="Arial" w:ascii="Times New Roman" w:hAnsi="Times New Roman"/>
          <w:color w:val="000000"/>
          <w:sz w:val="20"/>
          <w:szCs w:val="20"/>
        </w:rPr>
      </w:r>
      <w:r>
        <w:rPr>
          <w:sz w:val="20"/>
          <w:szCs w:val="20"/>
          <w:rFonts w:cs="Arial" w:ascii="Times New Roman" w:hAnsi="Times New Roman"/>
          <w:color w:val="000000"/>
        </w:rPr>
        <w:fldChar w:fldCharType="end"/>
      </w:r>
      <w:r>
        <w:rPr>
          <w:rFonts w:cs="Arial" w:ascii="Times New Roman" w:hAnsi="Times New Roman"/>
          <w:color w:val="000000"/>
          <w:sz w:val="20"/>
          <w:szCs w:val="20"/>
        </w:rPr>
        <w:t xml:space="preserve"> </w:t>
      </w:r>
      <w:r>
        <w:rPr>
          <w:rFonts w:cs="Arial" w:ascii="Times New Roman" w:hAnsi="Times New Roman"/>
          <w:bCs/>
          <w:color w:val="000000"/>
          <w:sz w:val="20"/>
          <w:szCs w:val="20"/>
        </w:rPr>
        <w:t>definen al enfoque al cliente como conocer con claridad las expectativas y prioridades de nuestros clientes, quienes reciben nuestro trabajo, y asegurarse de que los productos y/o servicios suministrados sean congruentes con tales expectativas y se logre la satisfacción de los mismos; por consiguiente, es importante</w:t>
      </w:r>
      <w:r>
        <w:rPr>
          <w:rFonts w:cs="Arial" w:ascii="Times New Roman" w:hAnsi="Times New Roman"/>
          <w:color w:val="000000"/>
          <w:sz w:val="20"/>
          <w:szCs w:val="20"/>
        </w:rPr>
        <w:t xml:space="preserve"> asegurar la satisfacción de las necesidades de los usuarios y esto pasa por garantizar la calidad del servicio o producto demandado por las personas</w:t>
      </w:r>
      <w:r>
        <w:rPr>
          <w:rFonts w:ascii="Times New Roman" w:hAnsi="Times New Roman"/>
          <w:color w:val="000000"/>
          <w:sz w:val="20"/>
          <w:szCs w:val="20"/>
        </w:rPr>
        <w:t>.</w:t>
      </w:r>
      <w:r>
        <w:rPr>
          <w:rFonts w:cs="Arial" w:ascii="Times New Roman" w:hAnsi="Times New Roman"/>
          <w:color w:val="000000"/>
          <w:sz w:val="20"/>
          <w:szCs w:val="20"/>
        </w:rPr>
        <w:t xml:space="preserve">. otros de los factores que se observan en la gráfica 2 y son importantes para la empresa es el capital humano con un 40 %, otros factores evaluado se encontraron en un rango de 2 a 18%. </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keepNext w:val="true"/>
        <w:spacing w:lineRule="auto" w:line="240" w:before="0" w:after="0"/>
        <w:ind w:left="0" w:right="0" w:hanging="0"/>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keepNext w:val="true"/>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109845" cy="2649855"/>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Figura 9. Factor impulsor de la competitividad en las empresas.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rPr>
          <w:rFonts w:ascii="Times New Roman" w:hAnsi="Times New Roman" w:cs="Arial"/>
          <w:color w:val="000000"/>
          <w:sz w:val="20"/>
          <w:szCs w:val="20"/>
          <w:lang w:val="es-ES"/>
        </w:rPr>
      </w:pPr>
      <w:r>
        <w:rPr>
          <w:rFonts w:cs="Arial" w:ascii="Times New Roman" w:hAnsi="Times New Roman"/>
          <w:color w:val="000000"/>
          <w:sz w:val="20"/>
          <w:szCs w:val="20"/>
          <w:lang w:val="es-ES"/>
        </w:rPr>
      </w:r>
    </w:p>
    <w:p>
      <w:pPr>
        <w:sectPr>
          <w:headerReference w:type="even" r:id="rId62"/>
          <w:headerReference w:type="default" r:id="rId63"/>
          <w:headerReference w:type="first" r:id="rId64"/>
          <w:footerReference w:type="even" r:id="rId65"/>
          <w:footerReference w:type="default" r:id="rId66"/>
          <w:footerReference w:type="first" r:id="rId67"/>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pPr>
      <w:r>
        <w:rPr>
          <w:rFonts w:cs="Arial" w:ascii="Times New Roman" w:hAnsi="Times New Roman"/>
          <w:color w:val="000000"/>
          <w:sz w:val="20"/>
          <w:szCs w:val="20"/>
        </w:rPr>
        <w:t xml:space="preserve">En la </w:t>
      </w:r>
      <w:r>
        <w:rPr>
          <w:rFonts w:cs="Arial" w:ascii="Times New Roman" w:hAnsi="Times New Roman"/>
          <w:color w:val="000000"/>
          <w:sz w:val="20"/>
          <w:szCs w:val="20"/>
        </w:rPr>
        <w:t>F</w:t>
      </w:r>
      <w:r>
        <w:rPr>
          <w:rFonts w:cs="Arial" w:ascii="Times New Roman" w:hAnsi="Times New Roman"/>
          <w:color w:val="000000"/>
          <w:sz w:val="20"/>
          <w:szCs w:val="20"/>
        </w:rPr>
        <w:t xml:space="preserve">igura 10, se analiza los factores que permiten lograr la competividad de la empresa, de los resultados obtenidos, se encontró que el 88% de los encuestados considera importante la calidad del producto, ya que la aceptación del producto de parte de los clientes depende de este factor; además, es necesario para la introducción del producto a otros mercados y niveles socio-económicos, </w:t>
      </w:r>
      <w:r>
        <w:fldChar w:fldCharType="begin"/>
      </w:r>
      <w:r>
        <w:rPr>
          <w:sz w:val="20"/>
          <w:szCs w:val="20"/>
          <w:rFonts w:cs="Arial" w:ascii="Times New Roman" w:hAnsi="Times New Roman"/>
          <w:color w:val="000000"/>
        </w:rPr>
        <w:instrText>ADDIN EN.CITE &lt;EndNote&gt;&lt;Cite AuthorYear="1"&gt;&lt;Author&gt;Muñoz&lt;/Author&gt;&lt;Year&gt;2021&lt;/Year&gt;&lt;RecNum&gt;1&lt;/RecNum&gt;&lt;DisplayText&gt;Muñoz, et al., [3]&lt;/DisplayText&gt;&lt;record&gt;&lt;rec-number&gt;1&lt;/rec-number&gt;&lt;foreign-keys&gt;&lt;key app="EN" db-id="xrds25tsaxxsthedsav52z092p50zrswf55r"&gt;1&lt;/key&gt;&lt;/foreign-keys&gt;&lt;ref-type name="Journal Article"&gt;17&lt;/ref-type&gt;&lt;contributors&gt;&lt;authors&gt;&lt;author&gt;Gabriel Alejandro Díaz Muñoz&lt;/author&gt;&lt;author&gt;María Dolores Quintana Lombeida&lt;/author&gt;&lt;author&gt; Daniel Gonzalo Fierro Mosquera&lt;/author&gt;&lt;/authors&gt;&lt;/contributors&gt;&lt;titles&gt;&lt;title&gt;La competitividad como factor de crecimiento para las organizaciones&lt;/title&gt;&lt;secondary-title&gt;INNOVA Research Journal,&lt;/secondary-title&gt;&lt;/titles&gt;&lt;periodical&gt;&lt;full-title&gt;INNOVA Research Journal,&lt;/full-title&gt;&lt;/periodical&gt;&lt;pages&gt;145-161&lt;/pages&gt;&lt;volume&gt;6&lt;/volume&gt;&lt;dates&gt;&lt;year&gt;2021&lt;/year&gt;&lt;/dates&gt;&lt;urls&gt;&lt;/urls&gt;&lt;/record&gt;&lt;/Cite&gt;&lt;/EndNote&gt;</w:instrText>
      </w:r>
      <w:hyperlink w:anchor="_ENREF_3" w:tgtFrame="Muñoz, 2021 #1">
        <w:r>
          <w:rPr>
            <w:rFonts w:cs="Arial" w:ascii="Times New Roman" w:hAnsi="Times New Roman"/>
            <w:color w:val="000000"/>
            <w:sz w:val="20"/>
            <w:szCs w:val="20"/>
          </w:rPr>
        </w:r>
        <w:r>
          <w:rPr>
            <w:sz w:val="20"/>
            <w:szCs w:val="20"/>
            <w:rFonts w:cs="Arial" w:ascii="Times New Roman" w:hAnsi="Times New Roman"/>
            <w:color w:val="000000"/>
          </w:rPr>
          <w:fldChar w:fldCharType="separate"/>
        </w:r>
        <w:r>
          <w:rPr>
            <w:rFonts w:cs="Arial" w:ascii="Times New Roman" w:hAnsi="Times New Roman"/>
            <w:color w:val="000000"/>
            <w:sz w:val="20"/>
            <w:szCs w:val="20"/>
          </w:rPr>
          <w:t>Muñoz, et al., [3]</w:t>
        </w:r>
        <w:r>
          <w:rPr>
            <w:rFonts w:cs="Arial" w:ascii="Times New Roman" w:hAnsi="Times New Roman"/>
            <w:color w:val="000000"/>
            <w:sz w:val="20"/>
            <w:szCs w:val="20"/>
          </w:rPr>
        </w:r>
        <w:r>
          <w:rPr>
            <w:sz w:val="20"/>
            <w:szCs w:val="20"/>
            <w:rFonts w:cs="Arial" w:ascii="Times New Roman" w:hAnsi="Times New Roman"/>
            <w:color w:val="000000"/>
          </w:rPr>
          <w:fldChar w:fldCharType="end"/>
        </w:r>
      </w:hyperlink>
      <w:r>
        <w:rPr>
          <w:rFonts w:cs="Arial" w:ascii="Times New Roman" w:hAnsi="Times New Roman"/>
          <w:color w:val="000000"/>
          <w:sz w:val="20"/>
          <w:szCs w:val="20"/>
        </w:rPr>
        <w:t>, describen que la calidad del producto y la atención al cliente deben estar direccionadas a la búsqueda de la excelencia empezando por la calidad de la materia prima, capacitación al personal en atención al cliente, control estricto y estándares de calidad en los productos y procesos de mejora continua, etc.;  otro de los factores que se analizó en esta pregunta es el precio que se le ofrece a los consumidores, el 72% de los encuestados es un factor importante para alcanzar la competividad; además; influye en la preferencia de parte de los consumidores, los demás puntos tuvieron una aceptación en un rango de 0 a 4%; por lo tanto, no son considerados importantes.</w:t>
      </w:r>
      <w:r>
        <w:rPr>
          <w:rFonts w:cs="Arial" w:ascii="Times New Roman" w:hAnsi="Times New Roman"/>
          <w:color w:val="000000"/>
          <w:sz w:val="20"/>
          <w:szCs w:val="20"/>
          <w:lang w:val="es-ES"/>
        </w:rPr>
        <w:t xml:space="preserve"> </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spacing w:lineRule="auto" w:line="240" w:before="0" w:after="0"/>
        <w:ind w:left="0" w:right="0" w:hanging="0"/>
        <w:jc w:val="both"/>
        <w:rPr>
          <w:rFonts w:ascii="Times New Roman" w:hAnsi="Times New Roman" w:cs="Arial"/>
          <w:color w:val="000000"/>
          <w:sz w:val="20"/>
          <w:szCs w:val="20"/>
          <w:lang w:val="es-ES"/>
        </w:rPr>
      </w:pPr>
      <w:r>
        <w:rPr/>
      </w:r>
    </w:p>
    <w:p>
      <w:pPr>
        <w:pStyle w:val="Normal"/>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5199380" cy="2880360"/>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Normal"/>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i/>
          <w:iCs/>
          <w:color w:val="000000"/>
          <w:sz w:val="20"/>
          <w:szCs w:val="20"/>
        </w:rPr>
        <w:t xml:space="preserve">Figura 10 Resultado de los factores que permiten lograr la competitividad.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rPr>
          <w:rFonts w:ascii="Times New Roman" w:hAnsi="Times New Roman" w:cs="Arial"/>
          <w:color w:val="000000"/>
          <w:sz w:val="20"/>
          <w:szCs w:val="20"/>
        </w:rPr>
      </w:pPr>
      <w:r>
        <w:rPr>
          <w:rFonts w:cs="Arial" w:ascii="Times New Roman" w:hAnsi="Times New Roman"/>
          <w:color w:val="000000"/>
          <w:sz w:val="20"/>
          <w:szCs w:val="20"/>
        </w:rPr>
      </w:r>
    </w:p>
    <w:p>
      <w:pPr>
        <w:pStyle w:val="Normal"/>
        <w:spacing w:lineRule="auto" w:line="240" w:before="0" w:after="0"/>
        <w:ind w:left="0" w:right="0" w:hanging="0"/>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69"/>
          <w:headerReference w:type="default" r:id="rId70"/>
          <w:headerReference w:type="first" r:id="rId71"/>
          <w:footerReference w:type="even" r:id="rId72"/>
          <w:footerReference w:type="default" r:id="rId73"/>
          <w:footerReference w:type="first" r:id="rId74"/>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val="es-ES"/>
        </w:rPr>
        <w:t xml:space="preserve">En la </w:t>
      </w:r>
      <w:r>
        <w:rPr>
          <w:rFonts w:cs="Arial" w:ascii="Times New Roman" w:hAnsi="Times New Roman"/>
          <w:color w:val="000000"/>
          <w:sz w:val="20"/>
          <w:szCs w:val="20"/>
          <w:lang w:val="es-ES"/>
        </w:rPr>
        <w:t>F</w:t>
      </w:r>
      <w:r>
        <w:rPr>
          <w:rFonts w:cs="Arial" w:ascii="Times New Roman" w:hAnsi="Times New Roman"/>
          <w:color w:val="000000"/>
          <w:sz w:val="20"/>
          <w:szCs w:val="20"/>
          <w:lang w:val="es-ES"/>
        </w:rPr>
        <w:t>igura 11, se analizan los factores que no generan competividad. Esta pregunta es un análisis reflexivo de parte de las empresas, ya que en ella determinan el motivo del porque no son competitivas. Del total de establecimientos encuestados el 60% coincidieron que no se genera la competitividad debido al entorno en que se encuentran, las competencias a su alrededor son conformistas y no se preocupan en buscar alternativas de crecimiento a una escala mayor, esta respuesta fue similar y sin importar a que giro manufacturero se dedicaban, ya sea tortillerías, panaderías o carpinterías. El 40% de los encuestados mencionó falta de recursos financieros; a pesar de que los productos que ofrecen las empresas tienen aceptación de parte del consumidor y generan ganancia; sin embargo, el efectivo generado es utilizado para la compra de insumos, materia prima y pago de mano de obra; por consiguiente, no cuenta con más recursos económicos para realizar inversiones para ampliar las instalaciones o mejorar la empresa. En cuanto al factor de personal, el 30% respondió que hace falta personal especializado para el área de producción; por tal motivo, se ven en la necesidad de contratar a los que tienen en su alcance: además, les es complicado encontrar en el municipio personal calificado para sus áreas de proceso, mientras que para el factor de publicidad el 26% menciono que carecen de publicidad para dar a conocer sus productos o servicios a la comunidad.</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keepNext w:val="true"/>
        <w:spacing w:lineRule="auto" w:line="240" w:before="0" w:after="0"/>
        <w:ind w:left="0" w:right="0" w:hanging="0"/>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keepNext w:val="true"/>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4681220" cy="289814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Caption"/>
        <w:spacing w:lineRule="auto" w:line="240" w:before="0" w:after="0"/>
        <w:ind w:left="0" w:right="0" w:hanging="0"/>
        <w:jc w:val="center"/>
        <w:rPr>
          <w:rFonts w:ascii="Times New Roman" w:hAnsi="Times New Roman"/>
          <w:b w:val="false"/>
          <w:b w:val="false"/>
          <w:bCs w:val="false"/>
          <w:i/>
          <w:i/>
          <w:iCs/>
          <w:color w:val="000000"/>
          <w:sz w:val="20"/>
          <w:szCs w:val="20"/>
        </w:rPr>
      </w:pPr>
      <w:r>
        <w:rPr>
          <w:rFonts w:cs="Arial" w:ascii="Times New Roman" w:hAnsi="Times New Roman"/>
          <w:b w:val="false"/>
          <w:bCs w:val="false"/>
          <w:i/>
          <w:iCs/>
          <w:color w:val="000000"/>
          <w:sz w:val="20"/>
          <w:szCs w:val="20"/>
        </w:rPr>
        <w:t xml:space="preserve">Figura 11. Resultados de los factores que no permiten alcanzar la competitividad en las empresas.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sectPr>
          <w:headerReference w:type="even" r:id="rId76"/>
          <w:headerReference w:type="default" r:id="rId77"/>
          <w:headerReference w:type="first" r:id="rId78"/>
          <w:footerReference w:type="even" r:id="rId79"/>
          <w:footerReference w:type="default" r:id="rId80"/>
          <w:footerReference w:type="first" r:id="rId81"/>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pPr>
      <w:r>
        <w:rPr>
          <w:rFonts w:cs="Arial" w:ascii="Times New Roman" w:hAnsi="Times New Roman"/>
          <w:color w:val="000000"/>
          <w:sz w:val="20"/>
          <w:szCs w:val="20"/>
          <w:lang w:eastAsia="es-MX"/>
        </w:rPr>
        <w:t xml:space="preserve">En la </w:t>
      </w:r>
      <w:r>
        <w:rPr>
          <w:rFonts w:cs="Arial" w:ascii="Times New Roman" w:hAnsi="Times New Roman"/>
          <w:color w:val="000000"/>
          <w:sz w:val="20"/>
          <w:szCs w:val="20"/>
          <w:lang w:eastAsia="es-MX"/>
        </w:rPr>
        <w:t>F</w:t>
      </w:r>
      <w:r>
        <w:rPr>
          <w:rFonts w:cs="Arial" w:ascii="Times New Roman" w:hAnsi="Times New Roman"/>
          <w:color w:val="000000"/>
          <w:sz w:val="20"/>
          <w:szCs w:val="20"/>
          <w:lang w:eastAsia="es-MX"/>
        </w:rPr>
        <w:t xml:space="preserve">igura 12, se analiza las áreas en las cuales las empresas carecen de información de sus proceso internos, los cuales son indispensables para el control de sus activiades en sus distintas áreas. El 86% de las empresas encuestadas mencionan de la importancia de la información que provenga del área de producción, la cual es indispensable para el analisis de la evolución de las actividades durante la operación, mismos que le serviran para el control del proceso y planeación futura de los insumos requeridos; ademas, esa información es necesaria para la planeacion a medio y largo plazo; por tal motivo, se requiere durante el transcurso del tiempo y de forma oportuna sobre todo para los pronosticos de manejo de producción. El 30% mencionaron de la necesidad de contar con un almacen con información actualizada en todo momento; ademas, describen  la necesidad de un sistema de registro de informción disponible para las áreas que lo reguieran y necesarrio para la planeación de sus actividades futuras y control; por otra parte, el 28% de los encuestados hicieron referencia de la importancia de la información de calidad del producto, esta información continua, ayuda a corregir desviaciones de los parámetros de calidad durante las actividades de producción, ademas, sirve para retroalimentar e incrementa la aceptación del producto de parte de los clientes; por consiguiente, es considerado como un fuerte impulsor a la hora de adquirir un producto, </w:t>
      </w:r>
      <w:r>
        <w:fldChar w:fldCharType="begin"/>
      </w:r>
      <w:r>
        <w:rPr>
          <w:sz w:val="20"/>
          <w:szCs w:val="20"/>
          <w:rFonts w:cs="Arial" w:ascii="Times New Roman" w:hAnsi="Times New Roman"/>
          <w:color w:val="000000"/>
          <w:lang w:eastAsia="es-MX"/>
        </w:rPr>
        <w:instrText>ADDIN EN.CITE &lt;EndNote&gt;&lt;Cite AuthorYear="1"&gt;&lt;Author&gt;I&lt;/Author&gt;&lt;Year&gt;2020&lt;/Year&gt;&lt;RecNum&gt;14&lt;/RecNum&gt;&lt;DisplayText&gt;Zavala-Choez y Vélez-Moreira [21]&lt;/DisplayText&gt;&lt;record&gt;&lt;rec-number&gt;14&lt;/rec-number&gt;&lt;foreign-keys&gt;&lt;key app="EN" db-id="xrds25tsaxxsthedsav52z092p50zrswf55r"&gt;14&lt;/key&gt;&lt;/foreign-keys&gt;&lt;ref-type name="Journal Article"&gt;17&lt;/ref-type&gt;&lt;contributors&gt;&lt;authors&gt;&lt;author&gt;Flor Nereysi Zavala-Choez &lt;/author&gt;&lt;author&gt;Estefanía Monserrate Vélez-Moreira&lt;/author&gt;&lt;/authors&gt;&lt;/contributors&gt;&lt;titles&gt;&lt;title&gt;La gestión de la calidad y el servicio al cliente como factor de competitividad en las empresas de servicios&lt;/title&gt;&lt;secondary-title&gt;Ciencias económicas y empresariales&lt;/secondary-title&gt;&lt;/titles&gt;&lt;periodical&gt;&lt;full-title&gt;Ciencias económicas y empresariales&lt;/full-title&gt;&lt;/periodical&gt;&lt;pages&gt;264-281&lt;/pages&gt;&lt;volume&gt;6&lt;/volume&gt;&lt;dates&gt;&lt;year&gt;2020&lt;/year&gt;&lt;/dates&gt;&lt;urls&gt;&lt;/urls&gt;&lt;/record&gt;&lt;/Cite&gt;&lt;/EndNote&gt;</w:instrText>
      </w:r>
      <w:hyperlink w:anchor="_ENREF_21" w:tgtFrame="Zavala-Choez, 2020 #14">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separate"/>
        </w:r>
        <w:r>
          <w:rPr>
            <w:rFonts w:cs="Arial" w:ascii="Times New Roman" w:hAnsi="Times New Roman"/>
            <w:color w:val="000000"/>
            <w:sz w:val="20"/>
            <w:szCs w:val="20"/>
            <w:lang w:eastAsia="es-MX"/>
          </w:rPr>
          <w:t>Zavala-Choez y Vélez-Moreira [21]</w:t>
        </w:r>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end"/>
        </w:r>
      </w:hyperlink>
      <w:r>
        <w:rPr>
          <w:rFonts w:cs="Arial" w:ascii="Times New Roman" w:hAnsi="Times New Roman"/>
          <w:color w:val="000000"/>
          <w:sz w:val="20"/>
          <w:szCs w:val="20"/>
          <w:lang w:eastAsia="es-MX"/>
        </w:rPr>
        <w:t>, describen que en</w:t>
      </w:r>
      <w:r>
        <w:rPr>
          <w:rFonts w:cs="Arial" w:ascii="Times New Roman" w:hAnsi="Times New Roman"/>
          <w:color w:val="000000"/>
          <w:sz w:val="20"/>
          <w:szCs w:val="20"/>
        </w:rPr>
        <w:t xml:space="preserve"> la actualidad la calidad en el sector económico es muy importante, pues constituye una herramienta clave para la competitividad y el posicionamiento de los productos o servicios ofertados de manera diferenciada a razón de la calidad de estos</w:t>
      </w:r>
      <w:r>
        <w:rPr>
          <w:rFonts w:cs="Arial" w:ascii="Times New Roman" w:hAnsi="Times New Roman"/>
          <w:color w:val="000000"/>
          <w:sz w:val="20"/>
          <w:szCs w:val="20"/>
          <w:lang w:eastAsia="es-MX"/>
        </w:rPr>
        <w:t xml:space="preserve">; por otra parte, </w:t>
      </w:r>
      <w:r>
        <w:fldChar w:fldCharType="begin"/>
      </w:r>
      <w:r>
        <w:rPr>
          <w:sz w:val="20"/>
          <w:szCs w:val="20"/>
          <w:rFonts w:cs="Arial" w:ascii="Times New Roman" w:hAnsi="Times New Roman"/>
          <w:color w:val="000000"/>
          <w:lang w:eastAsia="es-MX"/>
        </w:rPr>
        <w:instrText>ADDIN EN.CITE &lt;EndNote&gt;&lt;Cite AuthorYear="1"&gt;&lt;Author&gt;I&lt;/Author&gt;&lt;Year&gt;2019&lt;/Year&gt;&lt;RecNum&gt;15&lt;/RecNum&gt;&lt;DisplayText&gt;Luna-Altamirano, et al., [22]&lt;/DisplayText&gt;&lt;record&gt;&lt;rec-number&gt;15&lt;/rec-number&gt;&lt;foreign-keys&gt;&lt;key app="EN" db-id="xrds25tsaxxsthedsav52z092p50zrswf55r"&gt;15&lt;/key&gt;&lt;/foreign-keys&gt;&lt;ref-type name="Journal Article"&gt;17&lt;/ref-type&gt;&lt;contributors&gt;&lt;authors&gt;&lt;author&gt;Kléber Antonio Luna-Altamirano&lt;/author&gt;&lt;author&gt;Edgar Geovanny Zamora-Zamora &lt;/author&gt;&lt;author&gt;Oscar Rene Calle-Masache &lt;/author&gt;&lt;author&gt;Mónica Alexandra Lituma-Yascaribay&lt;/author&gt;&lt;/authors&gt;&lt;/contributors&gt;&lt;titles&gt;&lt;title&gt;Modelo de competitividad a través de la calidad e innovación como factores de rentabilidad empresarial&lt;/title&gt;&lt;secondary-title&gt;Dominio de las ciencias&lt;/secondary-title&gt;&lt;/titles&gt;&lt;periodical&gt;&lt;full-title&gt;Dominio de las ciencias&lt;/full-title&gt;&lt;abbr-1&gt;Dom, Cien.&lt;/abbr-1&gt;&lt;/periodical&gt;&lt;pages&gt;990-1005&lt;/pages&gt;&lt;volume&gt;7&lt;/volume&gt;&lt;dates&gt;&lt;year&gt;2019&lt;/year&gt;&lt;/dates&gt;&lt;urls&gt;&lt;/urls&gt;&lt;/record&gt;&lt;/Cite&gt;&lt;/EndNote&gt;</w:instrText>
      </w:r>
      <w:hyperlink w:anchor="_ENREF_22" w:tgtFrame="Luna-Altamirano, 2019 #15">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separate"/>
        </w:r>
        <w:r>
          <w:rPr>
            <w:rFonts w:cs="Arial" w:ascii="Times New Roman" w:hAnsi="Times New Roman"/>
            <w:color w:val="000000"/>
            <w:sz w:val="20"/>
            <w:szCs w:val="20"/>
            <w:lang w:eastAsia="es-MX"/>
          </w:rPr>
          <w:t>Luna-Altamirano, et al., [22]</w:t>
        </w:r>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end"/>
        </w:r>
      </w:hyperlink>
      <w:r>
        <w:rPr>
          <w:rFonts w:cs="Arial" w:ascii="Times New Roman" w:hAnsi="Times New Roman"/>
          <w:color w:val="000000"/>
          <w:sz w:val="20"/>
          <w:szCs w:val="20"/>
          <w:lang w:eastAsia="es-MX"/>
        </w:rPr>
        <w:t xml:space="preserve"> describen que </w:t>
      </w:r>
      <w:r>
        <w:rPr>
          <w:rFonts w:cs="Arial" w:ascii="Times New Roman" w:hAnsi="Times New Roman"/>
          <w:bCs/>
          <w:color w:val="000000"/>
          <w:sz w:val="20"/>
          <w:szCs w:val="20"/>
        </w:rPr>
        <w:t>en el ámbito de la empresa la competitividad consiste en ser capaz de suministrar bienes y servicios de calidad similares o mejor que sus competidores. En otro de los factores analizados se encontró que</w:t>
      </w:r>
      <w:r>
        <w:rPr>
          <w:rFonts w:cs="Arial" w:ascii="Times New Roman" w:hAnsi="Times New Roman"/>
          <w:color w:val="000000"/>
          <w:sz w:val="20"/>
          <w:szCs w:val="20"/>
          <w:lang w:eastAsia="es-MX"/>
        </w:rPr>
        <w:t xml:space="preserve"> el 22% de las empresas encuestadas, mencionan que el área de finanzas y ventas requieren de información para administrar los recursos e impulsar sus ventas, todo esto con la finalidad de aumentar en cada una su grado de competitividad y postura ante otras empresas; </w:t>
      </w:r>
      <w:r>
        <w:fldChar w:fldCharType="begin"/>
      </w:r>
      <w:r>
        <w:rPr>
          <w:sz w:val="20"/>
          <w:szCs w:val="20"/>
          <w:rFonts w:cs="Arial" w:ascii="Times New Roman" w:hAnsi="Times New Roman"/>
          <w:color w:val="000000"/>
          <w:lang w:eastAsia="es-MX"/>
        </w:rPr>
        <w:instrText>ADDIN EN.CITE &lt;EndNote&gt;&lt;Cite AuthorYear="1"&gt;&lt;Author&gt;VÁSCONEZ - BARRERA&lt;/Author&gt;&lt;Year&gt;2020&lt;/Year&gt;&lt;RecNum&gt;16&lt;/RecNum&gt;&lt;DisplayText&gt;VÁSCONEZ - BARRERA, et al., [23]&lt;/DisplayText&gt;&lt;record&gt;&lt;rec-number&gt;16&lt;/rec-number&gt;&lt;foreign-keys&gt;&lt;key app="EN" db-id="xrds25tsaxxsthedsav52z092p50zrswf55r"&gt;16&lt;/key&gt;&lt;/foreign-keys&gt;&lt;ref-type name="Journal Article"&gt;17&lt;/ref-type&gt;&lt;contributors&gt;&lt;authors&gt;&lt;author&gt;VÁSCONEZ - BARRERA, Fabián&lt;/author&gt;&lt;author&gt;OLEAS LÓPEZ, Mauricio&lt;/author&gt;&lt;author&gt;BASTIDAS, Fabián &lt;/author&gt;&lt;author&gt;VÁSQUEZ, Ubaldo &lt;/author&gt;&lt;author&gt;CONDO, Luis&lt;/author&gt;&lt;/authors&gt;&lt;/contributors&gt;&lt;titles&gt;&lt;title&gt;La gestión de la información y del conocimiento en empresas industriales&lt;/title&gt;&lt;secondary-title&gt;Espacios&lt;/secondary-title&gt;&lt;/titles&gt;&lt;periodical&gt;&lt;full-title&gt;Espacios&lt;/full-title&gt;&lt;/periodical&gt;&lt;pages&gt;1-11&lt;/pages&gt;&lt;volume&gt;41&lt;/volume&gt;&lt;dates&gt;&lt;year&gt;2020&lt;/year&gt;&lt;/dates&gt;&lt;urls&gt;&lt;/urls&gt;&lt;/record&gt;&lt;/Cite&gt;&lt;/EndNote&gt;</w:instrText>
      </w:r>
      <w:hyperlink w:anchor="_ENREF_23" w:tgtFrame="VÁSCONEZ - BARRERA, 2020 #16">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separate"/>
        </w:r>
        <w:r>
          <w:rPr>
            <w:rFonts w:cs="Arial" w:ascii="Times New Roman" w:hAnsi="Times New Roman"/>
            <w:color w:val="000000"/>
            <w:sz w:val="20"/>
            <w:szCs w:val="20"/>
            <w:lang w:eastAsia="es-MX"/>
          </w:rPr>
          <w:t>VÁSCONEZ - BARRERA, et al., [23]</w:t>
        </w:r>
        <w:r>
          <w:rPr>
            <w:rFonts w:cs="Arial" w:ascii="Times New Roman" w:hAnsi="Times New Roman"/>
            <w:color w:val="000000"/>
            <w:sz w:val="20"/>
            <w:szCs w:val="20"/>
            <w:lang w:eastAsia="es-MX"/>
          </w:rPr>
        </w:r>
        <w:r>
          <w:rPr>
            <w:sz w:val="20"/>
            <w:szCs w:val="20"/>
            <w:rFonts w:cs="Arial" w:ascii="Times New Roman" w:hAnsi="Times New Roman"/>
            <w:color w:val="000000"/>
            <w:lang w:eastAsia="es-MX"/>
          </w:rPr>
          <w:fldChar w:fldCharType="end"/>
        </w:r>
      </w:hyperlink>
      <w:r>
        <w:rPr>
          <w:rFonts w:cs="Arial" w:ascii="Times New Roman" w:hAnsi="Times New Roman"/>
          <w:color w:val="000000"/>
          <w:sz w:val="20"/>
          <w:szCs w:val="20"/>
          <w:lang w:eastAsia="es-MX"/>
        </w:rPr>
        <w:t xml:space="preserve"> describen que </w:t>
      </w:r>
      <w:r>
        <w:rPr>
          <w:rFonts w:cs="Arial" w:ascii="Times New Roman" w:hAnsi="Times New Roman"/>
          <w:bCs/>
          <w:color w:val="000000"/>
          <w:sz w:val="20"/>
          <w:szCs w:val="20"/>
        </w:rPr>
        <w:t xml:space="preserve">la información generada es muy importante mantener y preservarla; de esta manera se garantiza que no exista alteración o manipulación y se mantiene la confiabilidad; de esta manera, puede ser utilizada de forma correcta para el crecimiento de las empresas industriales de manera similar </w:t>
      </w:r>
      <w:r>
        <w:fldChar w:fldCharType="begin"/>
      </w:r>
      <w:r>
        <w:rPr>
          <w:sz w:val="20"/>
          <w:szCs w:val="20"/>
          <w:bCs/>
          <w:rFonts w:cs="Arial" w:ascii="Times New Roman" w:hAnsi="Times New Roman"/>
          <w:color w:val="000000"/>
        </w:rPr>
        <w:instrText>ADDIN EN.CITE &lt;EndNote&gt;&lt;Cite AuthorYear="1"&gt;&lt;Author&gt;Rosales-Soto&lt;/Author&gt;&lt;Year&gt;2019&lt;/Year&gt;&lt;RecNum&gt;17&lt;/RecNum&gt;&lt;DisplayText&gt;Rosales-Soto y Ricardo [24]&lt;/DisplayText&gt;&lt;record&gt;&lt;rec-number&gt;17&lt;/rec-number&gt;&lt;foreign-keys&gt;&lt;key app="EN" db-id="xrds25tsaxxsthedsav52z092p50zrswf55r"&gt;17&lt;/key&gt;&lt;/foreign-keys&gt;&lt;ref-type name="Journal Article"&gt;17&lt;/ref-type&gt;&lt;contributors&gt;&lt;authors&gt;&lt;author&gt;Rosales-Soto, Alejandra&lt;/author&gt;&lt;author&gt;Arechavala-Vargas Ricardo&lt;/author&gt;&lt;/authors&gt;&lt;/contributors&gt;&lt;titles&gt;&lt;title&gt;Agricultura inteligente en México: Analítica de datos como herramienta de competitividad&lt;/title&gt;&lt;secondary-title&gt;Vincula tegica&lt;/secondary-title&gt;&lt;/titles&gt;&lt;periodical&gt;&lt;full-title&gt;Vincula tegica&lt;/full-title&gt;&lt;/periodical&gt;&lt;pages&gt;1415-1427&lt;/pages&gt;&lt;dates&gt;&lt;year&gt;2019&lt;/year&gt;&lt;/dates&gt;&lt;urls&gt;&lt;/urls&gt;&lt;/record&gt;&lt;/Cite&gt;&lt;/EndNote&gt;</w:instrText>
      </w:r>
      <w:hyperlink w:anchor="_ENREF_24" w:tgtFrame="Rosales-Soto, 2019 #17">
        <w:r>
          <w:rPr>
            <w:rFonts w:cs="Arial" w:ascii="Times New Roman" w:hAnsi="Times New Roman"/>
            <w:bCs/>
            <w:color w:val="000000"/>
            <w:sz w:val="20"/>
            <w:szCs w:val="20"/>
          </w:rPr>
        </w:r>
        <w:r>
          <w:rPr>
            <w:sz w:val="20"/>
            <w:szCs w:val="20"/>
            <w:bCs/>
            <w:rFonts w:cs="Arial" w:ascii="Times New Roman" w:hAnsi="Times New Roman"/>
            <w:color w:val="000000"/>
          </w:rPr>
          <w:fldChar w:fldCharType="separate"/>
        </w:r>
        <w:r>
          <w:rPr>
            <w:rFonts w:cs="Arial" w:ascii="Times New Roman" w:hAnsi="Times New Roman"/>
            <w:bCs/>
            <w:color w:val="000000"/>
            <w:sz w:val="20"/>
            <w:szCs w:val="20"/>
          </w:rPr>
          <w:t>Rosales-Soto y Ricardo [24]</w:t>
        </w:r>
        <w:r>
          <w:rPr>
            <w:rFonts w:cs="Arial" w:ascii="Times New Roman" w:hAnsi="Times New Roman"/>
            <w:bCs/>
            <w:color w:val="000000"/>
            <w:sz w:val="20"/>
            <w:szCs w:val="20"/>
          </w:rPr>
        </w:r>
        <w:r>
          <w:rPr>
            <w:sz w:val="20"/>
            <w:szCs w:val="20"/>
            <w:bCs/>
            <w:rFonts w:cs="Arial" w:ascii="Times New Roman" w:hAnsi="Times New Roman"/>
            <w:color w:val="000000"/>
          </w:rPr>
          <w:fldChar w:fldCharType="end"/>
        </w:r>
      </w:hyperlink>
      <w:r>
        <w:rPr>
          <w:rFonts w:cs="Arial" w:ascii="Times New Roman" w:hAnsi="Times New Roman"/>
          <w:bCs/>
          <w:color w:val="000000"/>
          <w:sz w:val="20"/>
          <w:szCs w:val="20"/>
        </w:rPr>
        <w:t xml:space="preserve"> describen </w:t>
      </w:r>
      <w:r>
        <w:rPr>
          <w:rFonts w:cs="Arial" w:ascii="Times New Roman" w:hAnsi="Times New Roman"/>
          <w:color w:val="000000"/>
          <w:sz w:val="20"/>
          <w:szCs w:val="20"/>
        </w:rPr>
        <w:t>que, la información generada es el motor de la productividad de una organización y el crecimiento económico en las economías modernas; por lo tanto es importante almacenarla para su uso y contribuye a la competividad para las organizaciones.</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spacing w:lineRule="auto" w:line="240" w:before="0" w:after="0"/>
        <w:ind w:left="0" w:right="0" w:hanging="0"/>
        <w:jc w:val="both"/>
        <w:rPr>
          <w:rFonts w:ascii="Times New Roman" w:hAnsi="Times New Roman" w:cs="Arial"/>
          <w:color w:val="000000"/>
          <w:sz w:val="20"/>
          <w:szCs w:val="20"/>
          <w:lang w:eastAsia="es-MX"/>
        </w:rPr>
      </w:pPr>
      <w:r>
        <w:rPr>
          <w:rFonts w:cs="Arial" w:ascii="Times New Roman" w:hAnsi="Times New Roman"/>
          <w:color w:val="000000"/>
          <w:sz w:val="20"/>
          <w:szCs w:val="20"/>
          <w:lang w:eastAsia="es-MX"/>
        </w:rPr>
      </w:r>
    </w:p>
    <w:p>
      <w:pPr>
        <w:pStyle w:val="Normal"/>
        <w:keepNext w:val="true"/>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4522470" cy="2800350"/>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 xml:space="preserve">Figura 12. Resultados por falta de información en las diferentes áreas de las empresas.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Normal"/>
        <w:spacing w:lineRule="auto" w:line="240" w:before="0" w:after="0"/>
        <w:ind w:left="0" w:right="0" w:hanging="0"/>
        <w:rPr>
          <w:rFonts w:ascii="Times New Roman" w:hAnsi="Times New Roman"/>
          <w:color w:val="000000"/>
          <w:sz w:val="20"/>
          <w:szCs w:val="20"/>
        </w:rPr>
      </w:pPr>
      <w:r>
        <w:rPr>
          <w:rFonts w:cs="Arial" w:ascii="Times New Roman" w:hAnsi="Times New Roman"/>
          <w:color w:val="000000"/>
          <w:sz w:val="20"/>
          <w:szCs w:val="20"/>
          <w:lang w:val="es-ES"/>
        </w:rPr>
        <w:tab/>
      </w:r>
    </w:p>
    <w:p>
      <w:pPr>
        <w:sectPr>
          <w:headerReference w:type="even" r:id="rId83"/>
          <w:headerReference w:type="default" r:id="rId84"/>
          <w:headerReference w:type="first" r:id="rId85"/>
          <w:footerReference w:type="even" r:id="rId86"/>
          <w:footerReference w:type="default" r:id="rId87"/>
          <w:footerReference w:type="first" r:id="rId88"/>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Normal"/>
        <w:spacing w:lineRule="auto" w:line="240" w:before="0" w:after="0"/>
        <w:ind w:left="0" w:right="0" w:hanging="0"/>
        <w:jc w:val="both"/>
        <w:rPr/>
      </w:pPr>
      <w:r>
        <w:rPr>
          <w:rFonts w:cs="Arial" w:ascii="Times New Roman" w:hAnsi="Times New Roman"/>
          <w:color w:val="000000"/>
          <w:sz w:val="20"/>
          <w:szCs w:val="20"/>
          <w:lang w:val="es-ES"/>
        </w:rPr>
        <w:t xml:space="preserve">En la </w:t>
      </w:r>
      <w:r>
        <w:rPr>
          <w:rFonts w:cs="Arial" w:ascii="Times New Roman" w:hAnsi="Times New Roman"/>
          <w:color w:val="000000"/>
          <w:sz w:val="20"/>
          <w:szCs w:val="20"/>
          <w:lang w:val="es-ES"/>
        </w:rPr>
        <w:t>F</w:t>
      </w:r>
      <w:r>
        <w:rPr>
          <w:rFonts w:cs="Arial" w:ascii="Times New Roman" w:hAnsi="Times New Roman"/>
          <w:color w:val="000000"/>
          <w:sz w:val="20"/>
          <w:szCs w:val="20"/>
          <w:lang w:val="es-ES"/>
        </w:rPr>
        <w:t xml:space="preserve">igura 13 hace referencia a los factores a cambiar de parte de los empresarios y que son necesarios para el impulsar la competitividad comparado con a otras empresas dentro del estado. El 54% mencionan en invertir en mayor proporción a sus recursos e incrementar la participación en el mercado </w:t>
      </w:r>
      <w:r>
        <w:fldChar w:fldCharType="begin"/>
      </w:r>
      <w:r>
        <w:rPr>
          <w:sz w:val="20"/>
          <w:szCs w:val="20"/>
          <w:rFonts w:cs="Arial" w:ascii="Times New Roman" w:hAnsi="Times New Roman"/>
          <w:color w:val="000000"/>
          <w:lang w:val="es-ES"/>
        </w:rPr>
        <w:instrText>ADDIN EN.CITE &lt;EndNote&gt;&lt;Cite AuthorYear="1"&gt;&lt;Author&gt;Valenzuela-Klagges&lt;/Author&gt;&lt;Year&gt;2020&lt;/Year&gt;&lt;RecNum&gt;20&lt;/RecNum&gt;&lt;DisplayText&gt;Valenzuela-Klagges y Fuenzalida-O’Shee [1]&lt;/DisplayText&gt;&lt;record&gt;&lt;rec-number&gt;20&lt;/rec-number&gt;&lt;foreign-keys&gt;&lt;key app="EN" db-id="xrds25tsaxxsthedsav52z092p50zrswf55r"&gt;20&lt;/key&gt;&lt;/foreign-keys&gt;&lt;ref-type name="Journal Article"&gt;17&lt;/ref-type&gt;&lt;contributors&gt;&lt;authors&gt;&lt;author&gt;Bárbara Valenzuela-Klagges&lt;/author&gt;&lt;author&gt;Darcy Fuenzalida-O’Shee&lt;/author&gt;&lt;/authors&gt;&lt;/contributors&gt;&lt;titles&gt;&lt;title&gt;Efectos de la inversión extranjera y competitividad en el comercio y productividad de países latinoamericanos&lt;/title&gt;&lt;secondary-title&gt;Economia y sociedad&lt;/secondary-title&gt;&lt;/titles&gt;&lt;periodical&gt;&lt;full-title&gt;Economia y sociedad&lt;/full-title&gt;&lt;/periodical&gt;&lt;pages&gt;1-16&lt;/pages&gt;&lt;volume&gt;25&lt;/volume&gt;&lt;dates&gt;&lt;year&gt;2020&lt;/year&gt;&lt;/dates&gt;&lt;urls&gt;&lt;/urls&gt;&lt;/record&gt;&lt;/Cite&gt;&lt;/EndNote&gt;</w:instrText>
      </w:r>
      <w:hyperlink w:anchor="_ENREF_1" w:tgtFrame="Valenzuela-Klagges, 2020 #20">
        <w:r>
          <w:rPr>
            <w:rFonts w:cs="Arial" w:ascii="Times New Roman" w:hAnsi="Times New Roman"/>
            <w:color w:val="000000"/>
            <w:sz w:val="20"/>
            <w:szCs w:val="20"/>
            <w:lang w:val="es-ES"/>
          </w:rPr>
        </w:r>
        <w:r>
          <w:rPr>
            <w:sz w:val="20"/>
            <w:szCs w:val="20"/>
            <w:rFonts w:cs="Arial" w:ascii="Times New Roman" w:hAnsi="Times New Roman"/>
            <w:color w:val="000000"/>
            <w:lang w:val="es-ES"/>
          </w:rPr>
          <w:fldChar w:fldCharType="separate"/>
        </w:r>
        <w:r>
          <w:rPr>
            <w:rFonts w:cs="Arial" w:ascii="Times New Roman" w:hAnsi="Times New Roman"/>
            <w:color w:val="000000"/>
            <w:sz w:val="20"/>
            <w:szCs w:val="20"/>
            <w:lang w:val="es-ES"/>
          </w:rPr>
          <w:t>Valenzuela-Klagges y Fuenzalida-O’Shee [1]</w:t>
        </w:r>
        <w:r>
          <w:rPr>
            <w:rFonts w:cs="Arial" w:ascii="Times New Roman" w:hAnsi="Times New Roman"/>
            <w:color w:val="000000"/>
            <w:sz w:val="20"/>
            <w:szCs w:val="20"/>
            <w:lang w:val="es-ES"/>
          </w:rPr>
        </w:r>
        <w:r>
          <w:rPr>
            <w:sz w:val="20"/>
            <w:szCs w:val="20"/>
            <w:rFonts w:cs="Arial" w:ascii="Times New Roman" w:hAnsi="Times New Roman"/>
            <w:color w:val="000000"/>
            <w:lang w:val="es-ES"/>
          </w:rPr>
          <w:fldChar w:fldCharType="end"/>
        </w:r>
      </w:hyperlink>
      <w:r>
        <w:rPr>
          <w:rFonts w:cs="Arial" w:ascii="Times New Roman" w:hAnsi="Times New Roman"/>
          <w:color w:val="000000"/>
          <w:sz w:val="20"/>
          <w:szCs w:val="20"/>
          <w:lang w:val="es-ES"/>
        </w:rPr>
        <w:t>, d</w:t>
      </w:r>
      <w:r>
        <w:rPr>
          <w:rFonts w:cs="Arial" w:ascii="Times New Roman" w:hAnsi="Times New Roman"/>
          <w:color w:val="000000"/>
          <w:sz w:val="20"/>
          <w:szCs w:val="20"/>
        </w:rPr>
        <w:t xml:space="preserve">escriben que la inversión es un elemento fundamental para el crecimiento económico, especialmente en aquellos que han adoptado modelos de desarrollo basados en el comercio internacional, existen estudios que evidencian efectos positivos tanto en las empresas como en los países; por otra parte, de los encuestados, describen </w:t>
      </w:r>
      <w:r>
        <w:rPr>
          <w:rFonts w:cs="Arial" w:ascii="Times New Roman" w:hAnsi="Times New Roman"/>
          <w:color w:val="000000"/>
          <w:sz w:val="20"/>
          <w:szCs w:val="20"/>
          <w:lang w:val="es-ES"/>
        </w:rPr>
        <w:t>que el 36%, consideran importante la utilización de los recursos financieros para la adquisición de nuevos equipos y realizar cambios en su proceso productivo; esto es, con la finalidad de incrementar la producción, mejorar sus líneas productiva; además, darle capacitación en el manejo de nuevos equipos y sistemas productivos.</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p>
      <w:pPr>
        <w:pStyle w:val="Normal"/>
        <w:keepNext w:val="true"/>
        <w:spacing w:lineRule="auto" w:line="240" w:before="0" w:after="0"/>
        <w:ind w:left="0" w:right="0" w:hanging="0"/>
        <w:jc w:val="center"/>
        <w:rPr>
          <w:rFonts w:ascii="Times New Roman" w:hAnsi="Times New Roman"/>
          <w:color w:val="000000"/>
          <w:sz w:val="20"/>
          <w:szCs w:val="20"/>
        </w:rPr>
      </w:pPr>
      <w:r>
        <w:rPr>
          <w:rFonts w:ascii="Times New Roman" w:hAnsi="Times New Roman"/>
          <w:color w:val="000000"/>
          <w:sz w:val="20"/>
          <w:szCs w:val="20"/>
        </w:rPr>
        <w:drawing>
          <wp:inline distT="0" distB="0" distL="0" distR="0">
            <wp:extent cx="3935095" cy="2371725"/>
            <wp:effectExtent l="0" t="0" r="0"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Caption"/>
        <w:spacing w:lineRule="auto" w:line="240" w:before="0" w:after="0"/>
        <w:ind w:left="0" w:right="0" w:hanging="0"/>
        <w:rPr>
          <w:rFonts w:ascii="Times New Roman" w:hAnsi="Times New Roman" w:cs="Arial"/>
          <w:b w:val="false"/>
          <w:b w:val="false"/>
          <w:color w:val="000000"/>
          <w:sz w:val="20"/>
          <w:szCs w:val="20"/>
        </w:rPr>
      </w:pPr>
      <w:r>
        <w:rPr>
          <w:rFonts w:cs="Arial" w:ascii="Times New Roman" w:hAnsi="Times New Roman"/>
          <w:b w:val="false"/>
          <w:color w:val="000000"/>
          <w:sz w:val="20"/>
          <w:szCs w:val="20"/>
        </w:rPr>
      </w:r>
    </w:p>
    <w:p>
      <w:pPr>
        <w:pStyle w:val="Caption"/>
        <w:spacing w:lineRule="auto" w:line="240" w:before="0" w:after="0"/>
        <w:ind w:left="0" w:right="0" w:hanging="0"/>
        <w:jc w:val="center"/>
        <w:rPr>
          <w:rFonts w:ascii="Times New Roman" w:hAnsi="Times New Roman"/>
          <w:i/>
          <w:i/>
          <w:iCs/>
          <w:color w:val="000000"/>
          <w:sz w:val="20"/>
          <w:szCs w:val="20"/>
        </w:rPr>
      </w:pPr>
      <w:r>
        <w:rPr>
          <w:rFonts w:cs="Arial" w:ascii="Times New Roman" w:hAnsi="Times New Roman"/>
          <w:b w:val="false"/>
          <w:i/>
          <w:iCs/>
          <w:color w:val="000000"/>
          <w:sz w:val="20"/>
          <w:szCs w:val="20"/>
        </w:rPr>
        <w:t>Figura 13. Resultado de las decisiones a realizar dentro de las empresas</w:t>
      </w:r>
      <w:r>
        <w:rPr>
          <w:rFonts w:cs="Arial" w:ascii="Times New Roman" w:hAnsi="Times New Roman"/>
          <w:i/>
          <w:iCs/>
          <w:color w:val="000000"/>
          <w:sz w:val="20"/>
          <w:szCs w:val="20"/>
        </w:rPr>
        <w:t xml:space="preserve">. </w:t>
      </w:r>
      <w:r>
        <w:rPr>
          <w:rFonts w:cs="Arial" w:ascii="Times New Roman" w:hAnsi="Times New Roman"/>
          <w:b w:val="false"/>
          <w:bCs w:val="false"/>
          <w:i/>
          <w:iCs/>
          <w:color w:val="000000"/>
          <w:sz w:val="20"/>
          <w:szCs w:val="20"/>
        </w:rPr>
        <w:t>Fuente: Elaboración propia.</w:t>
      </w:r>
      <w:r>
        <w:rPr>
          <w:rFonts w:cs="Arial" w:ascii="Times New Roman" w:hAnsi="Times New Roman"/>
          <w:b w:val="false"/>
          <w:bCs w:val="false"/>
          <w:i/>
          <w:iCs/>
          <w:color w:val="000000"/>
          <w:sz w:val="20"/>
          <w:szCs w:val="20"/>
        </w:rPr>
        <w:t xml:space="preserve"> </w:t>
      </w:r>
    </w:p>
    <w:p>
      <w:pPr>
        <w:pStyle w:val="Caption"/>
        <w:spacing w:lineRule="auto" w:line="240" w:before="0" w:after="0"/>
        <w:ind w:left="0" w:right="0" w:hanging="0"/>
        <w:rPr>
          <w:rFonts w:ascii="Times New Roman" w:hAnsi="Times New Roman" w:cs="Arial"/>
          <w:color w:val="000000"/>
          <w:sz w:val="20"/>
          <w:szCs w:val="20"/>
        </w:rPr>
      </w:pPr>
      <w:r>
        <w:rPr>
          <w:rFonts w:cs="Arial" w:ascii="Times New Roman" w:hAnsi="Times New Roman"/>
          <w:color w:val="000000"/>
          <w:sz w:val="20"/>
          <w:szCs w:val="20"/>
        </w:rPr>
      </w:r>
    </w:p>
    <w:p>
      <w:pPr>
        <w:sectPr>
          <w:headerReference w:type="even" r:id="rId90"/>
          <w:headerReference w:type="default" r:id="rId91"/>
          <w:headerReference w:type="first" r:id="rId92"/>
          <w:footerReference w:type="even" r:id="rId93"/>
          <w:footerReference w:type="default" r:id="rId94"/>
          <w:footerReference w:type="first" r:id="rId95"/>
          <w:type w:val="continuous"/>
          <w:pgSz w:w="12240" w:h="15840"/>
          <w:pgMar w:left="1417" w:right="1417" w:header="1417" w:top="2064" w:footer="1417" w:bottom="2190" w:gutter="0"/>
          <w:pgNumType w:fmt="decimal"/>
          <w:formProt w:val="false"/>
          <w:titlePg/>
          <w:textDirection w:val="lrTb"/>
          <w:docGrid w:type="default" w:linePitch="360" w:charSpace="0"/>
        </w:sectPr>
      </w:pPr>
    </w:p>
    <w:p>
      <w:pPr>
        <w:pStyle w:val="Caption"/>
        <w:spacing w:lineRule="auto" w:line="240" w:before="0" w:after="0"/>
        <w:ind w:left="0" w:right="0" w:hanging="0"/>
        <w:rPr>
          <w:rFonts w:ascii="Times New Roman" w:hAnsi="Times New Roman"/>
          <w:color w:val="000000"/>
          <w:sz w:val="20"/>
          <w:szCs w:val="20"/>
        </w:rPr>
      </w:pPr>
      <w:r>
        <w:rPr>
          <w:rFonts w:cs="Arial" w:ascii="Times New Roman" w:hAnsi="Times New Roman"/>
          <w:color w:val="000000"/>
          <w:sz w:val="20"/>
          <w:szCs w:val="20"/>
          <w:lang w:eastAsia="es-MX"/>
        </w:rPr>
        <w:t xml:space="preserve">IV. </w:t>
      </w:r>
      <w:r>
        <w:rPr>
          <w:rFonts w:cs="Arial" w:ascii="Times New Roman" w:hAnsi="Times New Roman"/>
          <w:color w:val="000000"/>
          <w:sz w:val="20"/>
          <w:szCs w:val="20"/>
          <w:lang w:eastAsia="es-MX"/>
        </w:rPr>
        <w:t>CONCLUSIÓN</w:t>
      </w:r>
      <w:bookmarkStart w:id="1" w:name="_Toc120226149"/>
      <w:bookmarkStart w:id="2" w:name="_Toc113954225"/>
      <w:bookmarkEnd w:id="1"/>
      <w:bookmarkEnd w:id="2"/>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eastAsia="es-MX"/>
        </w:rPr>
        <w:t>Se identificaron lo factores que generan competividad en las empresas de la Ciudad de Motul, los cuales sirvieron para determinar la competitividad entre las organizaciones y los factores que más impactan tanto interno como externo, y ofrecer alternativas que ayuden a mejorar su competitividad. Entre los factores que hacen referencia las empresas y que son los más importantes para medir la competividad se encuentran; el enfoque al cliente en el cual el 98% menciono como uno de los principales elementos que determinan la competividad de las organizaciones; calidad del producto es otro de los factores que las organizaciones consideran importante, 88% de los encuestados lo consideran primordial para introducirse a otros mercados y competir con otras empresas que ofrecen productos similares; control de la información, es otro aspecto que describen, el cual sirve para el desarrollo de las empresas y generar estrategias en beneficio de la organización, otros de los factores mencionados pero con menor grado de importancia son; el conocimiento del tipo de cliente y el mercado en el cual se encuentra inmerso y a la competencia que tienen a su alrededor; es decir, reconocen lo que sus clientes buscan y se enfocan a darles lo que ellos quieren.</w:t>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eastAsia="es-MX"/>
        </w:rPr>
        <w:t xml:space="preserve">La identificación, el plan de comercialización, junto con la satisfacción y fidelidad de los clientes son factores que importantes que la organización debe de considerar; además, determinan la competividad de la empresa junto con el precio y la calidad, por consiguiente, tienen un papel importante ya en ellos se basa la aceptación de parte de los consumidores. </w:t>
      </w:r>
    </w:p>
    <w:p>
      <w:pPr>
        <w:pStyle w:val="Normal"/>
        <w:spacing w:lineRule="auto" w:line="240" w:before="0" w:after="0"/>
        <w:ind w:left="0" w:right="0" w:hanging="0"/>
        <w:jc w:val="both"/>
        <w:rPr>
          <w:rFonts w:cs="Arial"/>
          <w:lang w:eastAsia="es-MX"/>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eastAsia="es-MX"/>
        </w:rPr>
        <w:t xml:space="preserve">Entre los factores que se identificaron y que retrasan la competitividad dentro de las empresas es la falta de recursos financieros necesarios para ampliar y adquirir equipo de proceso; además, la falta de personal sobre todo capacitados ocasionan perdidas y disminución en la eficiencia del proceso; Durante el levantamiento de la información se observó, que parte del personal administrativo que fue entrevistado, demostraron desconocimiento de las actividades o de los procesos durante la operación; aunado a esto, se encontró que las empresas surgieron por herencia familiar y han manejado los mismos procedimientos de generación en generación por el simple hecho de que “Así se ha hecho siempre”; por tal motivo, conlleva a que no se obtenga una preparación externa; por consiguiente, desconocimiento de las técnicas para mejorar los procesos, herramientas de calidad y técnicas para las buenas prácticas de elaboración de productos. Cabe mencionar que la minoría comento y expresó su preparación con algún curso de fortalecimiento administrativo, lo que deja notar que muy lejano para existe una posible oportunidad de trabajo en un futuro para los profesionistas e incrementar la competividad de las empresas de la Ciudad de Motul. </w:t>
      </w:r>
    </w:p>
    <w:p>
      <w:pPr>
        <w:pStyle w:val="Normal"/>
        <w:spacing w:lineRule="auto" w:line="240" w:before="0" w:after="0"/>
        <w:ind w:left="0" w:right="0" w:hanging="0"/>
        <w:jc w:val="both"/>
        <w:rPr>
          <w:rFonts w:cs="Arial"/>
          <w:lang w:eastAsia="es-MX"/>
        </w:rPr>
      </w:pPr>
      <w:r>
        <w:rPr>
          <w:rFonts w:ascii="Times New Roman" w:hAnsi="Times New Roman"/>
          <w:color w:val="000000"/>
          <w:sz w:val="20"/>
          <w:szCs w:val="20"/>
        </w:rPr>
      </w:r>
    </w:p>
    <w:p>
      <w:pPr>
        <w:pStyle w:val="Normal"/>
        <w:spacing w:lineRule="auto" w:line="240" w:before="0" w:after="0"/>
        <w:ind w:left="0" w:right="0" w:hanging="0"/>
        <w:jc w:val="both"/>
        <w:rPr>
          <w:rFonts w:ascii="Times New Roman" w:hAnsi="Times New Roman"/>
          <w:color w:val="000000"/>
          <w:sz w:val="20"/>
          <w:szCs w:val="20"/>
        </w:rPr>
      </w:pPr>
      <w:r>
        <w:rPr>
          <w:rFonts w:cs="Arial" w:ascii="Times New Roman" w:hAnsi="Times New Roman"/>
          <w:color w:val="000000"/>
          <w:sz w:val="20"/>
          <w:szCs w:val="20"/>
          <w:lang w:eastAsia="es-MX"/>
        </w:rPr>
        <w:t xml:space="preserve">Como recomendación, la empresa dentro de la ciudad de Motul son muy celosos con su información, por tal motivo, es necesario acudir previamente a notificar sobre las acciones que se pretender realizar y en qué medida los involucraran, explicar previamente la forma en la cual se realizará las actividades y la finalidad que se pretende alcanzar; de igual forma es importante acudir correctamente identificados para evitar malos entendidos y/o conflictos. </w:t>
      </w:r>
    </w:p>
    <w:p>
      <w:pPr>
        <w:pStyle w:val="Normal"/>
        <w:spacing w:lineRule="auto" w:line="240" w:before="0" w:after="0"/>
        <w:ind w:left="0" w:right="0" w:hanging="0"/>
        <w:jc w:val="both"/>
        <w:rPr>
          <w:rFonts w:ascii="Times New Roman" w:hAnsi="Times New Roman" w:cs="Arial"/>
          <w:b/>
          <w:b/>
          <w:color w:val="000000"/>
          <w:sz w:val="20"/>
          <w:szCs w:val="20"/>
        </w:rPr>
      </w:pPr>
      <w:r>
        <w:rPr>
          <w:rFonts w:cs="Arial" w:ascii="Times New Roman" w:hAnsi="Times New Roman"/>
          <w:b/>
          <w:color w:val="000000"/>
          <w:sz w:val="20"/>
          <w:szCs w:val="20"/>
        </w:rPr>
      </w:r>
    </w:p>
    <w:p>
      <w:pPr>
        <w:pStyle w:val="Normal"/>
        <w:spacing w:lineRule="auto" w:line="240" w:before="0" w:after="0"/>
        <w:ind w:left="0" w:right="0" w:hanging="0"/>
        <w:jc w:val="both"/>
        <w:rPr>
          <w:rFonts w:ascii="Times New Roman" w:hAnsi="Times New Roman" w:cs="Arial"/>
          <w:b/>
          <w:b/>
          <w:bCs/>
          <w:color w:val="000000"/>
          <w:sz w:val="20"/>
          <w:szCs w:val="20"/>
        </w:rPr>
      </w:pPr>
      <w:r>
        <w:rPr>
          <w:rFonts w:cs="Arial" w:ascii="Times New Roman" w:hAnsi="Times New Roman"/>
          <w:b/>
          <w:bCs/>
          <w:color w:val="000000"/>
          <w:sz w:val="20"/>
          <w:szCs w:val="20"/>
        </w:rPr>
        <w:t>REFERENCIAS</w:t>
      </w:r>
    </w:p>
    <w:p>
      <w:pPr>
        <w:pStyle w:val="Normal"/>
        <w:spacing w:lineRule="auto" w:line="240" w:before="0" w:after="0"/>
        <w:ind w:left="0" w:right="0" w:hanging="0"/>
        <w:jc w:val="both"/>
        <w:rPr>
          <w:rFonts w:ascii="Times New Roman" w:hAnsi="Times New Roman" w:cs="Arial"/>
          <w:b/>
          <w:b/>
          <w:bCs/>
          <w:color w:val="000000"/>
          <w:sz w:val="20"/>
          <w:szCs w:val="20"/>
        </w:rPr>
      </w:pPr>
      <w:r>
        <w:rPr>
          <w:rFonts w:cs="Arial" w:ascii="Times New Roman" w:hAnsi="Times New Roman"/>
          <w:b/>
          <w:bCs/>
          <w:color w:val="000000"/>
          <w:sz w:val="20"/>
          <w:szCs w:val="20"/>
        </w:rPr>
      </w:r>
    </w:p>
    <w:p>
      <w:pPr>
        <w:pStyle w:val="Normal"/>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w:t>
        <w:tab/>
        <w:t xml:space="preserve">Valenzuela-Klagges, B. yFuenzalida-O’Shee, D. (2020) Efectos de la inversión extranjera y competitividad en el comercio y productividad de países latinoamericanos, Economia y sociedad. 1-16, 25,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[2]</w:t>
        <w:tab/>
        <w:t xml:space="preserve">Hermundsdottir, F. yAspelund, A. (2021) Sustainability innovations and firm competitiveness: A review, J. Clean. Prod. 1-18, 280,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[3]</w:t>
        <w:tab/>
        <w:t xml:space="preserve">Muñoz, G. A. D., Lombeida, M. D. Q., y Mosquera, D. G. F. (2021) La competitividad como factor de crecimiento para las organizaciones, INNOVA Research Journal,. 145-161, 6,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[4]</w:t>
        <w:tab/>
        <w:t xml:space="preserve">Capobianco-Uriarte, M. d. l. M., María del Pilar Casado-Belmonte , Marín-Carrillo, G. M., y Terán-Yépez, E. (2019) A Bibliometric Analysis of International Competitiveness (1983–2017), Sustainability 1-22, 11,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[5]</w:t>
        <w:tab/>
        <w:t xml:space="preserve">García, B. I. yFonseca, J. S. (2018) Construcción de indicadores para la competitividad. Caso de empresas dirigidas por mujeres en la región de Xalapa, Ver., México, Investigación administrativa. 1-21,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[6]</w:t>
        <w:tab/>
        <w:t xml:space="preserve">Mankiw, N. G. (2012) Principio de economia, Cengage learning. 1-881,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[7]</w:t>
        <w:tab/>
        <w:t xml:space="preserve">Dewi, M. V. K. yDarma, G. S. (2019) The Role of Marketing &amp; Competitive Intelligence In Industrial Revolution 4.0, Jurnal Manajemen dan Bisnis. 1-12, 16,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[8]</w:t>
        <w:tab/>
        <w:t xml:space="preserve">Vega, Y. L. C., Virhuez, N. E. M., Cuadra1, Y. M. L., Zavaleta1, R. M., y Ibáñe, J. C. A. (2021) LA COMPETIVIDAD EMPRESARIAL EN LAS PYMES: RETOS Y ALCANCES, UNIVERSIDAD Y SOCIEDAD. 557-564, 13,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[9]</w:t>
        <w:tab/>
        <w:t xml:space="preserve">Silva, O. N., Moran, G. G., y Reyes, W. F. (2018) La calidad del capital humano una vertiente positiva en la competitividad de las micros, pequeñas y medianas empresas enfocada en la empresa Cristy viajes, Universidad y Sociedad. 26 - 33., 10,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[10]</w:t>
        <w:tab/>
        <w:t xml:space="preserve">Rojas, P., Romero, S., y Sepúlveda, S. (2000) Competitividad de la agricultura: Cadenas agroalimentarias y el impacto del factor localizacion espacial, 1-43,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[11]</w:t>
        <w:tab/>
        <w:t xml:space="preserve">Jiméne, M. A. V. yCruz, A. K. (2021) Gestión Ambiental, Innovación y Ventaja Competitiva en Empresas Exportadoras de Aguacate, Redalyc:. 1-21,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[12]</w:t>
        <w:tab/>
        <w:t xml:space="preserve">Gerasimov, B. N., Vasyaycheva, V. A., y Gerasimov, K. B. (2018) Identification of the factors of competitiveness of industrial company based on the module approach, ENTREPRENEURSHIP AND SUSTAINABILITY ISSUES INNOVA Research Journal. 677-691, 6,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[13]</w:t>
        <w:tab/>
        <w:t xml:space="preserve">Igwenagu, C. (2016) Fundamentals of research methodology and data collection, Reseach Gate. 1-48,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[14]</w:t>
        <w:tab/>
        <w:t xml:space="preserve">Azeem, M., Munir Ahmed, S. H., y Sajjad, M. (2021) Expanding competitive advantage through organizational culture, knowledge sharing and organizational innovation, Technology in Society 1-10, 66,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[15]</w:t>
        <w:tab/>
        <w:t xml:space="preserve">Pandey, B. K., Vyas, S., Pandey, M., y Gaur, A. (2016) Municipal solid waste to energy conversion methodology as physical, thermal, and biological methods, Current Science Perspectives 39-44, 2,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[16]</w:t>
        <w:tab/>
        <w:t xml:space="preserve">INEGI. </w:t>
      </w:r>
      <w:r>
        <w:rPr>
          <w:rFonts w:ascii="Times New Roman" w:hAnsi="Times New Roman"/>
          <w:i/>
          <w:color w:val="000000"/>
          <w:sz w:val="20"/>
          <w:szCs w:val="20"/>
        </w:rPr>
        <w:t xml:space="preserve">Directorio Estadístico Nacional de Unidades Económicas,  </w:t>
      </w:r>
      <w:r>
        <w:rPr>
          <w:rFonts w:ascii="Times New Roman" w:hAnsi="Times New Roman"/>
          <w:color w:val="000000"/>
          <w:sz w:val="20"/>
          <w:szCs w:val="20"/>
        </w:rPr>
        <w:t>. Available: https://inegi.org.mx/app/mapa/denue/default.aspx</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[17]</w:t>
        <w:tab/>
        <w:t xml:space="preserve">Salgado-López, J. A. (2012) Solid Waste: Perception and factors which facilitate its separation at home: The study case of two habitable units in Tlalpan, QUIVERA. 91-112, https://quivera.uaemex.mx/article/view/9627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[18]</w:t>
        <w:tab/>
        <w:t xml:space="preserve">Addo, I. B., Adei, D., y Acheampong, E. O. (2015) Solid Waste Management and Its Health Implications on the Dwellers of Kumasi Metropolis, Ghana, Current Research Journal of Social Sciences. 81-93, 3,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[19]</w:t>
        <w:tab/>
        <w:t xml:space="preserve">Macías-Villacreses, T. L., Martínez-Llauca, G. T., y Lino-Mero, H. J. (2022) La calidad en el servicio y satisfacción del cliente en el sector ferretero Ecuador, Polo del conocimiento. 1395-1411, 7,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[20]</w:t>
        <w:tab/>
        <w:t xml:space="preserve">Cervantes, G., Muñoz, G., y Inda, A. D. (2020) El trabajo en equipo y su efecto en la calidad del servicio a clientes, Espacios. 1-10, 14,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[21]</w:t>
        <w:tab/>
        <w:t xml:space="preserve">Zavala-Choez, F. N. yVélez-Moreira, E. M. (2020) La gestión de la calidad y el servicio al cliente como factor de competitividad en las empresas de servicios, Ciencias económicas y empresariales. 264-281, 6,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[22]</w:t>
        <w:tab/>
        <w:t xml:space="preserve">Luna-Altamirano, K. A., Zamora-Zamora, E. G., Calle-Masache, O. R., y Lituma-Yascaribay, M. A. (2019) Modelo de competitividad a través de la calidad e innovación como factores de rentabilidad empresarial, Dom, Cien. 990-1005, 7, </w:t>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r>
    </w:p>
    <w:p>
      <w:pPr>
        <w:pStyle w:val="EndNoteBibliography"/>
        <w:spacing w:lineRule="auto" w:line="240" w:before="0" w:after="0"/>
        <w:ind w:left="0" w:right="0" w:hanging="0"/>
        <w:rPr>
          <w:rFonts w:ascii="Times New Roman" w:hAnsi="Times New Roman"/>
          <w:color w:val="000000"/>
          <w:sz w:val="20"/>
          <w:szCs w:val="20"/>
        </w:rPr>
      </w:pPr>
      <w:r>
        <w:rPr>
          <w:rFonts w:ascii="Times New Roman" w:hAnsi="Times New Roman"/>
          <w:color w:val="000000"/>
          <w:sz w:val="20"/>
          <w:szCs w:val="20"/>
        </w:rPr>
        <w:t>[23]</w:t>
        <w:tab/>
        <w:t xml:space="preserve">VÁSCONEZ - BARRERA, F., OLEAS LÓPEZ, M., BASTIDAS, F., VÁSQUEZ, U., y CONDO, L. (2020) La gestión de la información y del conocimiento en empresas industriales, Espacios. 1-11, 41, </w:t>
      </w:r>
    </w:p>
    <w:p>
      <w:pPr>
        <w:pStyle w:val="EndNoteBibliography"/>
        <w:spacing w:lineRule="auto" w:line="240" w:before="0" w:after="0"/>
        <w:ind w:left="0" w:right="0" w:hanging="0"/>
        <w:jc w:val="both"/>
        <w:rPr>
          <w:rFonts w:cs="Arial"/>
        </w:rPr>
      </w:pPr>
      <w:r>
        <w:rPr>
          <w:rFonts w:ascii="Times New Roman" w:hAnsi="Times New Roman"/>
          <w:b w:val="false"/>
          <w:bCs w:val="false"/>
          <w:color w:val="000000"/>
          <w:sz w:val="20"/>
          <w:szCs w:val="20"/>
        </w:rPr>
      </w:r>
    </w:p>
    <w:p>
      <w:pPr>
        <w:pStyle w:val="EndNoteBibliography"/>
        <w:spacing w:lineRule="auto" w:line="240" w:before="0" w:after="0"/>
        <w:ind w:left="0" w:right="0" w:hanging="0"/>
        <w:jc w:val="both"/>
        <w:rPr>
          <w:rFonts w:ascii="Times New Roman" w:hAnsi="Times New Roman"/>
          <w:b w:val="false"/>
          <w:b w:val="false"/>
          <w:bCs w:val="false"/>
          <w:color w:val="000000"/>
          <w:sz w:val="20"/>
          <w:szCs w:val="20"/>
        </w:rPr>
      </w:pPr>
      <w:r>
        <w:rPr>
          <w:rFonts w:cs="Arial" w:ascii="Times New Roman" w:hAnsi="Times New Roman"/>
          <w:b w:val="false"/>
          <w:bCs w:val="false"/>
          <w:color w:val="000000"/>
          <w:sz w:val="20"/>
          <w:szCs w:val="20"/>
        </w:rPr>
        <w:t>[24]</w:t>
        <w:tab/>
        <w:t xml:space="preserve">Rosales-Soto, A. yRicardo, A.-V. (2019) Agricultura inteligente en México: Analítica de datos como herramienta de competitividad, Vincula tegica. 1415-1427, </w:t>
      </w:r>
    </w:p>
    <w:p>
      <w:pPr>
        <w:sectPr>
          <w:type w:val="continuous"/>
          <w:pgSz w:w="12240" w:h="15840"/>
          <w:pgMar w:left="1417" w:right="1417" w:header="1417" w:top="2064" w:footer="1417" w:bottom="2190" w:gutter="0"/>
          <w:cols w:num="2" w:space="282" w:equalWidth="true" w:sep="false"/>
          <w:formProt w:val="false"/>
          <w:textDirection w:val="lrTb"/>
          <w:docGrid w:type="default" w:linePitch="360" w:charSpace="0"/>
        </w:sectPr>
      </w:pPr>
    </w:p>
    <w:sectPr>
      <w:headerReference w:type="even" r:id="rId96"/>
      <w:headerReference w:type="default" r:id="rId97"/>
      <w:headerReference w:type="first" r:id="rId98"/>
      <w:footerReference w:type="even" r:id="rId99"/>
      <w:footerReference w:type="default" r:id="rId100"/>
      <w:footerReference w:type="first" r:id="rId101"/>
      <w:type w:val="continuous"/>
      <w:pgSz w:w="12240" w:h="15840"/>
      <w:pgMar w:left="1417" w:right="1417" w:header="1417" w:top="2064" w:footer="1417" w:bottom="219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Calibri">
    <w:charset w:val="01"/>
    <w:family w:val="roman"/>
    <w:pitch w:val="variable"/>
  </w:font>
  <w:font w:name="Liberation Sans">
    <w:altName w:val="Arial"/>
    <w:charset w:val="01"/>
    <w:family w:val="swiss"/>
    <w:pitch w:val="variable"/>
  </w:font>
  <w:font w:name="Palatino Linotype">
    <w:charset w:val="01"/>
    <w:family w:val="roman"/>
    <w:pitch w:val="variable"/>
  </w:font>
  <w:font w:name="Helvetica LT Std Light">
    <w:charset w:val="01"/>
    <w:family w:val="roman"/>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10239479"/>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91619556"/>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23922637"/>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73164173"/>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6837432"/>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11598380"/>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28214044"/>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71106981"/>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51467410"/>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21803075"/>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92704976"/>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51186668"/>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57095123"/>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79291259"/>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1155429"/>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61092171"/>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94508946"/>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92786045"/>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73030696"/>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50058867"/>
    </w:sdtPr>
    <w:sdtContent>
      <w:p>
        <w:pPr>
          <w:pStyle w:val="Contenidodelatabla"/>
          <w:widowControl/>
          <w:bidi w:val="0"/>
          <w:spacing w:lineRule="auto" w:line="360" w:before="120" w:after="60"/>
          <w:jc w:val="center"/>
          <w:rPr>
            <w:rFonts w:ascii="Times New Roman" w:hAnsi="Times New Roman"/>
          </w:rPr>
        </w:pPr>
        <w:r>
          <w:rPr>
            <w:rFonts w:eastAsia="Arial" w:cs="Arial" w:ascii="Times New Roman" w:hAnsi="Times New Roman"/>
            <w:sz w:val="16"/>
            <w:szCs w:val="16"/>
          </w:rPr>
          <w:t xml:space="preserve">© </w:t>
        </w:r>
        <w:r>
          <w:rPr>
            <w:rFonts w:ascii="Times New Roman" w:hAnsi="Times New Roman"/>
            <w:sz w:val="16"/>
            <w:szCs w:val="16"/>
          </w:rPr>
          <w:t>TecNM – Instituto Tecnológico Superior Progreso</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/Octubre/2023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Noviem</w:t>
          </w:r>
          <w:r>
            <w:rPr>
              <w:rFonts w:ascii="Times new roman" w:hAnsi="Times new roman"/>
              <w:sz w:val="16"/>
              <w:szCs w:val="16"/>
            </w:rPr>
            <w:t>bre/2023</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4"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6"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8"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0"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2"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4"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5"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9, No. 19, pp. </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26</w:t>
    </w:r>
    <w:r>
      <w:rPr>
        <w:rFonts w:ascii="Times new roman" w:hAnsi="Times new roman"/>
        <w:b w:val="false"/>
        <w:i/>
        <w:iCs/>
        <w:caps w:val="false"/>
        <w:smallCaps w:val="false"/>
        <w:spacing w:val="0"/>
        <w:sz w:val="16"/>
        <w:szCs w:val="16"/>
      </w:rPr>
      <w:t>, Enero - Junio 2024</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0"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9, No. 19, pp. </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26</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settings.xml><?xml version="1.0" encoding="utf-8"?>
<w:settings xmlns:w="http://schemas.openxmlformats.org/wordprocessingml/2006/main">
  <w:zoom w:percent="12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b/>
        <w:bCs/>
        <w:color w:val="333333"/>
        <w:sz w:val="24"/>
        <w:szCs w:val="21"/>
        <w:lang w:val="es-MX"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d605a"/>
    <w:pPr>
      <w:widowControl/>
      <w:bidi w:val="0"/>
      <w:spacing w:lineRule="auto" w:line="259" w:before="0" w:after="160"/>
      <w:jc w:val="left"/>
    </w:pPr>
    <w:rPr>
      <w:rFonts w:ascii="Calibri" w:hAnsi="Calibri" w:cs="" w:asciiTheme="minorHAnsi" w:cstheme="minorBidi" w:hAnsiTheme="minorHAnsi" w:eastAsia="Calibri"/>
      <w:b w:val="false"/>
      <w:bCs w:val="false"/>
      <w:color w:val="auto"/>
      <w:kern w:val="0"/>
      <w:sz w:val="22"/>
      <w:szCs w:val="22"/>
      <w:lang w:val="es-MX" w:eastAsia="en-US" w:bidi="ar-SA"/>
    </w:rPr>
  </w:style>
  <w:style w:type="paragraph" w:styleId="Ttulo1">
    <w:name w:val="Heading 1"/>
    <w:basedOn w:val="Normal"/>
    <w:next w:val="Normal"/>
    <w:link w:val="Ttulo1Car"/>
    <w:uiPriority w:val="9"/>
    <w:qFormat/>
    <w:rsid w:val="009c3de9"/>
    <w:pPr>
      <w:keepNext w:val="true"/>
      <w:keepLines/>
      <w:spacing w:lineRule="auto" w:line="360" w:before="240" w:after="0"/>
      <w:jc w:val="both"/>
      <w:outlineLvl w:val="0"/>
    </w:pPr>
    <w:rPr>
      <w:rFonts w:ascii="Arial" w:hAnsi="Arial" w:eastAsia="" w:cs="" w:cstheme="majorBidi" w:eastAsiaTheme="majorEastAsia"/>
      <w:b/>
      <w:sz w:val="24"/>
      <w:szCs w:val="32"/>
    </w:rPr>
  </w:style>
  <w:style w:type="character" w:styleId="DefaultParagraphFont" w:default="1">
    <w:name w:val="Default Paragraph Font"/>
    <w:uiPriority w:val="1"/>
    <w:semiHidden/>
    <w:unhideWhenUsed/>
    <w:qFormat/>
    <w:rPr/>
  </w:style>
  <w:style w:type="character" w:styleId="EndNoteBibliographyTitleCar" w:customStyle="1">
    <w:name w:val="EndNote Bibliography Title Car"/>
    <w:basedOn w:val="DefaultParagraphFont"/>
    <w:link w:val="EndNoteBibliographyTitle"/>
    <w:qFormat/>
    <w:rsid w:val="00365118"/>
    <w:rPr>
      <w:rFonts w:ascii="Calibri" w:hAnsi="Calibri" w:cs="Calibri"/>
      <w:b w:val="false"/>
      <w:bCs w:val="false"/>
      <w:color w:val="auto"/>
      <w:sz w:val="22"/>
      <w:szCs w:val="22"/>
      <w:lang w:val="en-US"/>
    </w:rPr>
  </w:style>
  <w:style w:type="character" w:styleId="EndNoteBibliographyCar" w:customStyle="1">
    <w:name w:val="EndNote Bibliography Car"/>
    <w:basedOn w:val="DefaultParagraphFont"/>
    <w:link w:val="EndNoteBibliography"/>
    <w:qFormat/>
    <w:rsid w:val="00365118"/>
    <w:rPr>
      <w:rFonts w:ascii="Calibri" w:hAnsi="Calibri" w:cs="Calibri"/>
      <w:b w:val="false"/>
      <w:bCs w:val="false"/>
      <w:color w:val="auto"/>
      <w:sz w:val="22"/>
      <w:szCs w:val="22"/>
      <w:lang w:val="en-US"/>
    </w:rPr>
  </w:style>
  <w:style w:type="character" w:styleId="EnlacedeInternet">
    <w:name w:val="Enlace de Internet"/>
    <w:basedOn w:val="DefaultParagraphFont"/>
    <w:uiPriority w:val="99"/>
    <w:unhideWhenUsed/>
    <w:rsid w:val="00365118"/>
    <w:rPr>
      <w:color w:val="0563C1" w:themeColor="hyperlink"/>
      <w:u w:val="single"/>
    </w:rPr>
  </w:style>
  <w:style w:type="character" w:styleId="Ttulo1Car" w:customStyle="1">
    <w:name w:val="Título 1 Car"/>
    <w:basedOn w:val="DefaultParagraphFont"/>
    <w:link w:val="Ttulo1"/>
    <w:uiPriority w:val="9"/>
    <w:qFormat/>
    <w:rsid w:val="009c3de9"/>
    <w:rPr>
      <w:rFonts w:eastAsia="" w:cs="" w:cstheme="majorBidi" w:eastAsiaTheme="majorEastAsia"/>
      <w:bCs w:val="false"/>
      <w:color w:val="auto"/>
      <w:szCs w:val="32"/>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EndNoteBibliographyTitle" w:customStyle="1">
    <w:name w:val="EndNote Bibliography Title"/>
    <w:basedOn w:val="Normal"/>
    <w:link w:val="EndNoteBibliographyTitleCar"/>
    <w:qFormat/>
    <w:rsid w:val="00365118"/>
    <w:pPr>
      <w:spacing w:before="0" w:after="0"/>
      <w:jc w:val="center"/>
    </w:pPr>
    <w:rPr>
      <w:rFonts w:ascii="Calibri" w:hAnsi="Calibri" w:cs="Calibri"/>
      <w:lang w:val="en-US"/>
    </w:rPr>
  </w:style>
  <w:style w:type="paragraph" w:styleId="EndNoteBibliography" w:customStyle="1">
    <w:name w:val="EndNote Bibliography"/>
    <w:basedOn w:val="Normal"/>
    <w:link w:val="EndNoteBibliographyCar"/>
    <w:qFormat/>
    <w:rsid w:val="00365118"/>
    <w:pPr>
      <w:spacing w:lineRule="auto" w:line="240"/>
      <w:jc w:val="both"/>
    </w:pPr>
    <w:rPr>
      <w:rFonts w:ascii="Calibri" w:hAnsi="Calibri" w:cs="Calibri"/>
      <w:lang w:val="en-US"/>
    </w:rPr>
  </w:style>
  <w:style w:type="paragraph" w:styleId="Caption">
    <w:name w:val="caption"/>
    <w:basedOn w:val="Normal"/>
    <w:next w:val="Normal"/>
    <w:uiPriority w:val="35"/>
    <w:unhideWhenUsed/>
    <w:qFormat/>
    <w:rsid w:val="0045657c"/>
    <w:pPr>
      <w:spacing w:lineRule="auto" w:line="276" w:before="0" w:after="200"/>
    </w:pPr>
    <w:rPr>
      <w:rFonts w:ascii="Calibri" w:hAnsi="Calibri" w:eastAsia="Calibri" w:cs="Times New Roman"/>
      <w:b/>
      <w:bCs/>
      <w:sz w:val="20"/>
      <w:szCs w:val="20"/>
    </w:rPr>
  </w:style>
  <w:style w:type="paragraph" w:styleId="MDPI31text" w:customStyle="1">
    <w:name w:val="MDPI_3.1_text"/>
    <w:qFormat/>
    <w:rsid w:val="0045657c"/>
    <w:pPr>
      <w:widowControl/>
      <w:bidi w:val="0"/>
      <w:snapToGrid w:val="false"/>
      <w:spacing w:lineRule="atLeast" w:line="260" w:before="0" w:after="0"/>
      <w:ind w:firstLine="425"/>
      <w:jc w:val="both"/>
    </w:pPr>
    <w:rPr>
      <w:rFonts w:ascii="Palatino Linotype" w:hAnsi="Palatino Linotype" w:eastAsia="Times New Roman" w:cs="Times New Roman"/>
      <w:b w:val="false"/>
      <w:bCs w:val="false"/>
      <w:color w:val="000000"/>
      <w:kern w:val="0"/>
      <w:sz w:val="20"/>
      <w:szCs w:val="22"/>
      <w:lang w:val="en-US" w:eastAsia="de-DE" w:bidi="en-US"/>
    </w:rPr>
  </w:style>
  <w:style w:type="paragraph" w:styleId="MDPI22heading2" w:customStyle="1">
    <w:name w:val="MDPI_2.2_heading2"/>
    <w:qFormat/>
    <w:rsid w:val="0045657c"/>
    <w:pPr>
      <w:widowControl/>
      <w:bidi w:val="0"/>
      <w:snapToGrid w:val="false"/>
      <w:spacing w:lineRule="atLeast" w:line="260" w:before="240" w:after="120"/>
      <w:jc w:val="left"/>
      <w:outlineLvl w:val="1"/>
    </w:pPr>
    <w:rPr>
      <w:rFonts w:ascii="Palatino Linotype" w:hAnsi="Palatino Linotype" w:eastAsia="Times New Roman" w:cs="Times New Roman"/>
      <w:b w:val="false"/>
      <w:bCs w:val="false"/>
      <w:i/>
      <w:color w:val="000000"/>
      <w:kern w:val="0"/>
      <w:sz w:val="20"/>
      <w:szCs w:val="22"/>
      <w:lang w:val="en-US" w:eastAsia="de-DE" w:bidi="en-US"/>
    </w:rPr>
  </w:style>
  <w:style w:type="paragraph" w:styleId="ListParagraph">
    <w:name w:val="List Paragraph"/>
    <w:basedOn w:val="Normal"/>
    <w:uiPriority w:val="34"/>
    <w:qFormat/>
    <w:rsid w:val="009c3de9"/>
    <w:pPr>
      <w:spacing w:lineRule="auto" w:line="360" w:before="0" w:after="160"/>
      <w:ind w:left="720" w:hanging="0"/>
      <w:contextualSpacing/>
      <w:jc w:val="both"/>
    </w:pPr>
    <w:rPr>
      <w:rFonts w:ascii="Arial" w:hAnsi="Arial"/>
      <w:sz w:val="24"/>
    </w:rPr>
  </w:style>
  <w:style w:type="paragraph" w:styleId="Pa5" w:customStyle="1">
    <w:name w:val="Pa5"/>
    <w:basedOn w:val="Normal"/>
    <w:next w:val="Normal"/>
    <w:uiPriority w:val="99"/>
    <w:qFormat/>
    <w:rsid w:val="00255293"/>
    <w:pPr>
      <w:spacing w:lineRule="atLeast" w:line="201" w:before="0" w:after="0"/>
    </w:pPr>
    <w:rPr>
      <w:rFonts w:ascii="Helvetica LT Std Light" w:hAnsi="Helvetica LT Std Light" w:cs="Arial"/>
      <w:b/>
      <w:bCs/>
      <w:color w:val="333333"/>
      <w:sz w:val="24"/>
      <w:szCs w:val="24"/>
    </w:rPr>
  </w:style>
  <w:style w:type="paragraph" w:styleId="Contenidodelmarco">
    <w:name w:val="Contenido del marco"/>
    <w:basedOn w:val="Normal"/>
    <w:qFormat/>
    <w:pPr/>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Piedepgina">
    <w:name w:val="Footer"/>
    <w:basedOn w:val="Cabeceraypie"/>
    <w:pPr>
      <w:suppressLineNumbers/>
    </w:pPr>
    <w:rPr/>
  </w:style>
  <w:style w:type="paragraph" w:styleId="Cabeceraizquierda">
    <w:name w:val="Cabecera izquierda"/>
    <w:basedOn w:val="Cabecera"/>
    <w:qFormat/>
    <w:pPr>
      <w:suppressLineNumbers/>
    </w:pPr>
    <w:rPr/>
  </w:style>
  <w:style w:type="paragraph" w:styleId="Contenidodelatabla">
    <w:name w:val="Contenido de la tabla"/>
    <w:basedOn w:val="Normal"/>
    <w:qFormat/>
    <w:pPr>
      <w:jc w:val="center"/>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5657c"/>
    <w:pPr>
      <w:spacing w:after="0" w:line="240" w:lineRule="auto"/>
    </w:pPr>
    <w:rPr>
      <w:rFonts w:asciiTheme="minorHAnsi" w:hAnsiTheme="minorHAnsi" w:cstheme="minorBidi"/>
      <w:b w:val="0"/>
      <w:bCs w:val="0"/>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 TargetMode="External"/><Relationship Id="rId9" Type="http://schemas.openxmlformats.org/officeDocument/2006/relationships/hyperlink" Target="" TargetMode="External"/><Relationship Id="rId10" Type="http://schemas.openxmlformats.org/officeDocument/2006/relationships/hyperlink" Target="" TargetMode="External"/><Relationship Id="rId11" Type="http://schemas.openxmlformats.org/officeDocument/2006/relationships/hyperlink" Target="" TargetMode="External"/><Relationship Id="rId12" Type="http://schemas.openxmlformats.org/officeDocument/2006/relationships/hyperlink" Target="" TargetMode="External"/><Relationship Id="rId13" Type="http://schemas.openxmlformats.org/officeDocument/2006/relationships/hyperlink" Target="" TargetMode="External"/><Relationship Id="rId14" Type="http://schemas.openxmlformats.org/officeDocument/2006/relationships/hyperlink" Target="" TargetMode="External"/><Relationship Id="rId15" Type="http://schemas.openxmlformats.org/officeDocument/2006/relationships/hyperlink" Target="" TargetMode="External"/><Relationship Id="rId16" Type="http://schemas.openxmlformats.org/officeDocument/2006/relationships/hyperlink" Target="" TargetMode="External"/><Relationship Id="rId17" Type="http://schemas.openxmlformats.org/officeDocument/2006/relationships/hyperlink" Target="" TargetMode="External"/><Relationship Id="rId18" Type="http://schemas.openxmlformats.org/officeDocument/2006/relationships/hyperlink" Target="" TargetMode="External"/><Relationship Id="rId19" Type="http://schemas.openxmlformats.org/officeDocument/2006/relationships/hyperlink" Target="" TargetMode="External"/><Relationship Id="rId20" Type="http://schemas.openxmlformats.org/officeDocument/2006/relationships/hyperlink" Target="" TargetMode="External"/><Relationship Id="rId21" Type="http://schemas.openxmlformats.org/officeDocument/2006/relationships/hyperlink" Target="" TargetMode="External"/><Relationship Id="rId22" Type="http://schemas.openxmlformats.org/officeDocument/2006/relationships/hyperlink" Target="" TargetMode="External"/><Relationship Id="rId23" Type="http://schemas.openxmlformats.org/officeDocument/2006/relationships/hyperlink" Target="" TargetMode="External"/><Relationship Id="rId24" Type="http://schemas.openxmlformats.org/officeDocument/2006/relationships/hyperlink" Target="" TargetMode="External"/><Relationship Id="rId25" Type="http://schemas.openxmlformats.org/officeDocument/2006/relationships/hyperlink" Target="" TargetMode="External"/><Relationship Id="rId26" Type="http://schemas.openxmlformats.org/officeDocument/2006/relationships/hyperlink" Target="" TargetMode="External"/><Relationship Id="rId27" Type="http://schemas.openxmlformats.org/officeDocument/2006/relationships/hyperlink" Target="" TargetMode="External"/><Relationship Id="rId28" Type="http://schemas.openxmlformats.org/officeDocument/2006/relationships/hyperlink" Target="" TargetMode="External"/><Relationship Id="rId29" Type="http://schemas.openxmlformats.org/officeDocument/2006/relationships/image" Target="media/image2.jpeg"/><Relationship Id="rId30" Type="http://schemas.openxmlformats.org/officeDocument/2006/relationships/hyperlink" Target="" TargetMode="External"/><Relationship Id="rId31" Type="http://schemas.openxmlformats.org/officeDocument/2006/relationships/hyperlink" Target="" TargetMode="External"/><Relationship Id="rId32" Type="http://schemas.openxmlformats.org/officeDocument/2006/relationships/hyperlink" Target="" TargetMode="External"/><Relationship Id="rId33" Type="http://schemas.openxmlformats.org/officeDocument/2006/relationships/hyperlink" Target="" TargetMode="External"/><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6.png"/><Relationship Id="rId38" Type="http://schemas.openxmlformats.org/officeDocument/2006/relationships/header" Target="header4.xml"/><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header" Target="header7.xml"/><Relationship Id="rId47" Type="http://schemas.openxmlformats.org/officeDocument/2006/relationships/header" Target="header8.xml"/><Relationship Id="rId48" Type="http://schemas.openxmlformats.org/officeDocument/2006/relationships/header" Target="header9.xml"/><Relationship Id="rId49" Type="http://schemas.openxmlformats.org/officeDocument/2006/relationships/footer" Target="footer7.xml"/><Relationship Id="rId50" Type="http://schemas.openxmlformats.org/officeDocument/2006/relationships/footer" Target="footer8.xml"/><Relationship Id="rId51" Type="http://schemas.openxmlformats.org/officeDocument/2006/relationships/footer" Target="footer9.xml"/><Relationship Id="rId52" Type="http://schemas.openxmlformats.org/officeDocument/2006/relationships/image" Target="media/image11.jpeg"/><Relationship Id="rId53" Type="http://schemas.openxmlformats.org/officeDocument/2006/relationships/image" Target="media/image12.jpeg"/><Relationship Id="rId54" Type="http://schemas.openxmlformats.org/officeDocument/2006/relationships/image" Target="media/image13.jpeg"/><Relationship Id="rId55" Type="http://schemas.openxmlformats.org/officeDocument/2006/relationships/header" Target="header10.xml"/><Relationship Id="rId56" Type="http://schemas.openxmlformats.org/officeDocument/2006/relationships/header" Target="header11.xml"/><Relationship Id="rId57" Type="http://schemas.openxmlformats.org/officeDocument/2006/relationships/header" Target="header12.xml"/><Relationship Id="rId58" Type="http://schemas.openxmlformats.org/officeDocument/2006/relationships/footer" Target="footer10.xml"/><Relationship Id="rId59" Type="http://schemas.openxmlformats.org/officeDocument/2006/relationships/footer" Target="footer11.xml"/><Relationship Id="rId60" Type="http://schemas.openxmlformats.org/officeDocument/2006/relationships/footer" Target="footer12.xml"/><Relationship Id="rId61" Type="http://schemas.openxmlformats.org/officeDocument/2006/relationships/chart" Target="charts/chart1.xml"/><Relationship Id="rId62" Type="http://schemas.openxmlformats.org/officeDocument/2006/relationships/header" Target="header13.xml"/><Relationship Id="rId63" Type="http://schemas.openxmlformats.org/officeDocument/2006/relationships/header" Target="header14.xml"/><Relationship Id="rId64" Type="http://schemas.openxmlformats.org/officeDocument/2006/relationships/header" Target="header15.xml"/><Relationship Id="rId65" Type="http://schemas.openxmlformats.org/officeDocument/2006/relationships/footer" Target="footer13.xml"/><Relationship Id="rId66" Type="http://schemas.openxmlformats.org/officeDocument/2006/relationships/footer" Target="footer14.xml"/><Relationship Id="rId67" Type="http://schemas.openxmlformats.org/officeDocument/2006/relationships/footer" Target="footer15.xml"/><Relationship Id="rId68" Type="http://schemas.openxmlformats.org/officeDocument/2006/relationships/chart" Target="charts/chart2.xml"/><Relationship Id="rId69" Type="http://schemas.openxmlformats.org/officeDocument/2006/relationships/header" Target="header16.xml"/><Relationship Id="rId70" Type="http://schemas.openxmlformats.org/officeDocument/2006/relationships/header" Target="header17.xml"/><Relationship Id="rId71" Type="http://schemas.openxmlformats.org/officeDocument/2006/relationships/header" Target="header18.xml"/><Relationship Id="rId72" Type="http://schemas.openxmlformats.org/officeDocument/2006/relationships/footer" Target="footer16.xml"/><Relationship Id="rId73" Type="http://schemas.openxmlformats.org/officeDocument/2006/relationships/footer" Target="footer17.xml"/><Relationship Id="rId74" Type="http://schemas.openxmlformats.org/officeDocument/2006/relationships/footer" Target="footer18.xml"/><Relationship Id="rId75" Type="http://schemas.openxmlformats.org/officeDocument/2006/relationships/chart" Target="charts/chart3.xml"/><Relationship Id="rId76" Type="http://schemas.openxmlformats.org/officeDocument/2006/relationships/header" Target="header19.xml"/><Relationship Id="rId77" Type="http://schemas.openxmlformats.org/officeDocument/2006/relationships/header" Target="header20.xml"/><Relationship Id="rId78" Type="http://schemas.openxmlformats.org/officeDocument/2006/relationships/header" Target="header21.xml"/><Relationship Id="rId79" Type="http://schemas.openxmlformats.org/officeDocument/2006/relationships/footer" Target="footer19.xml"/><Relationship Id="rId80" Type="http://schemas.openxmlformats.org/officeDocument/2006/relationships/footer" Target="footer20.xml"/><Relationship Id="rId81" Type="http://schemas.openxmlformats.org/officeDocument/2006/relationships/footer" Target="footer21.xml"/><Relationship Id="rId82" Type="http://schemas.openxmlformats.org/officeDocument/2006/relationships/chart" Target="charts/chart4.xml"/><Relationship Id="rId83" Type="http://schemas.openxmlformats.org/officeDocument/2006/relationships/header" Target="header22.xml"/><Relationship Id="rId84" Type="http://schemas.openxmlformats.org/officeDocument/2006/relationships/header" Target="header23.xml"/><Relationship Id="rId85" Type="http://schemas.openxmlformats.org/officeDocument/2006/relationships/header" Target="header24.xml"/><Relationship Id="rId86" Type="http://schemas.openxmlformats.org/officeDocument/2006/relationships/footer" Target="footer22.xml"/><Relationship Id="rId87" Type="http://schemas.openxmlformats.org/officeDocument/2006/relationships/footer" Target="footer23.xml"/><Relationship Id="rId88" Type="http://schemas.openxmlformats.org/officeDocument/2006/relationships/footer" Target="footer24.xml"/><Relationship Id="rId89" Type="http://schemas.openxmlformats.org/officeDocument/2006/relationships/chart" Target="charts/chart5.xml"/><Relationship Id="rId90" Type="http://schemas.openxmlformats.org/officeDocument/2006/relationships/header" Target="header25.xml"/><Relationship Id="rId91" Type="http://schemas.openxmlformats.org/officeDocument/2006/relationships/header" Target="header26.xml"/><Relationship Id="rId92" Type="http://schemas.openxmlformats.org/officeDocument/2006/relationships/header" Target="header27.xml"/><Relationship Id="rId93" Type="http://schemas.openxmlformats.org/officeDocument/2006/relationships/footer" Target="footer25.xml"/><Relationship Id="rId94" Type="http://schemas.openxmlformats.org/officeDocument/2006/relationships/footer" Target="footer26.xml"/><Relationship Id="rId95" Type="http://schemas.openxmlformats.org/officeDocument/2006/relationships/footer" Target="footer27.xml"/><Relationship Id="rId96" Type="http://schemas.openxmlformats.org/officeDocument/2006/relationships/header" Target="header28.xml"/><Relationship Id="rId97" Type="http://schemas.openxmlformats.org/officeDocument/2006/relationships/header" Target="header29.xml"/><Relationship Id="rId98" Type="http://schemas.openxmlformats.org/officeDocument/2006/relationships/header" Target="header30.xml"/><Relationship Id="rId99" Type="http://schemas.openxmlformats.org/officeDocument/2006/relationships/footer" Target="footer28.xml"/><Relationship Id="rId100" Type="http://schemas.openxmlformats.org/officeDocument/2006/relationships/footer" Target="footer29.xml"/><Relationship Id="rId101" Type="http://schemas.openxmlformats.org/officeDocument/2006/relationships/footer" Target="footer30.xml"/><Relationship Id="rId102" Type="http://schemas.openxmlformats.org/officeDocument/2006/relationships/fontTable" Target="fontTable.xml"/><Relationship Id="rId103" Type="http://schemas.openxmlformats.org/officeDocument/2006/relationships/settings" Target="settings.xml"/><Relationship Id="rId104" Type="http://schemas.openxmlformats.org/officeDocument/2006/relationships/theme" Target="theme/theme1.xml"/><Relationship Id="rId105" Type="http://schemas.openxmlformats.org/officeDocument/2006/relationships/customXml" Target="../customXml/item1.xml"/>
</Relationships>
</file>

<file path=word/_rels/header12.xml.rels><?xml version="1.0" encoding="UTF-8"?>
<Relationships xmlns="http://schemas.openxmlformats.org/package/2006/relationships"><Relationship Id="rId1" Type="http://schemas.openxmlformats.org/officeDocument/2006/relationships/image" Target="media/image14.png"/>
</Relationships>
</file>

<file path=word/_rels/header15.xml.rels><?xml version="1.0" encoding="UTF-8"?>
<Relationships xmlns="http://schemas.openxmlformats.org/package/2006/relationships"><Relationship Id="rId1" Type="http://schemas.openxmlformats.org/officeDocument/2006/relationships/image" Target="media/image15.png"/>
</Relationships>
</file>

<file path=word/_rels/header18.xml.rels><?xml version="1.0" encoding="UTF-8"?>
<Relationships xmlns="http://schemas.openxmlformats.org/package/2006/relationships"><Relationship Id="rId1" Type="http://schemas.openxmlformats.org/officeDocument/2006/relationships/image" Target="media/image16.png"/>
</Relationships>
</file>

<file path=word/_rels/header21.xml.rels><?xml version="1.0" encoding="UTF-8"?>
<Relationships xmlns="http://schemas.openxmlformats.org/package/2006/relationships"><Relationship Id="rId1" Type="http://schemas.openxmlformats.org/officeDocument/2006/relationships/image" Target="media/image17.png"/>
</Relationships>
</file>

<file path=word/_rels/header24.xml.rels><?xml version="1.0" encoding="UTF-8"?>
<Relationships xmlns="http://schemas.openxmlformats.org/package/2006/relationships"><Relationship Id="rId1" Type="http://schemas.openxmlformats.org/officeDocument/2006/relationships/image" Target="media/image18.png"/>
</Relationships>
</file>

<file path=word/_rels/header27.xml.rels><?xml version="1.0" encoding="UTF-8"?>
<Relationships xmlns="http://schemas.openxmlformats.org/package/2006/relationships"><Relationship Id="rId1" Type="http://schemas.openxmlformats.org/officeDocument/2006/relationships/image" Target="media/image19.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30.xml.rels><?xml version="1.0" encoding="UTF-8"?>
<Relationships xmlns="http://schemas.openxmlformats.org/package/2006/relationships"><Relationship Id="rId1" Type="http://schemas.openxmlformats.org/officeDocument/2006/relationships/image" Target="media/image20.png"/>
</Relationships>
</file>

<file path=word/_rels/header6.xml.rels><?xml version="1.0" encoding="UTF-8"?>
<Relationships xmlns="http://schemas.openxmlformats.org/package/2006/relationships"><Relationship Id="rId1" Type="http://schemas.openxmlformats.org/officeDocument/2006/relationships/image" Target="media/image7.png"/>
</Relationships>
</file>

<file path=word/_rels/header9.xml.rels><?xml version="1.0" encoding="UTF-8"?>
<Relationships xmlns="http://schemas.openxmlformats.org/package/2006/relationships"><Relationship Id="rId1" Type="http://schemas.openxmlformats.org/officeDocument/2006/relationships/image" Target="media/image10.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636363"/>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7"/>
                <c:pt idx="0">
                  <c:v>Reflexión estratégica</c:v>
                </c:pt>
                <c:pt idx="1">
                  <c:v>Liderazgo</c:v>
                </c:pt>
                <c:pt idx="2">
                  <c:v>Responsabilidad social empresarial</c:v>
                </c:pt>
                <c:pt idx="3">
                  <c:v>Enfoque al cliente</c:v>
                </c:pt>
                <c:pt idx="4">
                  <c:v>Capital humano</c:v>
                </c:pt>
                <c:pt idx="5">
                  <c:v>Procesos</c:v>
                </c:pt>
                <c:pt idx="6">
                  <c:v>Administración del conocimiento</c:v>
                </c:pt>
              </c:strCache>
            </c:strRef>
          </c:cat>
          <c:val>
            <c:numRef>
              <c:f>0</c:f>
              <c:numCache>
                <c:formatCode>General</c:formatCode>
                <c:ptCount val="7"/>
                <c:pt idx="0">
                  <c:v>0.02</c:v>
                </c:pt>
                <c:pt idx="1">
                  <c:v>0.08</c:v>
                </c:pt>
                <c:pt idx="2">
                  <c:v>0.16</c:v>
                </c:pt>
                <c:pt idx="3">
                  <c:v>0.98</c:v>
                </c:pt>
                <c:pt idx="4">
                  <c:v>0.4</c:v>
                </c:pt>
                <c:pt idx="5">
                  <c:v>0.18</c:v>
                </c:pt>
                <c:pt idx="6">
                  <c:v>0.02</c:v>
                </c:pt>
              </c:numCache>
            </c:numRef>
          </c:val>
        </c:ser>
        <c:gapWidth val="150"/>
        <c:overlap val="0"/>
        <c:axId val="66083084"/>
        <c:axId val="19851462"/>
      </c:barChart>
      <c:catAx>
        <c:axId val="66083084"/>
        <c:scaling>
          <c:orientation val="minMax"/>
        </c:scaling>
        <c:delete val="0"/>
        <c:axPos val="b"/>
        <c:numFmt formatCode="General" sourceLinked="0"/>
        <c:majorTickMark val="out"/>
        <c:minorTickMark val="none"/>
        <c:tickLblPos val="nextTo"/>
        <c:spPr>
          <a:ln w="15840">
            <a:solidFill>
              <a:srgbClr val="000000"/>
            </a:solidFill>
            <a:round/>
          </a:ln>
        </c:spPr>
        <c:txPr>
          <a:bodyPr/>
          <a:lstStyle/>
          <a:p>
            <a:pPr>
              <a:defRPr b="0" sz="800" spc="-1" strike="noStrike">
                <a:solidFill>
                  <a:srgbClr val="000000"/>
                </a:solidFill>
                <a:latin typeface="Calibri"/>
              </a:defRPr>
            </a:pPr>
          </a:p>
        </c:txPr>
        <c:crossAx val="19851462"/>
        <c:crosses val="autoZero"/>
        <c:auto val="1"/>
        <c:lblAlgn val="ctr"/>
        <c:lblOffset val="100"/>
        <c:noMultiLvlLbl val="0"/>
      </c:catAx>
      <c:valAx>
        <c:axId val="19851462"/>
        <c:scaling>
          <c:orientation val="minMax"/>
          <c:max val="1"/>
        </c:scaling>
        <c:delete val="0"/>
        <c:axPos val="l"/>
        <c:title>
          <c:tx>
            <c:rich>
              <a:bodyPr rot="-5400000"/>
              <a:lstStyle/>
              <a:p>
                <a:pPr>
                  <a:defRPr b="1" lang="en-US" sz="1000" spc="-1" strike="noStrike">
                    <a:solidFill>
                      <a:srgbClr val="000000"/>
                    </a:solidFill>
                    <a:latin typeface="Calibri"/>
                  </a:defRPr>
                </a:pPr>
                <a:r>
                  <a:rPr b="1" lang="en-US" sz="1000" spc="-1" strike="noStrike">
                    <a:solidFill>
                      <a:srgbClr val="000000"/>
                    </a:solidFill>
                    <a:latin typeface="Calibri"/>
                  </a:rPr>
                  <a:t>Porcentaje</a:t>
                </a:r>
              </a:p>
            </c:rich>
          </c:tx>
          <c:overlay val="0"/>
          <c:spPr>
            <a:noFill/>
            <a:ln w="0">
              <a:noFill/>
            </a:ln>
          </c:spPr>
        </c:title>
        <c:numFmt formatCode="0%" sourceLinked="0"/>
        <c:majorTickMark val="out"/>
        <c:minorTickMark val="none"/>
        <c:tickLblPos val="nextTo"/>
        <c:spPr>
          <a:ln w="15840">
            <a:solidFill>
              <a:srgbClr val="000000"/>
            </a:solidFill>
            <a:round/>
          </a:ln>
        </c:spPr>
        <c:txPr>
          <a:bodyPr/>
          <a:lstStyle/>
          <a:p>
            <a:pPr>
              <a:defRPr b="0" sz="1000" spc="-1" strike="noStrike">
                <a:latin typeface="Calibri"/>
              </a:defRPr>
            </a:pPr>
          </a:p>
        </c:txPr>
        <c:crossAx val="66083084"/>
        <c:crosses val="autoZero"/>
        <c:crossBetween val="between"/>
        <c:majorUnit val="0.2"/>
      </c:valAx>
      <c:spPr>
        <a:solidFill>
          <a:srgbClr val="ffffff"/>
        </a:solidFill>
        <a:ln w="0">
          <a:noFill/>
        </a:ln>
      </c:spPr>
    </c:plotArea>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636363"/>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1"/>
                <c:pt idx="0">
                  <c:v>Precio</c:v>
                </c:pt>
                <c:pt idx="1">
                  <c:v>Capacidades financieras</c:v>
                </c:pt>
                <c:pt idx="2">
                  <c:v>Recursos Tecnológicos</c:v>
                </c:pt>
                <c:pt idx="3">
                  <c:v>Innovación</c:v>
                </c:pt>
                <c:pt idx="4">
                  <c:v>Marketing</c:v>
                </c:pt>
                <c:pt idx="5">
                  <c:v>TIC (Tecnologías de la Información y la Comunicación)</c:v>
                </c:pt>
                <c:pt idx="6">
                  <c:v>Calidad del producto</c:v>
                </c:pt>
                <c:pt idx="7">
                  <c:v>Recursos Humanos</c:v>
                </c:pt>
                <c:pt idx="8">
                  <c:v>Planeación Estratégica</c:v>
                </c:pt>
                <c:pt idx="9">
                  <c:v>Capacidades directivas</c:v>
                </c:pt>
                <c:pt idx="10">
                  <c:v>Cooperación</c:v>
                </c:pt>
              </c:strCache>
            </c:strRef>
          </c:cat>
          <c:val>
            <c:numRef>
              <c:f>0</c:f>
              <c:numCache>
                <c:formatCode>General</c:formatCode>
                <c:ptCount val="11"/>
                <c:pt idx="0">
                  <c:v>0.72</c:v>
                </c:pt>
                <c:pt idx="1">
                  <c:v>0</c:v>
                </c:pt>
                <c:pt idx="2">
                  <c:v>0.02</c:v>
                </c:pt>
                <c:pt idx="3">
                  <c:v>0.18</c:v>
                </c:pt>
                <c:pt idx="4">
                  <c:v>0.04</c:v>
                </c:pt>
                <c:pt idx="5">
                  <c:v>0</c:v>
                </c:pt>
                <c:pt idx="6">
                  <c:v>0.88</c:v>
                </c:pt>
                <c:pt idx="7">
                  <c:v>0.02</c:v>
                </c:pt>
                <c:pt idx="8">
                  <c:v>0</c:v>
                </c:pt>
                <c:pt idx="9">
                  <c:v>0.02</c:v>
                </c:pt>
                <c:pt idx="10">
                  <c:v>0.04</c:v>
                </c:pt>
              </c:numCache>
            </c:numRef>
          </c:val>
        </c:ser>
        <c:gapWidth val="150"/>
        <c:overlap val="0"/>
        <c:axId val="36949922"/>
        <c:axId val="7632929"/>
      </c:barChart>
      <c:catAx>
        <c:axId val="36949922"/>
        <c:scaling>
          <c:orientation val="minMax"/>
        </c:scaling>
        <c:delete val="0"/>
        <c:axPos val="b"/>
        <c:numFmt formatCode="General" sourceLinked="0"/>
        <c:majorTickMark val="out"/>
        <c:minorTickMark val="none"/>
        <c:tickLblPos val="nextTo"/>
        <c:spPr>
          <a:ln w="15840">
            <a:solidFill>
              <a:srgbClr val="000000"/>
            </a:solidFill>
            <a:round/>
          </a:ln>
        </c:spPr>
        <c:txPr>
          <a:bodyPr rot="-5400000"/>
          <a:lstStyle/>
          <a:p>
            <a:pPr>
              <a:defRPr b="0" sz="800" spc="-1" strike="noStrike">
                <a:solidFill>
                  <a:srgbClr val="000000"/>
                </a:solidFill>
                <a:latin typeface="Arial"/>
              </a:defRPr>
            </a:pPr>
          </a:p>
        </c:txPr>
        <c:crossAx val="7632929"/>
        <c:crosses val="autoZero"/>
        <c:auto val="1"/>
        <c:lblAlgn val="ctr"/>
        <c:lblOffset val="100"/>
        <c:noMultiLvlLbl val="0"/>
      </c:catAx>
      <c:valAx>
        <c:axId val="7632929"/>
        <c:scaling>
          <c:orientation val="minMax"/>
        </c:scaling>
        <c:delete val="0"/>
        <c:axPos val="l"/>
        <c:title>
          <c:tx>
            <c:rich>
              <a:bodyPr rot="-5400000"/>
              <a:lstStyle/>
              <a:p>
                <a:pPr>
                  <a:defRPr b="1" lang="en-US" sz="1000" spc="-1" strike="noStrike">
                    <a:solidFill>
                      <a:srgbClr val="000000"/>
                    </a:solidFill>
                    <a:latin typeface="Calibri"/>
                  </a:defRPr>
                </a:pPr>
                <a:r>
                  <a:rPr b="1" lang="en-US" sz="1000" spc="-1" strike="noStrike">
                    <a:solidFill>
                      <a:srgbClr val="000000"/>
                    </a:solidFill>
                    <a:latin typeface="Calibri"/>
                  </a:rPr>
                  <a:t>Porcentaje</a:t>
                </a:r>
              </a:p>
            </c:rich>
          </c:tx>
          <c:overlay val="0"/>
          <c:spPr>
            <a:noFill/>
            <a:ln w="0">
              <a:noFill/>
            </a:ln>
          </c:spPr>
        </c:title>
        <c:numFmt formatCode="0%" sourceLinked="0"/>
        <c:majorTickMark val="out"/>
        <c:minorTickMark val="none"/>
        <c:tickLblPos val="nextTo"/>
        <c:spPr>
          <a:ln w="15840">
            <a:solidFill>
              <a:srgbClr val="000000"/>
            </a:solidFill>
            <a:round/>
          </a:ln>
        </c:spPr>
        <c:txPr>
          <a:bodyPr/>
          <a:lstStyle/>
          <a:p>
            <a:pPr>
              <a:defRPr b="0" sz="1000" spc="-1" strike="noStrike">
                <a:solidFill>
                  <a:srgbClr val="000000"/>
                </a:solidFill>
                <a:latin typeface="Calibri"/>
              </a:defRPr>
            </a:pPr>
          </a:p>
        </c:txPr>
        <c:crossAx val="36949922"/>
        <c:crosses val="autoZero"/>
        <c:crossBetween val="between"/>
        <c:majorUnit val="0.2"/>
      </c:valAx>
      <c:spPr>
        <a:noFill/>
        <a:ln w="25560">
          <a:noFill/>
        </a:ln>
      </c:spPr>
    </c:plotArea>
    <c:plotVisOnly val="1"/>
    <c:dispBlanksAs val="gap"/>
  </c:chart>
  <c:spPr>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636363"/>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Por la competencia que tienes alrededor</c:v>
                </c:pt>
                <c:pt idx="1">
                  <c:v>Falta de personal para generar producción</c:v>
                </c:pt>
                <c:pt idx="2">
                  <c:v>Poca publicidad para dar a conocer tus productos/servicios</c:v>
                </c:pt>
                <c:pt idx="3">
                  <c:v>Falta de recursos financieros</c:v>
                </c:pt>
              </c:strCache>
            </c:strRef>
          </c:cat>
          <c:val>
            <c:numRef>
              <c:f>0</c:f>
              <c:numCache>
                <c:formatCode>General</c:formatCode>
                <c:ptCount val="4"/>
                <c:pt idx="0">
                  <c:v>0.6</c:v>
                </c:pt>
                <c:pt idx="1">
                  <c:v>0.3</c:v>
                </c:pt>
                <c:pt idx="2">
                  <c:v>0.26</c:v>
                </c:pt>
                <c:pt idx="3">
                  <c:v>0.4</c:v>
                </c:pt>
              </c:numCache>
            </c:numRef>
          </c:val>
        </c:ser>
        <c:gapWidth val="150"/>
        <c:overlap val="0"/>
        <c:axId val="58974676"/>
        <c:axId val="31991771"/>
      </c:barChart>
      <c:catAx>
        <c:axId val="58974676"/>
        <c:scaling>
          <c:orientation val="minMax"/>
        </c:scaling>
        <c:delete val="0"/>
        <c:axPos val="b"/>
        <c:numFmt formatCode="General" sourceLinked="0"/>
        <c:majorTickMark val="out"/>
        <c:minorTickMark val="none"/>
        <c:tickLblPos val="nextTo"/>
        <c:spPr>
          <a:ln w="15840">
            <a:solidFill>
              <a:srgbClr val="000000"/>
            </a:solidFill>
            <a:round/>
          </a:ln>
        </c:spPr>
        <c:txPr>
          <a:bodyPr/>
          <a:lstStyle/>
          <a:p>
            <a:pPr>
              <a:defRPr b="0" sz="800" spc="-1" strike="noStrike">
                <a:solidFill>
                  <a:srgbClr val="000000"/>
                </a:solidFill>
                <a:latin typeface="Arial"/>
              </a:defRPr>
            </a:pPr>
          </a:p>
        </c:txPr>
        <c:crossAx val="31991771"/>
        <c:crosses val="autoZero"/>
        <c:auto val="1"/>
        <c:lblAlgn val="ctr"/>
        <c:lblOffset val="100"/>
        <c:noMultiLvlLbl val="0"/>
      </c:catAx>
      <c:valAx>
        <c:axId val="31991771"/>
        <c:scaling>
          <c:orientation val="minMax"/>
          <c:max val="1"/>
        </c:scaling>
        <c:delete val="0"/>
        <c:axPos val="l"/>
        <c:title>
          <c:tx>
            <c:rich>
              <a:bodyPr rot="-5400000"/>
              <a:lstStyle/>
              <a:p>
                <a:pPr>
                  <a:defRPr b="1" lang="en-US" sz="1000" spc="-1" strike="noStrike">
                    <a:solidFill>
                      <a:srgbClr val="000000"/>
                    </a:solidFill>
                    <a:latin typeface="Calibri"/>
                  </a:defRPr>
                </a:pPr>
                <a:r>
                  <a:rPr b="1" lang="en-US" sz="1000" spc="-1" strike="noStrike">
                    <a:solidFill>
                      <a:srgbClr val="000000"/>
                    </a:solidFill>
                    <a:latin typeface="Calibri"/>
                  </a:rPr>
                  <a:t>Porcentaje</a:t>
                </a:r>
              </a:p>
            </c:rich>
          </c:tx>
          <c:overlay val="0"/>
          <c:spPr>
            <a:noFill/>
            <a:ln w="0">
              <a:noFill/>
            </a:ln>
          </c:spPr>
        </c:title>
        <c:numFmt formatCode="0%" sourceLinked="0"/>
        <c:majorTickMark val="out"/>
        <c:minorTickMark val="none"/>
        <c:tickLblPos val="nextTo"/>
        <c:spPr>
          <a:ln w="15840">
            <a:solidFill>
              <a:srgbClr val="000000"/>
            </a:solidFill>
            <a:round/>
          </a:ln>
        </c:spPr>
        <c:txPr>
          <a:bodyPr/>
          <a:lstStyle/>
          <a:p>
            <a:pPr>
              <a:defRPr b="0" sz="1000" spc="-1" strike="noStrike">
                <a:solidFill>
                  <a:srgbClr val="000000"/>
                </a:solidFill>
                <a:latin typeface="Calibri"/>
              </a:defRPr>
            </a:pPr>
          </a:p>
        </c:txPr>
        <c:crossAx val="58974676"/>
        <c:crosses val="autoZero"/>
        <c:crossBetween val="between"/>
        <c:majorUnit val="0.2"/>
      </c:valAx>
      <c:spPr>
        <a:noFill/>
        <a:ln w="25560">
          <a:noFill/>
        </a:ln>
      </c:spPr>
    </c:plotArea>
    <c:plotVisOnly val="1"/>
    <c:dispBlanksAs val="gap"/>
  </c:chart>
  <c:spPr>
    <a:no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1775"/>
          <c:y val="0.0438888888888889"/>
          <c:w val="0.8573125"/>
          <c:h val="0.658333333333333"/>
        </c:manualLayout>
      </c:layout>
      <c:barChart>
        <c:barDir val="col"/>
        <c:grouping val="clustered"/>
        <c:varyColors val="0"/>
        <c:ser>
          <c:idx val="0"/>
          <c:order val="0"/>
          <c:tx>
            <c:strRef>
              <c:f>label 0</c:f>
              <c:strCache>
                <c:ptCount val="1"/>
                <c:pt idx="0">
                  <c:v>Serie1</c:v>
                </c:pt>
              </c:strCache>
            </c:strRef>
          </c:tx>
          <c:spPr>
            <a:solidFill>
              <a:srgbClr val="636363"/>
            </a:solidFill>
            <a:ln w="0">
              <a:noFill/>
            </a:ln>
          </c:spPr>
          <c:invertIfNegative val="0"/>
          <c:dLbls>
            <c:txPr>
              <a:bodyPr wrap="none"/>
              <a:lstStyle/>
              <a:p>
                <a:pPr>
                  <a:defRPr b="0" sz="800" spc="-1" strike="noStrike">
                    <a:latin typeface="Arial"/>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1"/>
                <c:pt idx="0">
                  <c:v>Logística</c:v>
                </c:pt>
                <c:pt idx="1">
                  <c:v>Almacén</c:v>
                </c:pt>
                <c:pt idx="2">
                  <c:v>Producción</c:v>
                </c:pt>
                <c:pt idx="3">
                  <c:v>Calidad</c:v>
                </c:pt>
                <c:pt idx="4">
                  <c:v>Finanzas</c:v>
                </c:pt>
                <c:pt idx="5">
                  <c:v>Ventas</c:v>
                </c:pt>
                <c:pt idx="6">
                  <c:v>Mercadotecnia</c:v>
                </c:pt>
                <c:pt idx="7">
                  <c:v>Recursos Humanos</c:v>
                </c:pt>
                <c:pt idx="8">
                  <c:v>Compras</c:v>
                </c:pt>
                <c:pt idx="9">
                  <c:v>Servicio al cliente</c:v>
                </c:pt>
                <c:pt idx="10">
                  <c:v>Seguridad Industrial</c:v>
                </c:pt>
              </c:strCache>
            </c:strRef>
          </c:cat>
          <c:val>
            <c:numRef>
              <c:f>0</c:f>
              <c:numCache>
                <c:formatCode>General</c:formatCode>
                <c:ptCount val="11"/>
                <c:pt idx="0">
                  <c:v>0.08</c:v>
                </c:pt>
                <c:pt idx="1">
                  <c:v>0.3</c:v>
                </c:pt>
                <c:pt idx="2">
                  <c:v>0.86</c:v>
                </c:pt>
                <c:pt idx="3">
                  <c:v>0.28</c:v>
                </c:pt>
                <c:pt idx="4">
                  <c:v>0.22</c:v>
                </c:pt>
                <c:pt idx="5">
                  <c:v>0.22</c:v>
                </c:pt>
                <c:pt idx="6">
                  <c:v>0.12</c:v>
                </c:pt>
                <c:pt idx="7">
                  <c:v>0.04</c:v>
                </c:pt>
                <c:pt idx="8">
                  <c:v>0.14</c:v>
                </c:pt>
                <c:pt idx="9">
                  <c:v>0.08</c:v>
                </c:pt>
                <c:pt idx="10">
                  <c:v>0.08</c:v>
                </c:pt>
              </c:numCache>
            </c:numRef>
          </c:val>
        </c:ser>
        <c:gapWidth val="150"/>
        <c:overlap val="0"/>
        <c:axId val="17799736"/>
        <c:axId val="52587737"/>
      </c:barChart>
      <c:catAx>
        <c:axId val="17799736"/>
        <c:scaling>
          <c:orientation val="minMax"/>
        </c:scaling>
        <c:delete val="0"/>
        <c:axPos val="b"/>
        <c:numFmt formatCode="General" sourceLinked="0"/>
        <c:majorTickMark val="out"/>
        <c:minorTickMark val="none"/>
        <c:tickLblPos val="nextTo"/>
        <c:spPr>
          <a:ln w="15840">
            <a:solidFill>
              <a:srgbClr val="000000"/>
            </a:solidFill>
            <a:round/>
          </a:ln>
        </c:spPr>
        <c:txPr>
          <a:bodyPr rot="-5400000"/>
          <a:lstStyle/>
          <a:p>
            <a:pPr>
              <a:defRPr b="0" sz="800" spc="-1" strike="noStrike">
                <a:latin typeface="Arial"/>
              </a:defRPr>
            </a:pPr>
          </a:p>
        </c:txPr>
        <c:crossAx val="52587737"/>
        <c:crosses val="autoZero"/>
        <c:auto val="1"/>
        <c:lblAlgn val="ctr"/>
        <c:lblOffset val="100"/>
        <c:noMultiLvlLbl val="0"/>
      </c:catAx>
      <c:valAx>
        <c:axId val="52587737"/>
        <c:scaling>
          <c:orientation val="minMax"/>
        </c:scaling>
        <c:delete val="0"/>
        <c:axPos val="l"/>
        <c:title>
          <c:tx>
            <c:rich>
              <a:bodyPr rot="-5400000"/>
              <a:lstStyle/>
              <a:p>
                <a:pPr>
                  <a:defRPr b="1" lang="en-US" sz="800" spc="-1" strike="noStrike">
                    <a:latin typeface="Arial"/>
                  </a:defRPr>
                </a:pPr>
                <a:r>
                  <a:rPr b="1" lang="en-US" sz="800" spc="-1" strike="noStrike">
                    <a:latin typeface="Arial"/>
                  </a:rPr>
                  <a:t>Porcentaje</a:t>
                </a:r>
              </a:p>
            </c:rich>
          </c:tx>
          <c:overlay val="0"/>
          <c:spPr>
            <a:noFill/>
            <a:ln w="0">
              <a:noFill/>
            </a:ln>
          </c:spPr>
        </c:title>
        <c:numFmt formatCode="0%" sourceLinked="0"/>
        <c:majorTickMark val="out"/>
        <c:minorTickMark val="none"/>
        <c:tickLblPos val="nextTo"/>
        <c:spPr>
          <a:ln w="15840">
            <a:solidFill>
              <a:srgbClr val="000000"/>
            </a:solidFill>
            <a:round/>
          </a:ln>
        </c:spPr>
        <c:txPr>
          <a:bodyPr/>
          <a:lstStyle/>
          <a:p>
            <a:pPr>
              <a:defRPr b="0" sz="800" spc="-1" strike="noStrike">
                <a:latin typeface="Arial"/>
              </a:defRPr>
            </a:pPr>
          </a:p>
        </c:txPr>
        <c:crossAx val="17799736"/>
        <c:crosses val="autoZero"/>
        <c:crossBetween val="between"/>
        <c:majorUnit val="0.2"/>
      </c:valAx>
      <c:spPr>
        <a:noFill/>
        <a:ln w="25560">
          <a:noFill/>
        </a:ln>
      </c:spPr>
    </c:plotArea>
    <c:plotVisOnly val="1"/>
    <c:dispBlanksAs val="gap"/>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636363"/>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2"/>
                <c:pt idx="0">
                  <c:v>Cambios en el proceso productivo</c:v>
                </c:pt>
                <c:pt idx="1">
                  <c:v>Inversiones de capital en nuevos equipos</c:v>
                </c:pt>
                <c:pt idx="2">
                  <c:v>Utilización de recursos</c:v>
                </c:pt>
                <c:pt idx="3">
                  <c:v>Necesidades de almacenamiento</c:v>
                </c:pt>
                <c:pt idx="4">
                  <c:v>Cuellos de botella</c:v>
                </c:pt>
                <c:pt idx="5">
                  <c:v>Necesidades del personal</c:v>
                </c:pt>
                <c:pt idx="6">
                  <c:v>Eficacia de los sistemas de programación y control</c:v>
                </c:pt>
                <c:pt idx="7">
                  <c:v>Introducción de nuevos productos</c:v>
                </c:pt>
                <c:pt idx="8">
                  <c:v>Logística de producción y flujo de materiales</c:v>
                </c:pt>
                <c:pt idx="9">
                  <c:v>Gestión de los niveles de inventario</c:v>
                </c:pt>
                <c:pt idx="10">
                  <c:v>Mejora de la calidad de fabricación</c:v>
                </c:pt>
                <c:pt idx="11">
                  <c:v>Mercadotecnia</c:v>
                </c:pt>
              </c:strCache>
            </c:strRef>
          </c:cat>
          <c:val>
            <c:numRef>
              <c:f>0</c:f>
              <c:numCache>
                <c:formatCode>General</c:formatCode>
                <c:ptCount val="12"/>
                <c:pt idx="0">
                  <c:v>0.36</c:v>
                </c:pt>
                <c:pt idx="1">
                  <c:v>0.36</c:v>
                </c:pt>
                <c:pt idx="2">
                  <c:v>0.54</c:v>
                </c:pt>
                <c:pt idx="3">
                  <c:v>0.1</c:v>
                </c:pt>
                <c:pt idx="4">
                  <c:v>0.06</c:v>
                </c:pt>
                <c:pt idx="5">
                  <c:v>0.14</c:v>
                </c:pt>
                <c:pt idx="6">
                  <c:v>0.04</c:v>
                </c:pt>
                <c:pt idx="7">
                  <c:v>0.12</c:v>
                </c:pt>
                <c:pt idx="8">
                  <c:v>0.2</c:v>
                </c:pt>
                <c:pt idx="9">
                  <c:v>0.02</c:v>
                </c:pt>
                <c:pt idx="10">
                  <c:v>0.12</c:v>
                </c:pt>
                <c:pt idx="11">
                  <c:v>0.02</c:v>
                </c:pt>
              </c:numCache>
            </c:numRef>
          </c:val>
        </c:ser>
        <c:gapWidth val="150"/>
        <c:overlap val="0"/>
        <c:axId val="98778638"/>
        <c:axId val="67148671"/>
      </c:barChart>
      <c:catAx>
        <c:axId val="98778638"/>
        <c:scaling>
          <c:orientation val="minMax"/>
        </c:scaling>
        <c:delete val="0"/>
        <c:axPos val="b"/>
        <c:numFmt formatCode="General" sourceLinked="0"/>
        <c:majorTickMark val="out"/>
        <c:minorTickMark val="none"/>
        <c:tickLblPos val="nextTo"/>
        <c:spPr>
          <a:ln w="15840">
            <a:solidFill>
              <a:srgbClr val="8b8b8b"/>
            </a:solidFill>
            <a:round/>
          </a:ln>
        </c:spPr>
        <c:txPr>
          <a:bodyPr rot="-5400000"/>
          <a:lstStyle/>
          <a:p>
            <a:pPr>
              <a:defRPr b="0" sz="800" spc="-1" strike="noStrike">
                <a:solidFill>
                  <a:srgbClr val="000000"/>
                </a:solidFill>
                <a:latin typeface="Arial"/>
              </a:defRPr>
            </a:pPr>
          </a:p>
        </c:txPr>
        <c:crossAx val="67148671"/>
        <c:crosses val="autoZero"/>
        <c:auto val="1"/>
        <c:lblAlgn val="ctr"/>
        <c:lblOffset val="100"/>
        <c:noMultiLvlLbl val="0"/>
      </c:catAx>
      <c:valAx>
        <c:axId val="67148671"/>
        <c:scaling>
          <c:orientation val="minMax"/>
          <c:max val="1"/>
        </c:scaling>
        <c:delete val="0"/>
        <c:axPos val="l"/>
        <c:title>
          <c:tx>
            <c:rich>
              <a:bodyPr rot="-5400000"/>
              <a:lstStyle/>
              <a:p>
                <a:pPr>
                  <a:defRPr b="1" lang="en-US" sz="1000" spc="-1" strike="noStrike">
                    <a:solidFill>
                      <a:srgbClr val="000000"/>
                    </a:solidFill>
                    <a:latin typeface="Calibri"/>
                  </a:defRPr>
                </a:pPr>
                <a:r>
                  <a:rPr b="1" lang="en-US" sz="1000" spc="-1" strike="noStrike">
                    <a:solidFill>
                      <a:srgbClr val="000000"/>
                    </a:solidFill>
                    <a:latin typeface="Calibri"/>
                  </a:rPr>
                  <a:t>Porcentaje</a:t>
                </a:r>
              </a:p>
            </c:rich>
          </c:tx>
          <c:overlay val="0"/>
          <c:spPr>
            <a:noFill/>
            <a:ln w="0">
              <a:noFill/>
            </a:ln>
          </c:spPr>
        </c:title>
        <c:numFmt formatCode="0%" sourceLinked="0"/>
        <c:majorTickMark val="out"/>
        <c:minorTickMark val="none"/>
        <c:tickLblPos val="nextTo"/>
        <c:spPr>
          <a:ln w="15840">
            <a:solidFill>
              <a:srgbClr val="000000"/>
            </a:solidFill>
            <a:round/>
          </a:ln>
        </c:spPr>
        <c:txPr>
          <a:bodyPr/>
          <a:lstStyle/>
          <a:p>
            <a:pPr>
              <a:defRPr b="0" sz="1000" spc="-1" strike="noStrike">
                <a:solidFill>
                  <a:srgbClr val="000000"/>
                </a:solidFill>
                <a:latin typeface="Calibri"/>
              </a:defRPr>
            </a:pPr>
          </a:p>
        </c:txPr>
        <c:crossAx val="98778638"/>
        <c:crosses val="autoZero"/>
        <c:crossBetween val="between"/>
        <c:majorUnit val="0.2"/>
      </c:valAx>
      <c:spPr>
        <a:noFill/>
        <a:ln w="0">
          <a:noFill/>
        </a:ln>
      </c:spPr>
    </c:plotArea>
    <c:plotVisOnly val="1"/>
    <c:dispBlanksAs val="gap"/>
  </c:chart>
  <c:spPr>
    <a:solidFill>
      <a:srgbClr val="ffffff"/>
    </a:solidFill>
    <a:ln w="9360">
      <a:noFill/>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67202-8038-4B1B-BD4E-6EE9835A9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Application>LibreOffice/7.0.4.2$Linux_X86_64 LibreOffice_project/00$Build-2</Application>
  <AppVersion>15.0000</AppVersion>
  <Pages>16</Pages>
  <Words>5437</Words>
  <Characters>29301</Characters>
  <CharactersWithSpaces>34590</CharactersWithSpaces>
  <Paragraphs>134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2023-11-02T11:31:00Z</dcterms:created>
  <dc:creator>REVISOR</dc:creator>
  <dc:description/>
  <dc:language>es-MX</dc:language>
  <cp:lastModifiedBy/>
  <dcterms:modified xsi:type="dcterms:W3CDTF">2024-01-05T14:35:10Z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