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6.xml.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_rels/header9.xml.rels" ContentType="application/vnd.openxmlformats-package.relationships+xml"/>
  <Override PartName="/word/_rels/header12.xml.rels" ContentType="application/vnd.openxmlformats-package.relationships+xml"/>
  <Override PartName="/word/footer12.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1.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10.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sz w:val="44"/>
          <w:szCs w:val="44"/>
        </w:rPr>
      </w:pPr>
      <w:r>
        <w:rPr>
          <w:rFonts w:cs="Times New Roman" w:ascii="Times New Roman" w:hAnsi="Times New Roman"/>
          <w:b w:val="false"/>
          <w:bCs w:val="false"/>
          <w:sz w:val="44"/>
          <w:szCs w:val="44"/>
        </w:rPr>
        <w:t>Interculturalidad en las aulas en educación superior</w:t>
      </w:r>
    </w:p>
    <w:p>
      <w:pPr>
        <w:pStyle w:val="Normal"/>
        <w:spacing w:lineRule="auto" w:line="240" w:before="0" w:after="0"/>
        <w:ind w:left="0" w:right="0" w:hanging="0"/>
        <w:jc w:val="center"/>
        <w:rPr>
          <w:rFonts w:cs="Times New Roman"/>
          <w:lang w:val="en-US"/>
        </w:rPr>
      </w:pPr>
      <w:r>
        <w:rPr>
          <w:rFonts w:ascii="Times New Roman" w:hAnsi="Times New Roman"/>
          <w:b w:val="false"/>
          <w:bCs w:val="false"/>
          <w:sz w:val="20"/>
          <w:szCs w:val="20"/>
        </w:rPr>
      </w:r>
    </w:p>
    <w:p>
      <w:pPr>
        <w:pStyle w:val="Normal"/>
        <w:spacing w:lineRule="auto" w:line="240" w:before="0" w:after="0"/>
        <w:ind w:left="0" w:right="0" w:hanging="0"/>
        <w:jc w:val="center"/>
        <w:rPr>
          <w:rFonts w:ascii="Times New Roman" w:hAnsi="Times New Roman"/>
          <w:b w:val="false"/>
          <w:b w:val="false"/>
          <w:bCs w:val="false"/>
          <w:sz w:val="36"/>
          <w:szCs w:val="36"/>
        </w:rPr>
      </w:pPr>
      <w:r>
        <w:rPr>
          <w:rFonts w:cs="Times New Roman" w:ascii="Times New Roman" w:hAnsi="Times New Roman"/>
          <w:b w:val="false"/>
          <w:bCs w:val="false"/>
          <w:sz w:val="36"/>
          <w:szCs w:val="36"/>
          <w:lang w:val="en-US"/>
        </w:rPr>
        <w:t>Interculturality in the classroom in higher education</w:t>
      </w:r>
    </w:p>
    <w:p>
      <w:pPr>
        <w:pStyle w:val="Normal"/>
        <w:spacing w:lineRule="auto" w:line="240" w:before="0" w:after="0"/>
        <w:ind w:left="0" w:right="0" w:hanging="0"/>
        <w:jc w:val="center"/>
        <w:rPr>
          <w:rFonts w:cs="Times New Roman"/>
          <w:lang w:val="en-US"/>
        </w:rPr>
      </w:pPr>
      <w:r>
        <w:rPr>
          <w:rFonts w:ascii="Times New Roman" w:hAnsi="Times New Roman"/>
          <w:b w:val="false"/>
          <w:bCs w:val="false"/>
          <w:sz w:val="20"/>
          <w:szCs w:val="20"/>
        </w:rPr>
      </w:r>
    </w:p>
    <w:p>
      <w:pPr>
        <w:pStyle w:val="Normal"/>
        <w:spacing w:lineRule="auto" w:line="240" w:before="0" w:after="0"/>
        <w:ind w:left="0" w:right="0" w:hanging="0"/>
        <w:jc w:val="center"/>
        <w:rPr>
          <w:rFonts w:ascii="Times New Roman" w:hAnsi="Times New Roman"/>
          <w:b w:val="false"/>
          <w:b w:val="false"/>
          <w:bCs w:val="false"/>
          <w:sz w:val="24"/>
          <w:szCs w:val="24"/>
        </w:rPr>
      </w:pPr>
      <w:r>
        <w:rPr>
          <w:rFonts w:cs="Times New Roman" w:ascii="Times New Roman" w:hAnsi="Times New Roman"/>
          <w:b w:val="false"/>
          <w:bCs w:val="false"/>
          <w:sz w:val="24"/>
          <w:szCs w:val="24"/>
          <w:lang w:val="en-US"/>
        </w:rPr>
        <w:t>Delta María Sosa Cordero</w:t>
      </w:r>
      <w:r>
        <w:rPr>
          <w:rFonts w:cs="Times New Roman" w:ascii="Times New Roman" w:hAnsi="Times New Roman"/>
          <w:b w:val="false"/>
          <w:bCs w:val="false"/>
          <w:sz w:val="24"/>
          <w:szCs w:val="24"/>
          <w:vertAlign w:val="superscript"/>
          <w:lang w:val="en-US"/>
        </w:rPr>
        <w:t>1*</w:t>
      </w:r>
    </w:p>
    <w:p>
      <w:pPr>
        <w:pStyle w:val="Normal"/>
        <w:spacing w:lineRule="auto" w:line="240" w:before="0" w:after="0"/>
        <w:ind w:left="0" w:right="0" w:hanging="0"/>
        <w:jc w:val="center"/>
        <w:rPr>
          <w:rFonts w:cs="Times New Roman"/>
          <w:lang w:val="en-US"/>
        </w:rPr>
      </w:pPr>
      <w:r>
        <w:rPr>
          <w:rFonts w:ascii="Times New Roman" w:hAnsi="Times New Roman"/>
          <w:b w:val="false"/>
          <w:bCs w:val="false"/>
          <w:sz w:val="20"/>
          <w:szCs w:val="20"/>
        </w:rPr>
      </w:r>
    </w:p>
    <w:p>
      <w:pPr>
        <w:pStyle w:val="Normal"/>
        <w:widowControl w:val="false"/>
        <w:spacing w:lineRule="auto" w:line="240" w:before="0" w:after="0"/>
        <w:ind w:left="0" w:right="0" w:hanging="0"/>
        <w:jc w:val="center"/>
        <w:rPr/>
      </w:pPr>
      <w:r>
        <w:rPr>
          <w:rFonts w:eastAsia="Times New Roman" w:cs="Times New Roman" w:ascii="Times New Roman" w:hAnsi="Times New Roman"/>
          <w:i/>
          <w:iCs/>
          <w:color w:val="auto"/>
          <w:sz w:val="24"/>
          <w:szCs w:val="24"/>
          <w:vertAlign w:val="superscript"/>
        </w:rPr>
        <w:t xml:space="preserve"> </w:t>
      </w:r>
      <w:r>
        <w:rPr>
          <w:rFonts w:eastAsia="Times New Roman" w:cs="Times New Roman" w:ascii="Times New Roman" w:hAnsi="Times New Roman"/>
          <w:i/>
          <w:iCs/>
          <w:color w:val="auto"/>
          <w:sz w:val="24"/>
          <w:szCs w:val="24"/>
          <w:vertAlign w:val="superscript"/>
        </w:rPr>
        <w:t>1</w:t>
      </w:r>
      <w:r>
        <w:rPr>
          <w:rFonts w:eastAsia="Times New Roman" w:cs="Times New Roman" w:ascii="Times New Roman" w:hAnsi="Times New Roman"/>
          <w:i/>
          <w:iCs/>
          <w:color w:val="auto"/>
          <w:sz w:val="24"/>
          <w:szCs w:val="24"/>
        </w:rPr>
        <w:t xml:space="preserve">Universidad Autónoma de Yucatán, Facultad de Ingeniería Química, Periférico Norte, Kilómetro 33.5 Tablaje Catastral 13615, Chuburná de Hidalgo Inn, CP 97203, </w:t>
      </w:r>
    </w:p>
    <w:p>
      <w:pPr>
        <w:pStyle w:val="Normal"/>
        <w:widowControl w:val="false"/>
        <w:spacing w:lineRule="auto" w:line="240" w:before="0" w:after="0"/>
        <w:ind w:left="0" w:right="0" w:hanging="0"/>
        <w:jc w:val="center"/>
        <w:rPr/>
      </w:pPr>
      <w:r>
        <w:rPr>
          <w:rFonts w:eastAsia="Times New Roman" w:cs="Times New Roman" w:ascii="Times New Roman" w:hAnsi="Times New Roman"/>
          <w:b w:val="false"/>
          <w:bCs w:val="false"/>
          <w:i/>
          <w:iCs/>
          <w:color w:val="auto"/>
          <w:sz w:val="24"/>
          <w:szCs w:val="24"/>
          <w:lang w:val="en-US"/>
        </w:rPr>
        <w:t>Mérida, Yucatán, México.</w:t>
      </w:r>
    </w:p>
    <w:p>
      <w:pPr>
        <w:pStyle w:val="Normal"/>
        <w:spacing w:lineRule="auto" w:line="240" w:before="0" w:after="0"/>
        <w:ind w:left="0" w:right="0" w:hanging="0"/>
        <w:jc w:val="center"/>
        <w:rPr>
          <w:rFonts w:cs="Times New Roman"/>
          <w:lang w:val="en-US"/>
        </w:rPr>
      </w:pPr>
      <w:r>
        <w:rPr>
          <w:rFonts w:ascii="Times New Roman" w:hAnsi="Times New Roman"/>
          <w:b w:val="false"/>
          <w:bCs w:val="false"/>
          <w:sz w:val="20"/>
          <w:szCs w:val="20"/>
        </w:rPr>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Calibri" w:ascii="Times New Roman" w:hAnsi="Times New Roman"/>
          <w:b w:val="false"/>
          <w:bCs w:val="false"/>
          <w:i/>
          <w:iCs/>
          <w:color w:val="auto"/>
          <w:sz w:val="20"/>
          <w:szCs w:val="20"/>
          <w:lang w:val="es-ES"/>
        </w:rPr>
        <w:t>*Corresponding author:</w:t>
      </w:r>
    </w:p>
    <w:p>
      <w:pPr>
        <w:pStyle w:val="Normal"/>
        <w:spacing w:lineRule="auto" w:line="240" w:before="0" w:after="0"/>
        <w:ind w:left="0" w:right="0" w:hanging="0"/>
        <w:jc w:val="center"/>
        <w:rPr>
          <w:rFonts w:ascii="Times New Roman" w:hAnsi="Times New Roman"/>
          <w:b w:val="false"/>
          <w:b w:val="false"/>
          <w:bCs w:val="false"/>
          <w:sz w:val="20"/>
          <w:szCs w:val="20"/>
        </w:rPr>
      </w:pPr>
      <w:r>
        <w:rPr>
          <w:rStyle w:val="EnlacedeInternet"/>
          <w:rFonts w:eastAsia="Calibri" w:cs="Times New Roman" w:ascii="Times New Roman" w:hAnsi="Times New Roman"/>
          <w:b w:val="false"/>
          <w:bCs w:val="false"/>
          <w:i/>
          <w:iCs/>
          <w:color w:val="000000"/>
          <w:sz w:val="20"/>
          <w:szCs w:val="20"/>
          <w:u w:val="none"/>
          <w:lang w:val="es-ES"/>
        </w:rPr>
        <w:t>scordero@correo.uady.mx</w:t>
      </w:r>
    </w:p>
    <w:p>
      <w:pPr>
        <w:pStyle w:val="Normal"/>
        <w:pBdr/>
        <w:spacing w:lineRule="auto" w:line="240" w:before="0" w:after="0"/>
        <w:ind w:left="0" w:right="0" w:hanging="0"/>
        <w:jc w:val="both"/>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44" w:footer="1417" w:bottom="1757"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b/>
          <w:b/>
          <w:bCs/>
          <w:sz w:val="20"/>
          <w:szCs w:val="20"/>
        </w:rPr>
      </w:pPr>
      <w:r>
        <w:rPr>
          <w:rFonts w:cs="Times New Roman" w:ascii="Times New Roman" w:hAnsi="Times New Roman"/>
          <w:b/>
          <w:bCs/>
          <w:sz w:val="20"/>
          <w:szCs w:val="20"/>
        </w:rPr>
        <w:t xml:space="preserve">Resumen. </w:t>
      </w:r>
      <w:r>
        <w:rPr>
          <w:rFonts w:cs="Times New Roman" w:ascii="Times New Roman" w:hAnsi="Times New Roman"/>
          <w:b/>
          <w:bCs/>
          <w:color w:val="000000"/>
          <w:sz w:val="20"/>
          <w:szCs w:val="20"/>
        </w:rPr>
        <w:t xml:space="preserve">Se presenta un estudio descriptivo, para conocer la opinión de los estudiantes </w:t>
      </w:r>
      <w:r>
        <w:rPr>
          <w:rFonts w:cs="Times New Roman" w:ascii="Times New Roman" w:hAnsi="Times New Roman"/>
          <w:b/>
          <w:bCs/>
          <w:sz w:val="20"/>
          <w:szCs w:val="20"/>
        </w:rPr>
        <w:t>de Facultad de Ingeniería Química (FIQ)</w:t>
      </w:r>
      <w:r>
        <w:rPr>
          <w:rFonts w:cs="Times New Roman" w:ascii="Times New Roman" w:hAnsi="Times New Roman"/>
          <w:b/>
          <w:bCs/>
          <w:color w:val="000000"/>
          <w:sz w:val="20"/>
          <w:szCs w:val="20"/>
        </w:rPr>
        <w:t xml:space="preserve"> inscritos al tercer semestre, en el período académico agosto diciembre de 2022, con respecto a la interculturalidad en el aula. Se selecciona una muestra aleatoria y se aplica una breve encuesta para conocer el lugar de origen de cada uno de ellos y las experiencias que han tenido con la gastronomía, las tradiciones, costumbres y las manifestaciones artísticas diferentes a la propia. También, se explora acerca de la intención de realizar intercambios nacionales o internacionales en el futuro, incluyendo el interés en el aprendizaje de otros idiomas. Entre los principales resultados se encontró que en general, la población de estudio conoce qué es la interculturalidad y han tenido buenas experiencias con la cultura y costumbres de la gente yucateca. </w:t>
      </w:r>
      <w:r>
        <w:rPr>
          <w:rFonts w:cs="Times New Roman" w:ascii="Times New Roman" w:hAnsi="Times New Roman"/>
          <w:b/>
          <w:bCs/>
          <w:sz w:val="20"/>
          <w:szCs w:val="20"/>
        </w:rPr>
        <w:t xml:space="preserve">La utilidad de los resultados obtenidos en el presente trabajo es principalmente en el ámbito de la formación integral de los estudiantes, permite propiciar la comprensión y entendimiento del </w:t>
      </w:r>
    </w:p>
    <w:p>
      <w:pPr>
        <w:pStyle w:val="Normal"/>
        <w:spacing w:lineRule="auto" w:line="240" w:before="0" w:after="0"/>
        <w:ind w:left="0" w:right="0" w:hanging="0"/>
        <w:jc w:val="both"/>
        <w:rPr>
          <w:rFonts w:ascii="Times New Roman" w:hAnsi="Times New Roman"/>
          <w:b/>
          <w:b/>
          <w:bCs/>
          <w:sz w:val="20"/>
          <w:szCs w:val="20"/>
        </w:rPr>
      </w:pPr>
      <w:r>
        <w:rPr>
          <w:rFonts w:cs="Times New Roman" w:ascii="Times New Roman" w:hAnsi="Times New Roman"/>
          <w:b/>
          <w:bCs/>
          <w:sz w:val="20"/>
          <w:szCs w:val="20"/>
        </w:rPr>
        <w:t>mundo actual y también la reafirmación y enriquecimiento de los valores propios.</w:t>
      </w:r>
    </w:p>
    <w:p>
      <w:pPr>
        <w:pStyle w:val="Normal"/>
        <w:spacing w:lineRule="auto" w:line="240" w:before="0" w:after="0"/>
        <w:ind w:left="0" w:right="0" w:hanging="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lang w:val="es"/>
        </w:rPr>
        <w:t>Palabras clave: interculturalidad, educación, costumbres, intercambio, percepción.</w:t>
      </w:r>
    </w:p>
    <w:p>
      <w:pPr>
        <w:pStyle w:val="Normal"/>
        <w:spacing w:lineRule="auto" w:line="240" w:before="0" w:after="0"/>
        <w:ind w:left="0" w:right="0" w:hanging="0"/>
        <w:jc w:val="both"/>
        <w:rPr>
          <w:rFonts w:ascii="Times New Roman" w:hAnsi="Times New Roman"/>
          <w:b/>
          <w:b/>
          <w:bCs/>
          <w:sz w:val="20"/>
          <w:szCs w:val="20"/>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cs="Times New Roman" w:ascii="Times New Roman" w:hAnsi="Times New Roman"/>
          <w:b/>
          <w:bCs/>
          <w:sz w:val="20"/>
          <w:szCs w:val="20"/>
          <w:lang w:val="en-US"/>
        </w:rPr>
        <w:t>Abstract</w:t>
      </w:r>
      <w:r>
        <w:rPr>
          <w:rFonts w:cs="Times New Roman" w:ascii="Times New Roman" w:hAnsi="Times New Roman"/>
          <w:b/>
          <w:bCs/>
          <w:sz w:val="20"/>
          <w:szCs w:val="20"/>
          <w:lang w:val="en-US"/>
        </w:rPr>
        <w:t>. A descriptive study is presented, to know the opinion of the students of the Faculty of Chemical Engineering (FIQ) enrolled in the third semester in the academic period August December 2022, regarding interculturality in the classroom. A random sample is selected and a brief survey is applied to know the place of origin of each of them and the experiencies they have had with gastronomy, traditions, customs and artistic manifestations different from their own. Also, it explores about the intention to carry out national or international exchanges in the future, including the interest in learning other languages. Among the main results, it was found that the study population in general knows the meaning  of interculturality and has had good experiences with the culture and customs of the Yucatan people. The usefulness of the results obtained in this work is mainly in the field of the integral formation of students, it allows to promote the comprehension and understanding of the current world and also the reaffirmation and enrichment of their own values.</w:t>
      </w:r>
    </w:p>
    <w:p>
      <w:pPr>
        <w:pStyle w:val="Normal"/>
        <w:spacing w:lineRule="auto" w:line="240" w:before="0" w:after="0"/>
        <w:ind w:left="0" w:right="0" w:hanging="0"/>
        <w:jc w:val="both"/>
        <w:rPr>
          <w:rFonts w:ascii="Times New Roman" w:hAnsi="Times New Roman"/>
          <w:b/>
          <w:b/>
          <w:bCs/>
          <w:sz w:val="20"/>
          <w:szCs w:val="20"/>
        </w:rPr>
      </w:pPr>
      <w:r>
        <w:rPr>
          <w:rFonts w:cs="Times New Roman" w:ascii="Times New Roman" w:hAnsi="Times New Roman"/>
          <w:b/>
          <w:bCs/>
          <w:sz w:val="20"/>
          <w:szCs w:val="20"/>
          <w:lang w:val="en"/>
        </w:rPr>
        <w:t>Keywords: interculturality, education, customs, exchange, perception</w:t>
      </w:r>
      <w:r>
        <w:rPr>
          <w:rFonts w:cs="Times New Roman" w:ascii="Times New Roman" w:hAnsi="Times New Roman"/>
          <w:b/>
          <w:bCs/>
          <w:sz w:val="20"/>
          <w:szCs w:val="20"/>
          <w:lang w:val="en-GB"/>
        </w:rPr>
        <w:t>.</w:t>
      </w:r>
    </w:p>
    <w:p>
      <w:pPr>
        <w:pStyle w:val="Normal"/>
        <w:spacing w:lineRule="auto" w:line="240" w:before="0" w:after="0"/>
        <w:ind w:left="0" w:right="0" w:hanging="0"/>
        <w:jc w:val="both"/>
        <w:rPr>
          <w:rFonts w:ascii="Times New Roman" w:hAnsi="Times New Roman" w:cs="Times New Roman"/>
          <w:sz w:val="20"/>
          <w:szCs w:val="20"/>
          <w:lang w:val="en-GB"/>
        </w:rPr>
      </w:pPr>
      <w:r>
        <w:rPr>
          <w:rFonts w:cs="Times New Roman" w:ascii="Times New Roman" w:hAnsi="Times New Roman"/>
          <w:sz w:val="20"/>
          <w:szCs w:val="20"/>
          <w:lang w:val="en-GB"/>
        </w:rPr>
      </w:r>
    </w:p>
    <w:p>
      <w:pPr>
        <w:pStyle w:val="ListParagraph"/>
        <w:numPr>
          <w:ilvl w:val="0"/>
          <w:numId w:val="0"/>
        </w:numPr>
        <w:spacing w:lineRule="auto" w:line="240" w:before="0" w:after="0"/>
        <w:ind w:left="1080" w:right="0" w:hanging="0"/>
        <w:jc w:val="both"/>
        <w:rPr>
          <w:rFonts w:ascii="Times New Roman" w:hAnsi="Times New Roman"/>
          <w:sz w:val="20"/>
          <w:szCs w:val="20"/>
        </w:rPr>
      </w:pPr>
      <w:r>
        <w:rPr>
          <w:rFonts w:cs="Times New Roman" w:ascii="Times New Roman" w:hAnsi="Times New Roman"/>
          <w:b/>
          <w:sz w:val="20"/>
          <w:szCs w:val="20"/>
        </w:rPr>
        <w:t xml:space="preserve">I. </w:t>
      </w:r>
      <w:r>
        <w:rPr>
          <w:rFonts w:cs="Times New Roman" w:ascii="Times New Roman" w:hAnsi="Times New Roman"/>
          <w:b/>
          <w:sz w:val="20"/>
          <w:szCs w:val="20"/>
        </w:rPr>
        <w:t>INTRODUCCIÓN</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Desde hace mucho tiempo en la mayoría de las instituciones de educación superior (IES) en México se han tenido retos importantes, para alcanzar parámetros internacionales de calidad en el aprendizaje de los estudiantes. En la Facultad de Ingeniería Química (FIQ) de la Universidad Autónoma de Yucatán (UADY) se han respondido a los retos académicos actuales, estableciendo con claridad las competencias de egreso necesarias en cada uno de los programas de ingeniería y de química que se imparten: Ingeniería Química Industrial (IQI), Ingeniería Industrial Logística (IIL), Ingeniería en Biotecnología (IB), Ingeniería en Alimentos (IA), los cuales tienen acreditación vigente ante el Consejo de Acreditación para la Enseñanza de la Ingeniería (CACEI) y la Licenciatura Institucional en Química Aplicada (LIQA), la cual se comparte con la Facultad de Química (FQ), con acreditación vigente ante el Consejo Nacional para la Evaluación de programas de Ciencias Químicas (CONAECQ). Los programas de estudio son flexibles, de ingreso anual, de tiempo completo y presenciales.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UADY se define la formación integral como un proceso continuo que busca el desarrollo de todas las potencialidades del estudiante y su crecimiento personal en las cinco dimensiones: física, emocional, cognitiva, social y valoral-actitudinal, que lo integran como ser humano (UADY, 2012).</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Por lo que además del aprendizaje de los conocimientos académicos específicos de cada programa educativo, se propone en el modelo educativo vigente que en forma transversal se impulse la formación integral del estudiantado por medio de la interacción de seis ejes: responsabilidad social, flexibilidad, innovación, internacionalización, educación centrada en el aprendizaje y educación basada en competencias.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A partir de las modificaciones de los planes de estudio en 2017, las asignaturas de matemáticas se organizaron internamente en Tronco Común (TC) para los programas de ingeniería que ofrece FIQ; las cuales pertenecen a un primer bloque de asignaturas, o Ciencias Básicas de los primeros semestres de los cuatro programas de ingeniería de la FIQ mencionados anteriormente.</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 xml:space="preserve">Esto ha permitido mejorar la implementación de los programas de ingeniería y promover la integración social y académica de los estudiantes de FIQ; también se ha observado que los estudiantes provienen de diferentes estados y de poblaciones del interior del estado de Yucatán por lo que surge la idea de explorar y </w:t>
      </w:r>
      <w:r>
        <w:rPr>
          <w:rFonts w:cs="Times New Roman" w:ascii="Times New Roman" w:hAnsi="Times New Roman"/>
          <w:sz w:val="20"/>
          <w:szCs w:val="20"/>
        </w:rPr>
        <w:t>compartir como una experiencia docente, que además de los retos generales asociados a la enseñanza y aprendizaje de las matemáticas, se encuentre un contexto natural de diversidad cultural.</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 importante mencionar que, en el mes de marzo de 2020, se presenta la pandemia de COVID-19 y para controlar y prevenir el contagio, la Secretaría de Salud establece una cuarentena o confinamiento voluntario y, en forma similar a todas las IES, en la UADY se responde a dicha situación de riesgo en la población general, con una adaptación de todos los cursos de los programas educativos a la modalidad virtual.</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themeColor="text1"/>
          <w:sz w:val="20"/>
          <w:szCs w:val="20"/>
        </w:rPr>
        <w:t>En la adecuación del Modelo Educativo para la Formación Integral en UADY (2021), se menciona la importancia del trabajo conjunto y comprometido de todos los agentes del modelo, estudiantado, personal docente, personal administrativo y manual; y desde luego del personal directivo para obtener la formación integral y el perfil de egreso declarado en cada programa educativo.</w:t>
      </w:r>
    </w:p>
    <w:p>
      <w:pPr>
        <w:pStyle w:val="Normal"/>
        <w:spacing w:lineRule="auto" w:line="240" w:before="0" w:after="0"/>
        <w:ind w:left="0" w:right="0" w:hanging="0"/>
        <w:jc w:val="both"/>
        <w:rPr>
          <w:rFonts w:cs="Times New Roman"/>
          <w:color w:val="000000" w:themeColor="text1"/>
        </w:rPr>
      </w:pPr>
      <w:r>
        <w:rPr>
          <w:rFonts w:ascii="Times New Roman" w:hAnsi="Times New Roman"/>
          <w:sz w:val="20"/>
          <w:szCs w:val="20"/>
        </w:rPr>
      </w:r>
    </w:p>
    <w:p>
      <w:pPr>
        <w:pStyle w:val="NormalWeb"/>
        <w:shd w:val="clear" w:color="auto" w:fill="FFFFFF"/>
        <w:spacing w:lineRule="auto" w:line="240" w:beforeAutospacing="0" w:before="0" w:afterAutospacing="0" w:after="0"/>
        <w:ind w:left="0" w:right="0" w:hanging="0"/>
        <w:jc w:val="both"/>
        <w:rPr>
          <w:rFonts w:ascii="Times New Roman" w:hAnsi="Times New Roman"/>
          <w:sz w:val="20"/>
          <w:szCs w:val="20"/>
        </w:rPr>
      </w:pPr>
      <w:r>
        <w:rPr>
          <w:rFonts w:ascii="Times New Roman" w:hAnsi="Times New Roman"/>
          <w:color w:val="000000" w:themeColor="text1"/>
          <w:sz w:val="20"/>
          <w:szCs w:val="20"/>
        </w:rPr>
        <w:t>Desde esta perspectiva, al profesorado le corresponde además de la dimensión cognitiva, que incluye el pensamiento crítico y el razonamiento lógico matemático, facilitar el proceso de enseñanza y aprendizaje, realizar tutoría o acompañamiento, asesoría académica y gestión; promover en forma transversal las otras dimensiones: física, emocional, social, valores y actitudes del estudiantado que conforman la propuesta de formación integral de la UADY. De aquí la importancia de realizar un breve diagnóstico adicional, del contexto sociocultural y opiniones de los estudiantes acerca de temas actuales.</w:t>
      </w:r>
    </w:p>
    <w:p>
      <w:pPr>
        <w:pStyle w:val="NormalWeb"/>
        <w:shd w:val="clear" w:color="auto" w:fill="FFFFFF"/>
        <w:spacing w:lineRule="auto" w:line="240" w:beforeAutospacing="0" w:before="0" w:afterAutospacing="0" w:after="0"/>
        <w:ind w:left="0" w:right="0" w:hanging="0"/>
        <w:jc w:val="both"/>
        <w:rPr>
          <w:color w:val="000000" w:themeColor="text1"/>
        </w:rPr>
      </w:pPr>
      <w:r>
        <w:rPr>
          <w:rFonts w:ascii="Times New Roman" w:hAnsi="Times New Roman"/>
          <w:sz w:val="20"/>
          <w:szCs w:val="20"/>
        </w:rPr>
      </w:r>
    </w:p>
    <w:p>
      <w:pPr>
        <w:pStyle w:val="NormalWeb"/>
        <w:shd w:val="clear" w:color="auto" w:fill="FFFFFF"/>
        <w:spacing w:lineRule="auto" w:line="240" w:beforeAutospacing="0" w:before="0" w:afterAutospacing="0" w:after="0"/>
        <w:ind w:left="0" w:right="0" w:hanging="0"/>
        <w:jc w:val="both"/>
        <w:rPr>
          <w:rFonts w:ascii="Times New Roman" w:hAnsi="Times New Roman"/>
          <w:sz w:val="20"/>
          <w:szCs w:val="20"/>
        </w:rPr>
      </w:pPr>
      <w:r>
        <w:rPr>
          <w:rFonts w:ascii="Times New Roman" w:hAnsi="Times New Roman"/>
          <w:color w:val="000000" w:themeColor="text1"/>
          <w:sz w:val="20"/>
          <w:szCs w:val="20"/>
        </w:rPr>
        <w:t>En la práctica educativa, la internacionalización contribuye a formar profesionales conscientes de su responsabilidad social y de su participación en el desarrollo sustentable global, con amplias capacidades para vivir y desempeñarse exitosamente en un entorno internacional e intercultural, y que adicionalmente, sean sensibles ante los problemas mundiales y contribuyan a las soluciones. Por esta razón, la educación superior requiere formar profesionales con empatía, respeto y tolerancia hacia las personas, diferentes ideas, costumbres y culturas. Se debe fomentar la noción de ciudadanía mundial que hace que el estudiantado, reflexione de manera más consciente y crítica sobre el impacto de sus acciones, a nivel local y global (Beelen y De Louw, 2020).</w:t>
      </w:r>
    </w:p>
    <w:p>
      <w:pPr>
        <w:pStyle w:val="NormalWeb"/>
        <w:shd w:val="clear" w:color="auto" w:fill="FFFFFF"/>
        <w:spacing w:lineRule="auto" w:line="240" w:beforeAutospacing="0" w:before="0" w:afterAutospacing="0" w:after="0"/>
        <w:ind w:left="0" w:right="0" w:hanging="0"/>
        <w:jc w:val="both"/>
        <w:rPr>
          <w:color w:val="000000" w:themeColor="text1"/>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La sociedad, las instituciones y las personas en general, constataron la globalización como un fenómeno que está presente en el entorno y para responder a sus efectos, se requieren cambios importantes en la formación educativa pues en particular, </w:t>
      </w:r>
      <w:r>
        <w:rPr>
          <w:rFonts w:cs="Times New Roman" w:ascii="Times New Roman" w:hAnsi="Times New Roman"/>
          <w:bCs/>
          <w:sz w:val="20"/>
          <w:szCs w:val="20"/>
        </w:rPr>
        <w:t>durante el confinamiento y la experiencia de estudiar en un ambiente totalmente virtual se observaron</w:t>
      </w:r>
      <w:r>
        <w:rPr>
          <w:rFonts w:cs="Times New Roman" w:ascii="Times New Roman" w:hAnsi="Times New Roman"/>
          <w:sz w:val="20"/>
          <w:szCs w:val="20"/>
        </w:rPr>
        <w:t xml:space="preserve"> muchos casos de estudiantes </w:t>
      </w:r>
      <w:r>
        <w:rPr>
          <w:rFonts w:cs="Times New Roman" w:ascii="Times New Roman" w:hAnsi="Times New Roman"/>
          <w:bCs/>
          <w:sz w:val="20"/>
          <w:szCs w:val="20"/>
        </w:rPr>
        <w:t xml:space="preserve">con </w:t>
      </w:r>
      <w:r>
        <w:rPr>
          <w:rFonts w:cs="Times New Roman" w:ascii="Times New Roman" w:hAnsi="Times New Roman"/>
          <w:sz w:val="20"/>
          <w:szCs w:val="20"/>
        </w:rPr>
        <w:t>recursos tecnológicos limitados, problemas familiares, económicos o de salud que impactan la calidad educativa. Algunas propuestas del Plan de Desarrollo Institucional mencionadas en UADY (2019), se dirigen especialmente a promover proyectos relacionados a la interacción social en los diferentes campus de la UADY y también para crear más oportunidades que permitan mejorar los índices de egreso.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Cs/>
          <w:sz w:val="20"/>
          <w:szCs w:val="20"/>
        </w:rPr>
        <w:t>El objetivo de este trabajo es analizar y reflexionar acerca de las opiniones de los estudiantes de tercer semestre de la FIQ, sobre la interculturalidad durante sus estudios de licenciatura, corresponde al eje de internacionalización mencionado en el modelo educativo.</w:t>
      </w:r>
    </w:p>
    <w:p>
      <w:pPr>
        <w:pStyle w:val="Normal"/>
        <w:spacing w:lineRule="auto" w:line="240" w:before="0" w:after="0"/>
        <w:ind w:left="0" w:right="0" w:hanging="0"/>
        <w:jc w:val="both"/>
        <w:rPr>
          <w:rFonts w:cs="Times New Roman"/>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UADY se establecen 22 competencias genéricas, de las cuales se pueden mencionar algunas que se relacionan en forma directa con la interculturalidad, por ejemplo, se comunica en inglés en forma adecuada, trabaja en ambientes multidisciplinarios en forma colaborativa, valora la multiculturalidad, las manifestaciones artísticas y culturales de manera ética y respetuosa (UADY, 2015).</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utilidad de los resultados obtenidos en el presente trabajo es principalmente en el ámbito de la formación integral de los estudiantes, permite propiciar la comprensión y entendimiento del mundo actual y también la reafirmación y enriquecimiento de los valores propios.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El proceso emprendido por las Instituciones de Educación Superior (IES) para impulsar acciones que promuevan la interculturalidad corresponde a reconocer la importancia de construir respuestas a los cambios en los contextos sociales, económicos y culturales, entre los que se pueden mencionar la migración, sistemas de comunicación eficientes y sistemas productivos adecuados (UADY, 2015).</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el ámbito de la educación superior es necesaria la interculturalidad para lograr una mejor preparación para la vida, con enfoque de responsabilidad social y un mejor entendimiento de las diferentes culturas regionales, nacionales o internacionales.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 conocida la gran cantidad de variables que se encuentran involucradas en la formación integral de los estudiantes en el nivel superior, desde los primeros semestres se tiene el reto de promover el desarrollo de competencias específicas y también las genéricas, las cuales son transversales.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 xml:space="preserve">Los resultados obtenidos se comparten con los grupos participantes junto con el énfasis en la importancia de promover la reflexión acerca de la importancia de enriquecer la formación académica con un enfoque intercultural. </w:t>
      </w:r>
      <w:r>
        <w:rPr>
          <w:rFonts w:cs="Times New Roman" w:ascii="Times New Roman" w:hAnsi="Times New Roman"/>
          <w:sz w:val="20"/>
          <w:szCs w:val="20"/>
        </w:rPr>
        <w:t>Es indudable que la educación universitaria actual requiere más que nunca, que desde los primeros semestres los estudiantes logren integrar actividades que impulsen el desarrollo de competencias sociales, colaborativas y valoren la interculturalidad y, de aquí que resulte muy valioso conocer las opiniones, ideas o percepciones de los alumnos sobre este tema en el aula y desde los primeros semestres.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Mora y Oliveira (2022) se presenta el contexto actual de la juventud mexicana ante una gran desigualdad social, económica y de oportunidades, que conlleva a mayores diferencias en la población estudiantil no sólo en los diferentes niveles de conocimientos previos, sino también en las competencias sociales y de aprendizaje que los alumnos han desarrollado.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La responsabilidad social en la educación en el nivel superior, necesariamente implican los valores interculturales, los cuales deben formar parte de las funciones docentes, para que con acciones o estrategias adecuadas se obtengan mejores resultados en la educación mexicana. </w:t>
      </w:r>
    </w:p>
    <w:p>
      <w:pPr>
        <w:pStyle w:val="Normal"/>
        <w:tabs>
          <w:tab w:val="clear" w:pos="708"/>
          <w:tab w:val="left" w:pos="2655" w:leader="none"/>
        </w:tabs>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left="1080" w:right="0" w:hanging="0"/>
        <w:rPr>
          <w:rFonts w:ascii="Times New Roman" w:hAnsi="Times New Roman"/>
          <w:sz w:val="20"/>
          <w:szCs w:val="20"/>
        </w:rPr>
      </w:pPr>
      <w:r>
        <w:rPr>
          <w:rFonts w:cs="Times New Roman" w:ascii="Times New Roman" w:hAnsi="Times New Roman"/>
          <w:b/>
          <w:sz w:val="20"/>
          <w:szCs w:val="20"/>
        </w:rPr>
        <w:t xml:space="preserve">II. </w:t>
      </w:r>
      <w:r>
        <w:rPr>
          <w:rFonts w:cs="Times New Roman" w:ascii="Times New Roman" w:hAnsi="Times New Roman"/>
          <w:b/>
          <w:sz w:val="20"/>
          <w:szCs w:val="20"/>
        </w:rPr>
        <w:t>METODOLOGÍA</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Este trabajo corresponde a un estudio observacional y descriptiva acerca de la opinión de los alumnos sobre algunos aspectos de la interculturalidad, que experimentan en forma cotidiana durante sus estudios de licenciatura y en el contexto social de FIQ, en particular en el aula. La población de estudio es el total de 238 estudiantes inscritos en el tercer semestre de los programas educativos de FIQ mencionados anteriormente y en el período académico de agosto a diciembre de 2022. Los estudiantes en su mayoría tienen edades entre 19 y 21 años. </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Se presenta la encuesta anónima y voluntaria </w:t>
      </w:r>
      <w:r>
        <w:rPr>
          <w:rFonts w:cs="Times New Roman" w:ascii="Times New Roman" w:hAnsi="Times New Roman"/>
          <w:sz w:val="20"/>
          <w:szCs w:val="20"/>
        </w:rPr>
        <w:t>en Anexo 1</w:t>
      </w:r>
      <w:r>
        <w:rPr>
          <w:rFonts w:cs="Times New Roman" w:ascii="Times New Roman" w:hAnsi="Times New Roman"/>
          <w:sz w:val="20"/>
          <w:szCs w:val="20"/>
        </w:rPr>
        <w:t>, usada como instrumento para indagar la opinión de los estudiantes, consta en total de 9 preguntas. El tiempo promedio para responder la encuesta fue de aproximadamente 10 minutos. Se aplica en modalidad presencial a 59 estudiantes de tercer semestre, que conformaron una muestra de aproximadamente el 25% de la población.</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sz w:val="20"/>
          <w:szCs w:val="20"/>
        </w:rPr>
        <w:t>III. RESULTADOS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En la pregunta 1, se observa que, del total de 59 respuestas, se reportaron 23 mujeres y 36 hombres. Esto es, el 39% de estudiantes de la muestra son mujeres y el 61% hombres; lo cual refleja que el interés en el estudio de carreras de ciencias exactas no presenta todavía, un equilibrio con respecto al género de los alumnos. </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Con respecto al programa educativo, del total de la muestra se obtuvo que 26 estudian LIQA, 27 IQI, 3 son de IA, 2 de IB y sólo uno de IIL. Esto se debe a la elección de los estudiantes siguiendo el horario más adecuado para sus cursos y utilizando que flexibilidad de los programas educativos de la FIQ.</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Los resultados de la pregunta 3 se muestran en la Tabla 1, se realiza una clasificación de los estudiantes de la muestra en tres grupos: el Grupo 1 formado por 22 estudiantes o sea el 37% de la muestra, quienes indican que son originarios de otros estados de México; el Grupo 2, por 11 alumnos ó sea el 19% de la muestra, que provienen de poblaciones del interior del estado de Yucatán y el Grupo 3, que consta de 26 alumnos o sea el 44% que reportan ser de la ciudad de Mérida.</w:t>
      </w:r>
    </w:p>
    <w:p>
      <w:pPr>
        <w:sectPr>
          <w:type w:val="continuous"/>
          <w:pgSz w:w="12240" w:h="15840"/>
          <w:pgMar w:left="1417" w:right="1417" w:header="1417" w:top="2044" w:footer="1417" w:bottom="1757" w:gutter="0"/>
          <w:cols w:num="2" w:space="282" w:equalWidth="true" w:sep="false"/>
          <w:formProt w:val="false"/>
          <w:textDirection w:val="lrTb"/>
          <w:docGrid w:type="default" w:linePitch="360" w:charSpace="4096"/>
        </w:sectPr>
      </w:pPr>
    </w:p>
    <w:p>
      <w:pPr>
        <w:pStyle w:val="Normal"/>
        <w:spacing w:lineRule="auto" w:line="240" w:before="0" w:after="0"/>
        <w:ind w:left="0" w:right="0" w:hanging="0"/>
        <w:jc w:val="center"/>
        <w:rPr>
          <w:rFonts w:cs="Times New Roman"/>
        </w:rPr>
      </w:pPr>
      <w:r>
        <w:rPr>
          <w:rFonts w:ascii="Times New Roman" w:hAnsi="Times New Roman"/>
          <w:b/>
          <w:bCs/>
          <w:i w:val="false"/>
          <w:iCs w:val="false"/>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 xml:space="preserve">Tabla 1. Grupos según la ciudad de origen de los estudiantes. </w:t>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Fuente: Elaboración propia.</w:t>
      </w:r>
    </w:p>
    <w:p>
      <w:pPr>
        <w:pStyle w:val="Normal"/>
        <w:spacing w:lineRule="auto" w:line="240" w:before="0" w:after="0"/>
        <w:ind w:left="0" w:right="0" w:hanging="0"/>
        <w:jc w:val="center"/>
        <w:rPr>
          <w:rFonts w:cs="Times New Roman"/>
          <w:i/>
          <w:i/>
          <w:iCs/>
        </w:rPr>
      </w:pPr>
      <w:r>
        <w:rPr>
          <w:rFonts w:ascii="Times New Roman" w:hAnsi="Times New Roman"/>
          <w:sz w:val="20"/>
          <w:szCs w:val="20"/>
        </w:rPr>
      </w:r>
    </w:p>
    <w:tbl>
      <w:tblPr>
        <w:tblStyle w:val="Tablaconcuadrcula"/>
        <w:tblW w:w="882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681"/>
        <w:gridCol w:w="3178"/>
        <w:gridCol w:w="89"/>
        <w:gridCol w:w="2879"/>
      </w:tblGrid>
      <w:tr>
        <w:trPr/>
        <w:tc>
          <w:tcPr>
            <w:tcW w:w="2681"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Grupo</w:t>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Estados</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Ciudades de origen</w:t>
            </w:r>
          </w:p>
        </w:tc>
      </w:tr>
      <w:tr>
        <w:trPr/>
        <w:tc>
          <w:tcPr>
            <w:tcW w:w="2681" w:type="dxa"/>
            <w:vMerge w:val="restart"/>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Grupo 1</w:t>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Quintana Roo</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Cancún, Tulum, Chetumal, Playa del Carmen</w:t>
            </w:r>
          </w:p>
        </w:tc>
      </w:tr>
      <w:tr>
        <w:trPr/>
        <w:tc>
          <w:tcPr>
            <w:tcW w:w="2681" w:type="dxa"/>
            <w:vMerge w:val="continue"/>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Campeche</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Campeche, Xpujil, Cd del Carmen</w:t>
            </w:r>
          </w:p>
        </w:tc>
      </w:tr>
      <w:tr>
        <w:trPr/>
        <w:tc>
          <w:tcPr>
            <w:tcW w:w="2681" w:type="dxa"/>
            <w:vMerge w:val="continue"/>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Veracruz</w:t>
            </w:r>
          </w:p>
        </w:tc>
        <w:tc>
          <w:tcPr>
            <w:tcW w:w="2968" w:type="dxa"/>
            <w:gridSpan w:val="2"/>
            <w:tcBorders/>
            <w:vAlign w:val="center"/>
          </w:tcPr>
          <w:p>
            <w:pPr>
              <w:pStyle w:val="Normal"/>
              <w:widowControl/>
              <w:spacing w:lineRule="auto" w:line="240" w:before="0" w:after="0"/>
              <w:ind w:left="0" w:right="0" w:hanging="0"/>
              <w:jc w:val="left"/>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Veracruz, Coatzacoalcos, San Andrés Tuxtla</w:t>
            </w:r>
          </w:p>
        </w:tc>
      </w:tr>
      <w:tr>
        <w:trPr/>
        <w:tc>
          <w:tcPr>
            <w:tcW w:w="2681" w:type="dxa"/>
            <w:vMerge w:val="continue"/>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Tabasco</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Paraíso</w:t>
            </w:r>
          </w:p>
        </w:tc>
      </w:tr>
      <w:tr>
        <w:trPr/>
        <w:tc>
          <w:tcPr>
            <w:tcW w:w="2681" w:type="dxa"/>
            <w:vMerge w:val="continue"/>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Chiapas</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Tuxtla Gutiérrez</w:t>
            </w:r>
          </w:p>
        </w:tc>
      </w:tr>
      <w:tr>
        <w:trPr/>
        <w:tc>
          <w:tcPr>
            <w:tcW w:w="2681" w:type="dxa"/>
            <w:vMerge w:val="continue"/>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Oaxaca</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Juchitán de Zaragoza</w:t>
            </w:r>
          </w:p>
        </w:tc>
      </w:tr>
      <w:tr>
        <w:trPr/>
        <w:tc>
          <w:tcPr>
            <w:tcW w:w="2681" w:type="dxa"/>
            <w:vMerge w:val="continue"/>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Guanajuato</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Guanajuato</w:t>
            </w:r>
          </w:p>
        </w:tc>
      </w:tr>
      <w:tr>
        <w:trPr/>
        <w:tc>
          <w:tcPr>
            <w:tcW w:w="2681" w:type="dxa"/>
            <w:vMerge w:val="continue"/>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Estado de México</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Nezahuatcóyotl</w:t>
            </w:r>
          </w:p>
        </w:tc>
      </w:tr>
      <w:tr>
        <w:trPr/>
        <w:tc>
          <w:tcPr>
            <w:tcW w:w="2681" w:type="dxa"/>
            <w:vMerge w:val="continue"/>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Chihuahua</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Ciudad Juarez</w:t>
            </w:r>
          </w:p>
        </w:tc>
      </w:tr>
      <w:tr>
        <w:trPr/>
        <w:tc>
          <w:tcPr>
            <w:tcW w:w="2681" w:type="dxa"/>
            <w:vMerge w:val="continue"/>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6146" w:type="dxa"/>
            <w:gridSpan w:val="3"/>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Ciudad de México CDMX</w:t>
            </w:r>
          </w:p>
        </w:tc>
      </w:tr>
      <w:tr>
        <w:trPr>
          <w:trHeight w:val="1410" w:hRule="atLeast"/>
        </w:trPr>
        <w:tc>
          <w:tcPr>
            <w:tcW w:w="2681"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Grupo 2</w:t>
            </w:r>
          </w:p>
        </w:tc>
        <w:tc>
          <w:tcPr>
            <w:tcW w:w="3178"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Yucatán</w:t>
            </w:r>
          </w:p>
        </w:tc>
        <w:tc>
          <w:tcPr>
            <w:tcW w:w="2968"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 xml:space="preserve">Hunucmá, Citilcura, Izamal, San Felipe, Yaxkukul, Maxcanú, Ucú, Celestún, Kanasin, Timul, Motul </w:t>
            </w:r>
          </w:p>
        </w:tc>
      </w:tr>
      <w:tr>
        <w:trPr>
          <w:trHeight w:val="866" w:hRule="atLeast"/>
        </w:trPr>
        <w:tc>
          <w:tcPr>
            <w:tcW w:w="2681"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Grupo 3</w:t>
            </w:r>
          </w:p>
        </w:tc>
        <w:tc>
          <w:tcPr>
            <w:tcW w:w="3267" w:type="dxa"/>
            <w:gridSpan w:val="2"/>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Yucatán</w:t>
            </w:r>
          </w:p>
        </w:tc>
        <w:tc>
          <w:tcPr>
            <w:tcW w:w="2879"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Mérida</w:t>
            </w:r>
          </w:p>
        </w:tc>
      </w:tr>
    </w:tbl>
    <w:p>
      <w:pPr>
        <w:pStyle w:val="Normal"/>
        <w:spacing w:lineRule="auto" w:line="240" w:before="0" w:after="0"/>
        <w:ind w:left="0" w:right="0" w:hanging="0"/>
        <w:rPr>
          <w:rFonts w:cs="Times New Roman"/>
        </w:rPr>
      </w:pPr>
      <w:r>
        <w:rPr>
          <w:rFonts w:ascii="Times New Roman" w:hAnsi="Times New Roman"/>
          <w:sz w:val="20"/>
          <w:szCs w:val="20"/>
        </w:rPr>
      </w:r>
    </w:p>
    <w:p>
      <w:pPr>
        <w:pStyle w:val="Normal"/>
        <w:spacing w:lineRule="auto" w:line="240" w:before="0" w:after="0"/>
        <w:ind w:left="0" w:right="0" w:hanging="0"/>
        <w:jc w:val="both"/>
        <w:rPr>
          <w:rFonts w:cs="Times New Roman"/>
        </w:rPr>
      </w:pPr>
      <w:r>
        <w:rPr>
          <w:rFonts w:ascii="Times New Roman" w:hAnsi="Times New Roman"/>
          <w:sz w:val="20"/>
          <w:szCs w:val="20"/>
        </w:rPr>
      </w:r>
    </w:p>
    <w:p>
      <w:pPr>
        <w:sectPr>
          <w:headerReference w:type="even" r:id="rId8"/>
          <w:headerReference w:type="default" r:id="rId9"/>
          <w:headerReference w:type="first" r:id="rId10"/>
          <w:footerReference w:type="even" r:id="rId11"/>
          <w:footerReference w:type="default" r:id="rId12"/>
          <w:footerReference w:type="first" r:id="rId13"/>
          <w:type w:val="continuous"/>
          <w:pgSz w:w="12240" w:h="15840"/>
          <w:pgMar w:left="1417" w:right="1417" w:header="1417" w:top="2044" w:footer="1417" w:bottom="1757"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presencia de diez estados diferentes en el Grupo 1, más de diez poblaciones del interior del estado en el Grupo 2 muestra una gran diversidad de lugares de origen de los estudiantes que actualmente cursan los diferentes programas de estudio de licenciatura que se imparten actualmente en la FIQ y permiten reflexionar en una gran oportunidad de promover la interculturalidad en forma transversal diseñando algunas estrategias que no sólo integren socialmente a los estudiantes sino que también los motiven a realizar sus estudios con una perspectiva más globalizada y</w:t>
      </w:r>
      <w:r>
        <w:rPr>
          <w:rFonts w:cs="Times New Roman" w:ascii="Times New Roman" w:hAnsi="Times New Roman"/>
          <w:color w:val="000000" w:themeColor="text1"/>
          <w:sz w:val="20"/>
          <w:szCs w:val="20"/>
        </w:rPr>
        <w:t xml:space="preserve"> con actitudes de respeto y empatía.</w:t>
      </w:r>
    </w:p>
    <w:p>
      <w:pPr>
        <w:pStyle w:val="Normal"/>
        <w:spacing w:lineRule="auto" w:line="240" w:before="0" w:after="0"/>
        <w:ind w:left="0" w:right="0" w:hanging="0"/>
        <w:jc w:val="both"/>
        <w:rPr>
          <w:rFonts w:cs="Times New Roman"/>
          <w:color w:val="000000" w:themeColor="text1"/>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Entre las razones posibles de la diversidad anterior, se podrían considerar la acreditación continua de los programas de estudio de licenciatura y los programas de posgrado: la Maestría en Ingeniería de Operaciones Estratégicas y su participación en dos programas institucionales de maestría y doctorado: Ciencias Químicas y Bioquímicas, y el de Ciencias Agropecuarias y Manejo de Recursos Naturales Tropicales, ambos reconocidos por su calidad en el PNPC del CONACYT.</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También la riqueza histórica del estado de Yucatán, la cultura Maya y el prestigio de conservar todavía la paz y tranquilidad. En la Tabla 2, se presenta un resumen de los resultados obtenidos con respecto a las preguntas 4, 5 y 6 relacionadas con los tres niveles de experiencia sugeridos en la encuesta para la gastronomía, las tradiciones y las artes yucatecas y con respecto a los grupos.</w:t>
      </w:r>
    </w:p>
    <w:p>
      <w:pPr>
        <w:sectPr>
          <w:type w:val="continuous"/>
          <w:pgSz w:w="12240" w:h="15840"/>
          <w:pgMar w:left="1417" w:right="1417" w:header="1417" w:top="2044" w:footer="1417" w:bottom="1757" w:gutter="0"/>
          <w:cols w:num="2" w:space="282" w:equalWidth="true" w:sep="false"/>
          <w:formProt w:val="false"/>
          <w:textDirection w:val="lrTb"/>
          <w:docGrid w:type="default" w:linePitch="360" w:charSpace="4096"/>
        </w:sectPr>
      </w:pP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Tabla 2. Número de estudiantes según el nivel de experiencia. Fuente: Elaboración propia.</w:t>
      </w:r>
    </w:p>
    <w:p>
      <w:pPr>
        <w:pStyle w:val="Normal"/>
        <w:spacing w:lineRule="auto" w:line="240" w:before="0" w:after="0"/>
        <w:ind w:left="0" w:right="0" w:hanging="0"/>
        <w:jc w:val="center"/>
        <w:rPr>
          <w:rFonts w:cs="Times New Roman"/>
          <w:i/>
          <w:i/>
          <w:iCs/>
        </w:rPr>
      </w:pPr>
      <w:r>
        <w:rPr>
          <w:rFonts w:ascii="Times New Roman" w:hAnsi="Times New Roman"/>
          <w:sz w:val="20"/>
          <w:szCs w:val="20"/>
        </w:rPr>
      </w:r>
    </w:p>
    <w:tbl>
      <w:tblPr>
        <w:tblStyle w:val="Tablaconcuadrcula"/>
        <w:tblW w:w="882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64"/>
        <w:gridCol w:w="1766"/>
        <w:gridCol w:w="1765"/>
        <w:gridCol w:w="1766"/>
        <w:gridCol w:w="1766"/>
      </w:tblGrid>
      <w:tr>
        <w:trPr/>
        <w:tc>
          <w:tcPr>
            <w:tcW w:w="1764"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Grupos</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Nivel</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Gastronomía</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Tradiciones</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Artes</w:t>
            </w:r>
          </w:p>
        </w:tc>
      </w:tr>
      <w:tr>
        <w:trPr/>
        <w:tc>
          <w:tcPr>
            <w:tcW w:w="1764" w:type="dxa"/>
            <w:vMerge w:val="restart"/>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G1</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Buena</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11</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15</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14</w:t>
            </w:r>
          </w:p>
        </w:tc>
      </w:tr>
      <w:tr>
        <w:trPr/>
        <w:tc>
          <w:tcPr>
            <w:tcW w:w="1764" w:type="dxa"/>
            <w:vMerge w:val="continue"/>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Regular</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11</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7</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8</w:t>
            </w:r>
          </w:p>
        </w:tc>
      </w:tr>
      <w:tr>
        <w:trPr/>
        <w:tc>
          <w:tcPr>
            <w:tcW w:w="1764" w:type="dxa"/>
            <w:vMerge w:val="continue"/>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No buena</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0</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0</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0</w:t>
            </w:r>
          </w:p>
        </w:tc>
      </w:tr>
      <w:tr>
        <w:trPr/>
        <w:tc>
          <w:tcPr>
            <w:tcW w:w="1764" w:type="dxa"/>
            <w:vMerge w:val="restart"/>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G2</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Buena</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11</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9</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7</w:t>
            </w:r>
          </w:p>
        </w:tc>
      </w:tr>
      <w:tr>
        <w:trPr/>
        <w:tc>
          <w:tcPr>
            <w:tcW w:w="1764" w:type="dxa"/>
            <w:vMerge w:val="continue"/>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Regular</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0</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4</w:t>
            </w:r>
          </w:p>
        </w:tc>
      </w:tr>
      <w:tr>
        <w:trPr/>
        <w:tc>
          <w:tcPr>
            <w:tcW w:w="1764" w:type="dxa"/>
            <w:vMerge w:val="continue"/>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No buena</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0</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0</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0</w:t>
            </w:r>
          </w:p>
        </w:tc>
      </w:tr>
      <w:tr>
        <w:trPr/>
        <w:tc>
          <w:tcPr>
            <w:tcW w:w="1764" w:type="dxa"/>
            <w:vMerge w:val="restart"/>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G3</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Buena</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22</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22</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14</w:t>
            </w:r>
          </w:p>
        </w:tc>
      </w:tr>
      <w:tr>
        <w:trPr/>
        <w:tc>
          <w:tcPr>
            <w:tcW w:w="1764" w:type="dxa"/>
            <w:vMerge w:val="continue"/>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Regular</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4</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3</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12</w:t>
            </w:r>
          </w:p>
        </w:tc>
      </w:tr>
      <w:tr>
        <w:trPr/>
        <w:tc>
          <w:tcPr>
            <w:tcW w:w="1764" w:type="dxa"/>
            <w:vMerge w:val="continue"/>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No buena</w:t>
            </w:r>
          </w:p>
        </w:tc>
        <w:tc>
          <w:tcPr>
            <w:tcW w:w="1765"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0</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1</w:t>
            </w:r>
          </w:p>
        </w:tc>
        <w:tc>
          <w:tcPr>
            <w:tcW w:w="1766" w:type="dxa"/>
            <w:tcBorders/>
          </w:tcPr>
          <w:p>
            <w:pPr>
              <w:pStyle w:val="Normal"/>
              <w:widowControl/>
              <w:spacing w:lineRule="auto" w:line="240" w:before="0" w:after="0"/>
              <w:ind w:left="0" w:right="0" w:hanging="0"/>
              <w:jc w:val="center"/>
              <w:rPr>
                <w:rFonts w:ascii="Times New Roman" w:hAnsi="Times New Roman" w:eastAsia="Calibri" w:cs="Times New Roman"/>
                <w:b/>
                <w:b/>
                <w:bCs/>
                <w:kern w:val="0"/>
                <w:sz w:val="20"/>
                <w:szCs w:val="20"/>
                <w:lang w:val="es-MX" w:eastAsia="en-US" w:bidi="ar-SA"/>
              </w:rPr>
            </w:pPr>
            <w:r>
              <w:rPr>
                <w:rFonts w:eastAsia="Calibri" w:cs="Times New Roman" w:ascii="Times New Roman" w:hAnsi="Times New Roman"/>
                <w:b/>
                <w:bCs/>
                <w:kern w:val="0"/>
                <w:sz w:val="20"/>
                <w:szCs w:val="20"/>
                <w:lang w:val="es-MX" w:eastAsia="en-US" w:bidi="ar-SA"/>
              </w:rPr>
              <w:t>0</w:t>
            </w:r>
          </w:p>
        </w:tc>
      </w:tr>
    </w:tbl>
    <w:p>
      <w:pPr>
        <w:pStyle w:val="Normal"/>
        <w:spacing w:lineRule="auto" w:line="240" w:before="0" w:after="0"/>
        <w:ind w:left="0" w:right="0" w:hanging="0"/>
        <w:rPr>
          <w:rFonts w:cs="Times New Roman"/>
        </w:rPr>
      </w:pPr>
      <w:r>
        <w:rPr>
          <w:rFonts w:ascii="Times New Roman" w:hAnsi="Times New Roman"/>
          <w:sz w:val="20"/>
          <w:szCs w:val="20"/>
        </w:rPr>
      </w:r>
    </w:p>
    <w:p>
      <w:pPr>
        <w:pStyle w:val="Normal"/>
        <w:spacing w:lineRule="auto" w:line="240" w:before="0" w:after="0"/>
        <w:ind w:left="0" w:right="0" w:hanging="0"/>
        <w:jc w:val="both"/>
        <w:rPr>
          <w:rFonts w:cs="Times New Roman"/>
        </w:rPr>
      </w:pPr>
      <w:r>
        <w:rPr>
          <w:rFonts w:ascii="Times New Roman" w:hAnsi="Times New Roman"/>
          <w:sz w:val="20"/>
          <w:szCs w:val="20"/>
        </w:rPr>
      </w:r>
    </w:p>
    <w:p>
      <w:pPr>
        <w:sectPr>
          <w:headerReference w:type="even" r:id="rId14"/>
          <w:headerReference w:type="default" r:id="rId15"/>
          <w:headerReference w:type="first" r:id="rId16"/>
          <w:footerReference w:type="even" r:id="rId17"/>
          <w:footerReference w:type="default" r:id="rId18"/>
          <w:footerReference w:type="first" r:id="rId19"/>
          <w:type w:val="continuous"/>
          <w:pgSz w:w="12240" w:h="15840"/>
          <w:pgMar w:left="1417" w:right="1417" w:header="1417" w:top="2044" w:footer="1417" w:bottom="1757"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Se observa que en el Grupo 1, se presenta el mayor número de estudiantes con nivel de experiencia regular en los tres aspectos y en el Grupo 2, el menor número de alumnos reportaron nivel de experiencia regular, casi todos opinaron buena experiencia, lo cual explica o sugiere una identificación natural de los estudiantes del interior del estado con su propia cultura.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el Grupo 3 también buena experiencia para gastronomía y tradiciones, lo que sugiere que el grupo tiene buenas actitudes y disposición de adaptarse; en este grupo se tuvo opiniones de regular y buena para artes. Es importante señalar que, en algunos casos se mencionó falta de promoción en eventos artísticos o tradicionales.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Sin embargo, en general no se reportaron casos de experiencias no buenas en los tres aspectos solicitados en los tres grupos.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Con respecto a lo que significa interculturalidad, que corresponde a la pregunta 7, el total de los 59 estudiantes de la muestra expresaron ideas claras y concretas acerca del concepto, desde su propia experiencia y desde el tercer semestre de estudios. Entre éstas, se presentan las siguientes frases que algunos estudiantes compartieron en la encuesta y que expresan con claridad la idea y realmente es la forma general de cómo se maneja el concepto.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A continuación, se transcriben con las palabras textuales del alumnado: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Se denomina a la amalgama de culturas o influencias en un espacio geográfico.</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convivencia de varias culturas dentro de una población.</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Conocer y relacionarse con costumbres.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Lenguaje, tradiciones y estilo de vida diferentes.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Que diversas culturas convivan en armonía y puedan intercambiar ideas.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convergencia de distintas culturas en un mismo territorio.</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Conocer o convivir con varias culturas en la vida diaria.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No se tiene una definición exacta del significado de interculturalidad, pero en el área de educación podemos asumir que es un enfoque, una perspectiva necesaria para lograr la formación integral y humanista de universitarios convencidos de la gran importancia del respeto, inclusión y tolerancia a las diferentes formas de pensar y ser de las demás personas en todos los contextos de desarrollo profesional futuro. En la Tabla 3, se resume la información obtenida con relación al conocimiento o estudio de otros idiomas, diferentes al español, la cual corresponde a la pregunta 8.</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 xml:space="preserve">Tabla 3. Número de estudiantes según idiomas. </w:t>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Fuente: Elaboración propia.</w:t>
      </w:r>
    </w:p>
    <w:tbl>
      <w:tblPr>
        <w:tblStyle w:val="Tablaconcuadrcula"/>
        <w:tblW w:w="45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3"/>
        <w:gridCol w:w="1134"/>
        <w:gridCol w:w="1134"/>
        <w:gridCol w:w="1133"/>
      </w:tblGrid>
      <w:tr>
        <w:trPr/>
        <w:tc>
          <w:tcPr>
            <w:tcW w:w="1133" w:type="dxa"/>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134"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Otros idiomas</w:t>
            </w:r>
          </w:p>
        </w:tc>
        <w:tc>
          <w:tcPr>
            <w:tcW w:w="1134"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Sólo inglés</w:t>
            </w:r>
          </w:p>
        </w:tc>
        <w:tc>
          <w:tcPr>
            <w:tcW w:w="113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Ninguno</w:t>
            </w:r>
          </w:p>
        </w:tc>
      </w:tr>
      <w:tr>
        <w:trPr/>
        <w:tc>
          <w:tcPr>
            <w:tcW w:w="113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G1</w:t>
            </w:r>
          </w:p>
        </w:tc>
        <w:tc>
          <w:tcPr>
            <w:tcW w:w="1134"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5</w:t>
            </w:r>
          </w:p>
        </w:tc>
        <w:tc>
          <w:tcPr>
            <w:tcW w:w="1134"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17</w:t>
            </w:r>
          </w:p>
        </w:tc>
        <w:tc>
          <w:tcPr>
            <w:tcW w:w="113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0</w:t>
            </w:r>
          </w:p>
        </w:tc>
      </w:tr>
      <w:tr>
        <w:trPr/>
        <w:tc>
          <w:tcPr>
            <w:tcW w:w="113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G2</w:t>
            </w:r>
          </w:p>
        </w:tc>
        <w:tc>
          <w:tcPr>
            <w:tcW w:w="1134"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w:t>
            </w:r>
          </w:p>
        </w:tc>
        <w:tc>
          <w:tcPr>
            <w:tcW w:w="1134"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9</w:t>
            </w:r>
          </w:p>
        </w:tc>
        <w:tc>
          <w:tcPr>
            <w:tcW w:w="113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0</w:t>
            </w:r>
          </w:p>
        </w:tc>
      </w:tr>
      <w:tr>
        <w:trPr/>
        <w:tc>
          <w:tcPr>
            <w:tcW w:w="113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G3</w:t>
            </w:r>
          </w:p>
        </w:tc>
        <w:tc>
          <w:tcPr>
            <w:tcW w:w="1134"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w:t>
            </w:r>
          </w:p>
        </w:tc>
        <w:tc>
          <w:tcPr>
            <w:tcW w:w="1134"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20</w:t>
            </w:r>
          </w:p>
        </w:tc>
        <w:tc>
          <w:tcPr>
            <w:tcW w:w="1133"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4</w:t>
            </w:r>
          </w:p>
        </w:tc>
      </w:tr>
    </w:tbl>
    <w:p>
      <w:pPr>
        <w:pStyle w:val="Normal"/>
        <w:spacing w:lineRule="auto" w:line="240" w:before="0" w:after="0"/>
        <w:ind w:left="0" w:right="0" w:hanging="0"/>
        <w:rPr>
          <w:rFonts w:cs="Times New Roman"/>
        </w:rPr>
      </w:pPr>
      <w:r>
        <w:rPr>
          <w:rFonts w:ascii="Times New Roman" w:hAnsi="Times New Roman"/>
          <w:sz w:val="20"/>
          <w:szCs w:val="20"/>
        </w:rPr>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Para explicar el número importante de estudiantes que actualmente están estudiando inglés, se debe mencionar que desde el 2002, todos los programas de estudio de licenciatura de la FIQ incluyen el dominio del idioma inglés a nivel intermedio como requisito de medio término. Las actualizaciones de los planes de estudio al MEFI han establecido el requisito de la acreditación del idioma inglés al alcanzar el 60% de créditos de avance en todas las licenciaturas (equivalente a 420 puntos en un examen TOEFL). Así que con el objeto de apoyar la formación integral de los estudiantes en el dominio de un segundo idioma, se imparten cursos gratuitos de inglés, bajo la supervisión del Programa Institucional de Inglés de la UADY que permita alcanzar al menos el nivel B1 del marco de referencia europeo en el nivel licenciatura. Además, para complementar el estudio del idioma inglés de forma autónoma, se cuenta con un centro de auto acceso con el cual los estudiantes pueden organizarse para estudiar en forma independiente.</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Algunos estudiantes acreditan el nivel de inglés solicitado en licenciatura, desde su ingreso a la FIQ. Finalmente, en la Tabla 4 se muestra la información reportada por los estudiantes de la muestra con respecto a la pregunta 9, que corresponde a la intención de realizar algún intercambio en el futuro.</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 xml:space="preserve">Tabla 3. Estudiantes de la muestra según la intención </w:t>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de intercambio. Fuente: Elaboración propia.</w:t>
      </w:r>
    </w:p>
    <w:p>
      <w:pPr>
        <w:pStyle w:val="Normal"/>
        <w:spacing w:lineRule="auto" w:line="240" w:before="0" w:after="0"/>
        <w:ind w:left="0" w:right="0" w:hanging="0"/>
        <w:jc w:val="center"/>
        <w:rPr>
          <w:rFonts w:cs="Times New Roman"/>
        </w:rPr>
      </w:pPr>
      <w:r>
        <w:rPr>
          <w:rFonts w:ascii="Times New Roman" w:hAnsi="Times New Roman"/>
          <w:b/>
          <w:bCs/>
          <w:i w:val="false"/>
          <w:iCs w:val="false"/>
          <w:sz w:val="20"/>
          <w:szCs w:val="20"/>
        </w:rPr>
      </w:r>
    </w:p>
    <w:tbl>
      <w:tblPr>
        <w:tblStyle w:val="Tablaconcuadrcula"/>
        <w:tblW w:w="45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11"/>
        <w:gridCol w:w="1512"/>
        <w:gridCol w:w="1512"/>
      </w:tblGrid>
      <w:tr>
        <w:trPr/>
        <w:tc>
          <w:tcPr>
            <w:tcW w:w="1511"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Grupo</w:t>
            </w:r>
          </w:p>
        </w:tc>
        <w:tc>
          <w:tcPr>
            <w:tcW w:w="1512" w:type="dxa"/>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Tipo de intercambio</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Número de alumnos</w:t>
            </w:r>
          </w:p>
        </w:tc>
      </w:tr>
      <w:tr>
        <w:trPr/>
        <w:tc>
          <w:tcPr>
            <w:tcW w:w="1511" w:type="dxa"/>
            <w:vMerge w:val="restart"/>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G1</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Nacional</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w:t>
            </w:r>
          </w:p>
        </w:tc>
      </w:tr>
      <w:tr>
        <w:trPr/>
        <w:tc>
          <w:tcPr>
            <w:tcW w:w="1511" w:type="dxa"/>
            <w:vMerge w:val="continue"/>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Internacional</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18</w:t>
            </w:r>
          </w:p>
        </w:tc>
      </w:tr>
      <w:tr>
        <w:trPr/>
        <w:tc>
          <w:tcPr>
            <w:tcW w:w="1511" w:type="dxa"/>
            <w:vMerge w:val="continue"/>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Ninguno</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2</w:t>
            </w:r>
          </w:p>
        </w:tc>
      </w:tr>
      <w:tr>
        <w:trPr/>
        <w:tc>
          <w:tcPr>
            <w:tcW w:w="1511" w:type="dxa"/>
            <w:vMerge w:val="restart"/>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G2</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Nacional</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0</w:t>
            </w:r>
          </w:p>
        </w:tc>
      </w:tr>
      <w:tr>
        <w:trPr/>
        <w:tc>
          <w:tcPr>
            <w:tcW w:w="1511" w:type="dxa"/>
            <w:vMerge w:val="continue"/>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Internacional</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9</w:t>
            </w:r>
          </w:p>
        </w:tc>
      </w:tr>
      <w:tr>
        <w:trPr/>
        <w:tc>
          <w:tcPr>
            <w:tcW w:w="1511" w:type="dxa"/>
            <w:vMerge w:val="continue"/>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Ninguno</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3</w:t>
            </w:r>
          </w:p>
        </w:tc>
      </w:tr>
      <w:tr>
        <w:trPr/>
        <w:tc>
          <w:tcPr>
            <w:tcW w:w="1511" w:type="dxa"/>
            <w:vMerge w:val="restart"/>
            <w:tcBorders/>
            <w:vAlign w:val="center"/>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G3</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Nacional</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w:t>
            </w:r>
          </w:p>
        </w:tc>
      </w:tr>
      <w:tr>
        <w:trPr/>
        <w:tc>
          <w:tcPr>
            <w:tcW w:w="1511" w:type="dxa"/>
            <w:vMerge w:val="continue"/>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Internacional</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19</w:t>
            </w:r>
          </w:p>
        </w:tc>
      </w:tr>
      <w:tr>
        <w:trPr/>
        <w:tc>
          <w:tcPr>
            <w:tcW w:w="1511" w:type="dxa"/>
            <w:vMerge w:val="continue"/>
            <w:tcBorders/>
          </w:tcPr>
          <w:p>
            <w:pPr>
              <w:pStyle w:val="Normal"/>
              <w:widowControl/>
              <w:spacing w:lineRule="auto" w:line="240" w:before="0" w:after="0"/>
              <w:ind w:left="0" w:right="0" w:hanging="0"/>
              <w:jc w:val="both"/>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Ninguno</w:t>
            </w:r>
          </w:p>
        </w:tc>
        <w:tc>
          <w:tcPr>
            <w:tcW w:w="1512" w:type="dxa"/>
            <w:tcBorders/>
          </w:tcPr>
          <w:p>
            <w:pPr>
              <w:pStyle w:val="Normal"/>
              <w:widowControl/>
              <w:spacing w:lineRule="auto" w:line="240" w:before="0" w:after="0"/>
              <w:ind w:left="0" w:right="0" w:hanging="0"/>
              <w:jc w:val="center"/>
              <w:rPr>
                <w:rFonts w:ascii="Times New Roman" w:hAnsi="Times New Roman" w:eastAsia="Calibri" w:cs="Times New Roman"/>
                <w:kern w:val="0"/>
                <w:sz w:val="20"/>
                <w:szCs w:val="20"/>
                <w:lang w:val="es-MX" w:eastAsia="en-US" w:bidi="ar-SA"/>
              </w:rPr>
            </w:pPr>
            <w:r>
              <w:rPr>
                <w:rFonts w:eastAsia="Calibri" w:cs="Times New Roman" w:ascii="Times New Roman" w:hAnsi="Times New Roman"/>
                <w:kern w:val="0"/>
                <w:sz w:val="20"/>
                <w:szCs w:val="20"/>
                <w:lang w:val="es-MX" w:eastAsia="en-US" w:bidi="ar-SA"/>
              </w:rPr>
              <w:t>6</w:t>
            </w:r>
          </w:p>
        </w:tc>
      </w:tr>
    </w:tbl>
    <w:p>
      <w:pPr>
        <w:pStyle w:val="Normal"/>
        <w:spacing w:lineRule="auto" w:line="240" w:before="0" w:after="0"/>
        <w:ind w:left="0" w:right="0" w:hanging="0"/>
        <w:rPr>
          <w:rFonts w:cs="Times New Roman"/>
        </w:rPr>
      </w:pPr>
      <w:r>
        <w:rPr>
          <w:rFonts w:ascii="Times New Roman" w:hAnsi="Times New Roman"/>
          <w:sz w:val="20"/>
          <w:szCs w:val="20"/>
        </w:rPr>
      </w:r>
    </w:p>
    <w:p>
      <w:pPr>
        <w:pStyle w:val="Normal"/>
        <w:spacing w:lineRule="auto" w:line="240" w:before="0" w:after="0"/>
        <w:ind w:left="0" w:right="0" w:hanging="0"/>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 todos los grupos, se observa un número importante de estudiantes que reporta interés en intercambio internacional principalmente, es posible que resulte de la promoción realizada a los intercambios académicos desde el curso de inducción a la FIQ y en diversas actividades que promueven la internacionalización de los programas educativos.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Entre los intercambios académicos, se debe mencionar los que se realizan mediante convenios con las siguientes escuelas francesas: Ecole Nationale de Chimie de Clermont-Ferrand; Ecole Nationale de Chimie de Lille; Ecole Nationale de Chimie de Rennes y Ecole Nationale de Chimie et de Physique de Bordeaux, junto con el Programa México Francia Ingeniería y Tecnología (MEXFITEC). A través de estos convenios, algunos estudiantes de la FIQ han realizado estancias de uno o dos años en estas universidades francesas. Al regresar se les reconoce una equivalencia de créditos y tienen la posibilidad de obtener un doble diploma.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También se cuenta con las estancias para realizar estudios de un semestre o un año en diferentes universidades americanas y europeas con las que la UADY tiene convenio, por ejemplo, las Universidades de Zaragoza, Mondragón, Miguel de Cervantes, Málaga y Granada en España; la Universidad de Ciencias Aplicadas de Stuttgart en Alemania y la Universidad de Wisconsin-Green Bay en Estados Unidos.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 importante mencionar que también como parte de los convenios, cada semestre se tiene la presencia de algunos estudiantes de las universidades mencionadas y otras de Latinoamérica, realizando estancias académicas en la FIQ.</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sz w:val="20"/>
          <w:szCs w:val="20"/>
        </w:rPr>
        <w:t>IV. CONCLUSIONES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percepción estudiantil sobre interculturalidad reflejada mediante la encuesta y descrita en este trabajo permite reflexionar en la gran oportunidad que se tiene de promoverla en forma transversal y durante toda la trayectoria escolar. Los resultados obtenidos muestran la importancia de utilizar la numerosa presencia de estudiantes de diferentes estados y de poblaciones del interior del estado para promover la interculturalidad principalmente en el ámbito de la formación integral de los estudiantes en el nivel de licenciatura.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 importante, también, enfatizar entre los estudiantes la importancia de actividades relacionadas a la convivencia social y académica, que incluyan no sólo a los grupos identificados en el presente trabajo, sino que también a estudiantes de la Facultad de Ingeniería y la Facultad de Matemáticas que, junto con la FIQ, conforman el Campus de Ciencias Exactas e Ingeniería (CCEI).</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Se deben potenciar circunstancias ya establecidas, por ejemplo, el hecho de que durante los períodos académicos regulares de enero a junio y de agosto a diciembre, se ha establecido en el CCEI, que el horario de los miércoles de 9:00 a 11:00 horas sea para la impartición de talleres de formación integral para fomentar actividades artísticas, deportivas y de superación personal y que este horario se mantenga libre de programación de cursos de cada programa educativo y los alumnos puedan participar en los talleres.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Los profesores debemos seguir promoviendo las acciones y actividades que ya se han estado desarrollando en la FIQ como los convenios de colaboración con instituciones de educación superior regionales, nacionales y de otros países, el conocimiento del inglés y de otros idiomas y desde luego, la presencia en aumento de más estudiantes de otras regiones, tanto mexicanos como extranjeros en la dependencia.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En particular, la importancia de compartir los resultados obtenidos en este trabajo con los grupos participantes y con otros grupos, es resaltar los objetivos mencionados anteriormente y promover la reflexión acerca de la importancia de enriquecer la formación académica con un enfoque intercultural.</w:t>
      </w:r>
    </w:p>
    <w:p>
      <w:pPr>
        <w:pStyle w:val="Normal"/>
        <w:spacing w:lineRule="auto" w:line="240" w:before="0" w:after="0"/>
        <w:ind w:left="0" w:right="0" w:hanging="0"/>
        <w:jc w:val="both"/>
        <w:rPr>
          <w:rFonts w:cs="Times New Roman"/>
          <w:color w:val="00000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Es importante rescatar que los estudiantes presentan en general, actitudes participativas, muestran interés en expresar sus opiniones y participar en los procesos de enseñanza y aprendizaje. Por lo que es muy importante que los estudiantes tengan claridad en la parte que les corresponde para garantizar su formación integral y el desarrollo de su perfil de egreso que les permita en el futuro una mejor integración profesional y social.</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sz w:val="20"/>
          <w:szCs w:val="20"/>
        </w:rPr>
        <w:t>REFERENCIAS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themeColor="text1"/>
          <w:sz w:val="20"/>
          <w:szCs w:val="20"/>
        </w:rPr>
        <w:t xml:space="preserve">Beelen, J. y De Louw, E. (2020). </w:t>
      </w:r>
      <w:r>
        <w:rPr>
          <w:rFonts w:cs="Times New Roman" w:ascii="Times New Roman" w:hAnsi="Times New Roman"/>
          <w:color w:val="000000" w:themeColor="text1"/>
          <w:sz w:val="20"/>
          <w:szCs w:val="20"/>
          <w:lang w:val="en-US"/>
        </w:rPr>
        <w:t>Internationalisation at home: past, present and future. European Association for International Education. En https://www.eaie.org/blog/internationalisation-home-past-present-future.html</w:t>
      </w:r>
    </w:p>
    <w:p>
      <w:pPr>
        <w:pStyle w:val="Normal"/>
        <w:spacing w:lineRule="auto" w:line="240" w:before="0" w:after="0"/>
        <w:ind w:left="0" w:right="0" w:hanging="0"/>
        <w:jc w:val="both"/>
        <w:rPr>
          <w:rFonts w:cs="Times New Roman"/>
          <w:color w:val="000000" w:themeColor="text1"/>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themeColor="text1"/>
          <w:sz w:val="20"/>
          <w:szCs w:val="20"/>
        </w:rPr>
        <w:t>Mora, S y Oliveira, O de (2022). Entre la desilusión y la esperanza: jóvenes en una sociedad desigual. México: El Colegio de México.</w:t>
      </w:r>
    </w:p>
    <w:p>
      <w:pPr>
        <w:pStyle w:val="Normal"/>
        <w:spacing w:lineRule="auto" w:line="240" w:before="0" w:after="0"/>
        <w:ind w:left="0" w:right="0" w:hanging="0"/>
        <w:jc w:val="both"/>
        <w:rPr>
          <w:rFonts w:cs="Times New Roman"/>
          <w:color w:val="000000" w:themeColor="text1"/>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themeColor="text1"/>
          <w:sz w:val="20"/>
          <w:szCs w:val="20"/>
        </w:rPr>
        <w:t>Universidad Autónoma de Yucatán (2021). Modelo Educativo para la Formación Integral. México: Universidad Autónoma de Yucatán.</w:t>
      </w:r>
    </w:p>
    <w:p>
      <w:pPr>
        <w:pStyle w:val="Normal"/>
        <w:spacing w:lineRule="auto" w:line="240" w:before="0" w:after="0"/>
        <w:ind w:left="0" w:right="0" w:hanging="0"/>
        <w:jc w:val="both"/>
        <w:rPr>
          <w:rFonts w:cs="Times New Roman"/>
          <w:color w:val="000000" w:themeColor="text1"/>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themeColor="text1"/>
          <w:sz w:val="20"/>
          <w:szCs w:val="20"/>
        </w:rPr>
        <w:t>Universidad Autónoma de Yucatán (2019). Plan de Desarrollo Institucional 2019-2030. México: Universidad Autónoma de Yucatán.</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Universidad Autónoma de Yucatán (2015). Guía para la implementación de los ejes del MEFI. México: UADY.</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Universidad Autónoma de Yucatán (2012). Modelo Educativo para la Formación Integral. México: UADY.</w:t>
      </w:r>
    </w:p>
    <w:p>
      <w:pPr>
        <w:sectPr>
          <w:type w:val="continuous"/>
          <w:pgSz w:w="12240" w:h="15840"/>
          <w:pgMar w:left="1417" w:right="1417" w:header="1417" w:top="2044" w:footer="1417" w:bottom="1757" w:gutter="0"/>
          <w:cols w:num="2" w:space="282" w:equalWidth="true" w:sep="false"/>
          <w:formProt w:val="false"/>
          <w:textDirection w:val="lrTb"/>
          <w:docGrid w:type="default" w:linePitch="360" w:charSpace="4096"/>
        </w:sectPr>
      </w:pP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i/>
          <w:i/>
          <w:iCs/>
          <w:sz w:val="20"/>
          <w:szCs w:val="20"/>
        </w:rPr>
      </w:pPr>
      <w:r>
        <w:rPr>
          <w:rFonts w:cs="Times New Roman" w:ascii="Times New Roman" w:hAnsi="Times New Roman"/>
          <w:i/>
          <w:iCs/>
          <w:sz w:val="20"/>
          <w:szCs w:val="20"/>
        </w:rPr>
        <w:t>Anexo 1. Encuesta administrada.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cs="Times New Roman" w:ascii="Times New Roman" w:hAnsi="Times New Roman"/>
          <w:sz w:val="20"/>
          <w:szCs w:val="20"/>
        </w:rPr>
        <w:t>Universidad Autónoma de Yucatán</w:t>
      </w:r>
    </w:p>
    <w:p>
      <w:pPr>
        <w:pStyle w:val="Normal"/>
        <w:spacing w:lineRule="auto" w:line="240" w:before="0" w:after="0"/>
        <w:ind w:left="0" w:right="0" w:hanging="0"/>
        <w:jc w:val="center"/>
        <w:rPr>
          <w:rFonts w:ascii="Times New Roman" w:hAnsi="Times New Roman"/>
          <w:sz w:val="20"/>
          <w:szCs w:val="20"/>
        </w:rPr>
      </w:pPr>
      <w:r>
        <w:rPr>
          <w:rFonts w:cs="Times New Roman" w:ascii="Times New Roman" w:hAnsi="Times New Roman"/>
          <w:sz w:val="20"/>
          <w:szCs w:val="20"/>
        </w:rPr>
        <w:t>Facultad de Ingeniería Química.</w:t>
      </w:r>
    </w:p>
    <w:p>
      <w:pPr>
        <w:pStyle w:val="Normal"/>
        <w:spacing w:lineRule="auto" w:line="240" w:before="0" w:after="0"/>
        <w:ind w:left="0" w:right="0" w:hanging="0"/>
        <w:jc w:val="center"/>
        <w:rPr>
          <w:rFonts w:ascii="Times New Roman" w:hAnsi="Times New Roman"/>
          <w:sz w:val="20"/>
          <w:szCs w:val="20"/>
        </w:rPr>
      </w:pPr>
      <w:r>
        <w:rPr>
          <w:rFonts w:cs="Times New Roman" w:ascii="Times New Roman" w:hAnsi="Times New Roman"/>
          <w:sz w:val="20"/>
          <w:szCs w:val="20"/>
        </w:rPr>
        <w:t>Área de Ciencias Básicas (matemáticas)</w:t>
      </w:r>
    </w:p>
    <w:p>
      <w:pPr>
        <w:pStyle w:val="Normal"/>
        <w:spacing w:lineRule="auto" w:line="240" w:before="0" w:after="0"/>
        <w:ind w:left="0" w:right="0" w:hanging="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cs="Times New Roman" w:ascii="Times New Roman" w:hAnsi="Times New Roman"/>
          <w:sz w:val="20"/>
          <w:szCs w:val="20"/>
        </w:rPr>
        <w:t>1er Encuentro de Experiencias sobre iniciativas Educativas y Estudios Interculturales en el S-SE</w:t>
      </w:r>
    </w:p>
    <w:p>
      <w:pPr>
        <w:pStyle w:val="Normal"/>
        <w:spacing w:lineRule="auto" w:line="240" w:before="0" w:after="0"/>
        <w:ind w:left="0" w:right="0" w:hanging="0"/>
        <w:jc w:val="right"/>
        <w:rPr>
          <w:rFonts w:ascii="Times New Roman" w:hAnsi="Times New Roman"/>
          <w:sz w:val="20"/>
          <w:szCs w:val="20"/>
        </w:rPr>
      </w:pPr>
      <w:r>
        <w:rPr>
          <w:rFonts w:cs="Times New Roman" w:ascii="Times New Roman" w:hAnsi="Times New Roman"/>
          <w:sz w:val="20"/>
          <w:szCs w:val="20"/>
        </w:rPr>
        <w:t>Período académico agosto-diciembre 2022</w:t>
      </w:r>
    </w:p>
    <w:p>
      <w:pPr>
        <w:pStyle w:val="Normal"/>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Agradezco de antemano, la respuesta sincera a la siguiente encuesta anónima. Se compartirán los resultados obtenidos, para reflexionar acerca del enfoque intercultural en la formación académica.</w:t>
      </w:r>
    </w:p>
    <w:p>
      <w:pPr>
        <w:pStyle w:val="Normal"/>
        <w:spacing w:lineRule="auto" w:line="240" w:before="0" w:after="0"/>
        <w:ind w:left="0" w:right="0" w:hanging="0"/>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4"/>
        </w:numPr>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Género          M--------          F---------</w:t>
      </w:r>
    </w:p>
    <w:p>
      <w:pPr>
        <w:pStyle w:val="ListParagraph"/>
        <w:numPr>
          <w:ilvl w:val="0"/>
          <w:numId w:val="1"/>
        </w:numPr>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Carrera que estás cursando:       LIQA------    IQI-------    IA-------   IB-----   IIL------</w:t>
      </w:r>
    </w:p>
    <w:p>
      <w:pPr>
        <w:pStyle w:val="ListParagraph"/>
        <w:numPr>
          <w:ilvl w:val="0"/>
          <w:numId w:val="1"/>
        </w:numPr>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¿Cuál es tu ciudad y estado de origen? ------------------------------------------------------</w:t>
      </w:r>
    </w:p>
    <w:p>
      <w:pPr>
        <w:pStyle w:val="ListParagraph"/>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En caso de ser de la cd de Mérida, puedes escribir las respuestas siguientes, comparando con alguna ciudad del interior del estado que conozcas.</w:t>
      </w:r>
    </w:p>
    <w:p>
      <w:pPr>
        <w:pStyle w:val="ListParagraph"/>
        <w:numPr>
          <w:ilvl w:val="0"/>
          <w:numId w:val="1"/>
        </w:numPr>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 xml:space="preserve">¿Qué experiencias has tenido con la </w:t>
      </w:r>
      <w:r>
        <w:rPr>
          <w:rFonts w:cs="Times New Roman" w:ascii="Times New Roman" w:hAnsi="Times New Roman"/>
          <w:b/>
          <w:bCs/>
          <w:sz w:val="20"/>
          <w:szCs w:val="20"/>
        </w:rPr>
        <w:t>gastronomía</w:t>
      </w:r>
      <w:r>
        <w:rPr>
          <w:rFonts w:cs="Times New Roman" w:ascii="Times New Roman" w:hAnsi="Times New Roman"/>
          <w:sz w:val="20"/>
          <w:szCs w:val="20"/>
        </w:rPr>
        <w:t xml:space="preserve"> yucateca?  </w:t>
      </w:r>
    </w:p>
    <w:p>
      <w:pPr>
        <w:pStyle w:val="ListParagraph"/>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Buena------      Regular-------      No buena------</w:t>
      </w:r>
    </w:p>
    <w:p>
      <w:pPr>
        <w:pStyle w:val="ListParagraph"/>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Escribe por qué----------------------------------------------------------------------------------</w:t>
      </w:r>
    </w:p>
    <w:p>
      <w:pPr>
        <w:pStyle w:val="ListParagraph"/>
        <w:numPr>
          <w:ilvl w:val="0"/>
          <w:numId w:val="1"/>
        </w:numPr>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 xml:space="preserve">¿Qué experiencias has tenido con las </w:t>
      </w:r>
      <w:r>
        <w:rPr>
          <w:rFonts w:cs="Times New Roman" w:ascii="Times New Roman" w:hAnsi="Times New Roman"/>
          <w:b/>
          <w:bCs/>
          <w:sz w:val="20"/>
          <w:szCs w:val="20"/>
        </w:rPr>
        <w:t>tradiciones</w:t>
      </w:r>
      <w:r>
        <w:rPr>
          <w:rFonts w:cs="Times New Roman" w:ascii="Times New Roman" w:hAnsi="Times New Roman"/>
          <w:sz w:val="20"/>
          <w:szCs w:val="20"/>
        </w:rPr>
        <w:t xml:space="preserve"> yucatecas (Hanal Pixán, vaquería, etc)? </w:t>
      </w:r>
    </w:p>
    <w:p>
      <w:pPr>
        <w:pStyle w:val="ListParagraph"/>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Buena------       Regular-------      No buena-----</w:t>
      </w:r>
    </w:p>
    <w:p>
      <w:pPr>
        <w:pStyle w:val="ListParagraph"/>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Escribe por qué----------------------------------------------------------------------------------</w:t>
      </w:r>
    </w:p>
    <w:p>
      <w:pPr>
        <w:pStyle w:val="ListParagraph"/>
        <w:numPr>
          <w:ilvl w:val="0"/>
          <w:numId w:val="1"/>
        </w:numPr>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¿Qué experiencias has tenido con las</w:t>
      </w:r>
      <w:r>
        <w:rPr>
          <w:rFonts w:cs="Times New Roman" w:ascii="Times New Roman" w:hAnsi="Times New Roman"/>
          <w:b/>
          <w:bCs/>
          <w:sz w:val="20"/>
          <w:szCs w:val="20"/>
        </w:rPr>
        <w:t xml:space="preserve"> artes</w:t>
      </w:r>
      <w:r>
        <w:rPr>
          <w:rFonts w:cs="Times New Roman" w:ascii="Times New Roman" w:hAnsi="Times New Roman"/>
          <w:sz w:val="20"/>
          <w:szCs w:val="20"/>
        </w:rPr>
        <w:t xml:space="preserve"> yucatecas (música, folklore, etc)?  </w:t>
      </w:r>
    </w:p>
    <w:p>
      <w:pPr>
        <w:pStyle w:val="ListParagraph"/>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Buena------        Regular-------         No buena------</w:t>
      </w:r>
    </w:p>
    <w:p>
      <w:pPr>
        <w:pStyle w:val="ListParagraph"/>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Escribe por qué----------------------------------------------------------------------------------</w:t>
      </w:r>
    </w:p>
    <w:p>
      <w:pPr>
        <w:pStyle w:val="ListParagraph"/>
        <w:numPr>
          <w:ilvl w:val="0"/>
          <w:numId w:val="1"/>
        </w:numPr>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 xml:space="preserve">¿Qué es </w:t>
      </w:r>
      <w:r>
        <w:rPr>
          <w:rFonts w:cs="Times New Roman" w:ascii="Times New Roman" w:hAnsi="Times New Roman"/>
          <w:b/>
          <w:bCs/>
          <w:sz w:val="20"/>
          <w:szCs w:val="20"/>
        </w:rPr>
        <w:t>Interculturalidad</w:t>
      </w:r>
      <w:r>
        <w:rPr>
          <w:rFonts w:cs="Times New Roman" w:ascii="Times New Roman" w:hAnsi="Times New Roman"/>
          <w:sz w:val="20"/>
          <w:szCs w:val="20"/>
        </w:rPr>
        <w:t xml:space="preserve"> para ti? ---------------------------------------------------------------------------------------------------------------------------------------------------------------</w:t>
      </w:r>
    </w:p>
    <w:p>
      <w:pPr>
        <w:pStyle w:val="ListParagraph"/>
        <w:numPr>
          <w:ilvl w:val="0"/>
          <w:numId w:val="1"/>
        </w:numPr>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Escribe algún idioma (o alguno que estés estudiando) diferente al español ------------</w:t>
      </w:r>
    </w:p>
    <w:p>
      <w:pPr>
        <w:pStyle w:val="ListParagraph"/>
        <w:numPr>
          <w:ilvl w:val="0"/>
          <w:numId w:val="1"/>
        </w:numPr>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¿Intención de realizar algún intercambio?</w:t>
      </w:r>
    </w:p>
    <w:p>
      <w:pPr>
        <w:pStyle w:val="ListParagraph"/>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Nacional-----                Internacional--------         No---------</w:t>
      </w:r>
    </w:p>
    <w:p>
      <w:pPr>
        <w:pStyle w:val="ListParagraph"/>
        <w:spacing w:lineRule="auto" w:line="240" w:before="0" w:after="0"/>
        <w:ind w:left="0" w:right="0" w:hanging="0"/>
        <w:rPr>
          <w:rFonts w:ascii="Times New Roman" w:hAnsi="Times New Roman"/>
          <w:sz w:val="20"/>
          <w:szCs w:val="20"/>
        </w:rPr>
      </w:pPr>
      <w:r>
        <w:rPr>
          <w:rFonts w:cs="Times New Roman" w:ascii="Times New Roman" w:hAnsi="Times New Roman"/>
          <w:sz w:val="20"/>
          <w:szCs w:val="20"/>
        </w:rPr>
        <w:t>Escribe por qué----------------------------------------------------------------------------------</w:t>
      </w:r>
    </w:p>
    <w:p>
      <w:pPr>
        <w:pStyle w:val="Normal"/>
        <w:spacing w:lineRule="auto" w:line="240" w:before="0" w:after="0"/>
        <w:ind w:left="0" w:right="0" w:hanging="0"/>
        <w:jc w:val="both"/>
        <w:rPr>
          <w:rFonts w:cs="Times New Roman"/>
        </w:rPr>
      </w:pPr>
      <w:r>
        <w:rPr>
          <w:rFonts w:cs="Times New Roman" w:ascii="Times New Roman" w:hAnsi="Times New Roman"/>
          <w:sz w:val="20"/>
          <w:szCs w:val="20"/>
        </w:rPr>
      </w:r>
    </w:p>
    <w:sectPr>
      <w:headerReference w:type="even" r:id="rId20"/>
      <w:headerReference w:type="default" r:id="rId21"/>
      <w:headerReference w:type="first" r:id="rId22"/>
      <w:footerReference w:type="even" r:id="rId23"/>
      <w:footerReference w:type="default" r:id="rId24"/>
      <w:footerReference w:type="first" r:id="rId25"/>
      <w:type w:val="continuous"/>
      <w:pgSz w:w="12240" w:h="15840"/>
      <w:pgMar w:left="1417" w:right="1417" w:header="1417" w:top="2044" w:footer="1417" w:bottom="175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sdt>
    <w:sdtPr>
      <w:docPartObj>
        <w:docPartGallery w:val="Page Numbers (Bottom of Page)"/>
        <w:docPartUnique w:val="true"/>
      </w:docPartObj>
      <w:id w:val="1537287311"/>
    </w:sdtPr>
    <w:sdtContent>
      <w:p>
        <w:pPr>
          <w:pStyle w:val="Contenidodelatabla"/>
          <w:widowControl/>
          <w:bidi w:val="0"/>
          <w:spacing w:lineRule="auto" w:line="360"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sdt>
    <w:sdtPr>
      <w:docPartObj>
        <w:docPartGallery w:val="Page Numbers (Bottom of Page)"/>
        <w:docPartUnique w:val="true"/>
      </w:docPartObj>
      <w:id w:val="1725356199"/>
    </w:sdtPr>
    <w:sdtContent>
      <w:p>
        <w:pPr>
          <w:pStyle w:val="Contenidodelatabla"/>
          <w:widowControl/>
          <w:bidi w:val="0"/>
          <w:spacing w:lineRule="auto" w:line="360"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sdt>
    <w:sdtPr>
      <w:docPartObj>
        <w:docPartGallery w:val="Page Numbers (Bottom of Page)"/>
        <w:docPartUnique w:val="true"/>
      </w:docPartObj>
      <w:id w:val="1251474371"/>
    </w:sdtPr>
    <w:sdtContent>
      <w:p>
        <w:pPr>
          <w:pStyle w:val="Contenidodelatabla"/>
          <w:widowControl/>
          <w:bidi w:val="0"/>
          <w:spacing w:lineRule="auto" w:line="360"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06/Octubre/2023</w:t>
          </w:r>
        </w:p>
        <w:p>
          <w:pPr>
            <w:pStyle w:val="Contenidodelatabla"/>
            <w:widowControl w:val="false"/>
            <w:bidi w:val="0"/>
            <w:spacing w:before="0" w:after="0"/>
            <w:ind w:hanging="0"/>
            <w:jc w:val="left"/>
            <w:rPr/>
          </w:pPr>
          <w:r>
            <w:rPr>
              <w:rFonts w:ascii="Times new roman" w:hAnsi="Times new roman"/>
              <w:sz w:val="16"/>
              <w:szCs w:val="16"/>
            </w:rPr>
            <w:t>Aceptado: 2</w:t>
          </w:r>
          <w:r>
            <w:rPr>
              <w:rFonts w:ascii="Times new roman" w:hAnsi="Times new roman"/>
              <w:sz w:val="16"/>
              <w:szCs w:val="16"/>
            </w:rPr>
            <w:t>0</w:t>
          </w:r>
          <w:r>
            <w:rPr>
              <w:rFonts w:ascii="Times new roman" w:hAnsi="Times new roman"/>
              <w:sz w:val="16"/>
              <w:szCs w:val="16"/>
            </w:rPr>
            <w:t>/Octubre/2023</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sdt>
    <w:sdtPr>
      <w:docPartObj>
        <w:docPartGallery w:val="Page Numbers (Bottom of Page)"/>
        <w:docPartUnique w:val="true"/>
      </w:docPartObj>
      <w:id w:val="1049773997"/>
    </w:sdtPr>
    <w:sdtContent>
      <w:p>
        <w:pPr>
          <w:pStyle w:val="Contenidodelatabla"/>
          <w:widowControl/>
          <w:bidi w:val="0"/>
          <w:spacing w:lineRule="auto" w:line="360"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06/Octubre/2023</w:t>
          </w:r>
        </w:p>
        <w:p>
          <w:pPr>
            <w:pStyle w:val="Contenidodelatabla"/>
            <w:widowControl w:val="false"/>
            <w:bidi w:val="0"/>
            <w:spacing w:before="0" w:after="0"/>
            <w:ind w:hanging="0"/>
            <w:jc w:val="left"/>
            <w:rPr/>
          </w:pPr>
          <w:r>
            <w:rPr>
              <w:rFonts w:ascii="Times new roman" w:hAnsi="Times new roman"/>
              <w:sz w:val="16"/>
              <w:szCs w:val="16"/>
            </w:rPr>
            <w:t>Aceptado: 2</w:t>
          </w:r>
          <w:r>
            <w:rPr>
              <w:rFonts w:ascii="Times new roman" w:hAnsi="Times new roman"/>
              <w:sz w:val="16"/>
              <w:szCs w:val="16"/>
            </w:rPr>
            <w:t>0</w:t>
          </w:r>
          <w:r>
            <w:rPr>
              <w:rFonts w:ascii="Times new roman" w:hAnsi="Times new roman"/>
              <w:sz w:val="16"/>
              <w:szCs w:val="16"/>
            </w:rPr>
            <w:t>/Octubre/2023</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sdt>
    <w:sdtPr>
      <w:docPartObj>
        <w:docPartGallery w:val="Page Numbers (Bottom of Page)"/>
        <w:docPartUnique w:val="true"/>
      </w:docPartObj>
      <w:id w:val="1705208587"/>
    </w:sdtPr>
    <w:sdtContent>
      <w:p>
        <w:pPr>
          <w:pStyle w:val="Contenidodelatabla"/>
          <w:widowControl/>
          <w:bidi w:val="0"/>
          <w:spacing w:lineRule="auto" w:line="360"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sdt>
    <w:sdtPr>
      <w:docPartObj>
        <w:docPartGallery w:val="Page Numbers (Bottom of Page)"/>
        <w:docPartUnique w:val="true"/>
      </w:docPartObj>
      <w:id w:val="1557670461"/>
    </w:sdtPr>
    <w:sdtContent>
      <w:p>
        <w:pPr>
          <w:pStyle w:val="Contenidodelatabla"/>
          <w:widowControl/>
          <w:bidi w:val="0"/>
          <w:spacing w:lineRule="auto" w:line="360"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06/Octubre/2023</w:t>
          </w:r>
        </w:p>
        <w:p>
          <w:pPr>
            <w:pStyle w:val="Contenidodelatabla"/>
            <w:widowControl w:val="false"/>
            <w:bidi w:val="0"/>
            <w:spacing w:before="0" w:after="0"/>
            <w:ind w:hanging="0"/>
            <w:jc w:val="left"/>
            <w:rPr/>
          </w:pPr>
          <w:r>
            <w:rPr>
              <w:rFonts w:ascii="Times new roman" w:hAnsi="Times new roman"/>
              <w:sz w:val="16"/>
              <w:szCs w:val="16"/>
            </w:rPr>
            <w:t>Aceptado: 2</w:t>
          </w:r>
          <w:r>
            <w:rPr>
              <w:rFonts w:ascii="Times new roman" w:hAnsi="Times new roman"/>
              <w:sz w:val="16"/>
              <w:szCs w:val="16"/>
            </w:rPr>
            <w:t>0</w:t>
          </w:r>
          <w:r>
            <w:rPr>
              <w:rFonts w:ascii="Times new roman" w:hAnsi="Times new roman"/>
              <w:sz w:val="16"/>
              <w:szCs w:val="16"/>
            </w:rPr>
            <w:t>/Octubre/2023</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20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sdt>
    <w:sdtPr>
      <w:docPartObj>
        <w:docPartGallery w:val="Page Numbers (Bottom of Page)"/>
        <w:docPartUnique w:val="true"/>
      </w:docPartObj>
      <w:id w:val="1790674857"/>
    </w:sdtPr>
    <w:sdtContent>
      <w:p>
        <w:pPr>
          <w:pStyle w:val="Contenidodelatabla"/>
          <w:widowControl/>
          <w:bidi w:val="0"/>
          <w:spacing w:lineRule="auto" w:line="360"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sdt>
    <w:sdtPr>
      <w:docPartObj>
        <w:docPartGallery w:val="Page Numbers (Bottom of Page)"/>
        <w:docPartUnique w:val="true"/>
      </w:docPartObj>
      <w:id w:val="248584669"/>
    </w:sdtPr>
    <w:sdtContent>
      <w:p>
        <w:pPr>
          <w:pStyle w:val="Contenidodelatabla"/>
          <w:widowControl/>
          <w:bidi w:val="0"/>
          <w:spacing w:lineRule="auto" w:line="360" w:before="120" w:after="60"/>
          <w:jc w:val="center"/>
          <w:rPr>
            <w:rFonts w:ascii="Times New Roman" w:hAnsi="Times New Roman"/>
          </w:rPr>
        </w:pPr>
        <w:r>
          <w:rPr>
            <w:rFonts w:eastAsia="Arial" w:cs="Arial" w:ascii="Times New Roman" w:hAnsi="Times New Roman"/>
            <w:sz w:val="16"/>
            <w:szCs w:val="16"/>
          </w:rPr>
          <w:t xml:space="preserve">© </w:t>
        </w:r>
        <w:r>
          <w:rPr>
            <w:rFonts w:ascii="Times New Roman" w:hAnsi="Times New Roman"/>
            <w:sz w:val="16"/>
            <w:szCs w:val="16"/>
          </w:rPr>
          <w:t>TecNM – Instituto Tecnológico Superior Progreso</w:t>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06/Octubre/2023</w:t>
          </w:r>
        </w:p>
        <w:p>
          <w:pPr>
            <w:pStyle w:val="Contenidodelatabla"/>
            <w:widowControl w:val="false"/>
            <w:bidi w:val="0"/>
            <w:spacing w:before="0" w:after="0"/>
            <w:ind w:hanging="0"/>
            <w:jc w:val="left"/>
            <w:rPr/>
          </w:pPr>
          <w:r>
            <w:rPr>
              <w:rFonts w:ascii="Times new roman" w:hAnsi="Times new roman"/>
              <w:sz w:val="16"/>
              <w:szCs w:val="16"/>
            </w:rPr>
            <w:t>Aceptado: 2</w:t>
          </w:r>
          <w:r>
            <w:rPr>
              <w:rFonts w:ascii="Times new roman" w:hAnsi="Times new roman"/>
              <w:sz w:val="16"/>
              <w:szCs w:val="16"/>
            </w:rPr>
            <w:t>0</w:t>
          </w:r>
          <w:r>
            <w:rPr>
              <w:rFonts w:ascii="Times new roman" w:hAnsi="Times new roman"/>
              <w:sz w:val="16"/>
              <w:szCs w:val="16"/>
            </w:rPr>
            <w:t>/Octubre/2023</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19, pp. 1</w:t>
    </w:r>
    <w:r>
      <w:rPr>
        <w:rFonts w:ascii="Times new roman" w:hAnsi="Times new roman"/>
        <w:b w:val="false"/>
        <w:i/>
        <w:iCs/>
        <w:caps w:val="false"/>
        <w:smallCaps w:val="false"/>
        <w:spacing w:val="0"/>
        <w:sz w:val="16"/>
        <w:szCs w:val="16"/>
      </w:rPr>
      <w:t>54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61</w:t>
    </w:r>
    <w:r>
      <w:rPr>
        <w:rFonts w:ascii="Times new roman" w:hAnsi="Times new roman"/>
        <w:b w:val="false"/>
        <w:i/>
        <w:iCs/>
        <w:caps w:val="false"/>
        <w:smallCaps w:val="false"/>
        <w:spacing w:val="0"/>
        <w:sz w:val="16"/>
        <w:szCs w:val="16"/>
      </w:rPr>
      <w:t>, Enero - Junio 2024</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19, pp. 1</w:t>
    </w:r>
    <w:r>
      <w:rPr>
        <w:rFonts w:ascii="Times new roman" w:hAnsi="Times new roman"/>
        <w:b w:val="false"/>
        <w:i/>
        <w:iCs/>
        <w:caps w:val="false"/>
        <w:smallCaps w:val="false"/>
        <w:spacing w:val="0"/>
        <w:sz w:val="16"/>
        <w:szCs w:val="16"/>
      </w:rPr>
      <w:t>54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61</w:t>
    </w:r>
    <w:r>
      <w:rPr>
        <w:rFonts w:ascii="Times new roman" w:hAnsi="Times new roman"/>
        <w:b w:val="false"/>
        <w:i/>
        <w:iCs/>
        <w:caps w:val="false"/>
        <w:smallCaps w:val="false"/>
        <w:spacing w:val="0"/>
        <w:sz w:val="16"/>
        <w:szCs w:val="16"/>
      </w:rPr>
      <w:t>, Enero - Junio 2024</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19, pp. 1</w:t>
    </w:r>
    <w:r>
      <w:rPr>
        <w:rFonts w:ascii="Times new roman" w:hAnsi="Times new roman"/>
        <w:b w:val="false"/>
        <w:i/>
        <w:iCs/>
        <w:caps w:val="false"/>
        <w:smallCaps w:val="false"/>
        <w:spacing w:val="0"/>
        <w:sz w:val="16"/>
        <w:szCs w:val="16"/>
      </w:rPr>
      <w:t>54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61</w:t>
    </w:r>
    <w:r>
      <w:rPr>
        <w:rFonts w:ascii="Times new roman" w:hAnsi="Times new roman"/>
        <w:b w:val="false"/>
        <w:i/>
        <w:iCs/>
        <w:caps w:val="false"/>
        <w:smallCaps w:val="false"/>
        <w:spacing w:val="0"/>
        <w:sz w:val="16"/>
        <w:szCs w:val="16"/>
      </w:rPr>
      <w:t>, Enero - Junio 2024</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4"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19, pp. 1</w:t>
          </w:r>
          <w:r>
            <w:rPr>
              <w:rFonts w:eastAsia="Times New Roman" w:cs="Times New Roman" w:ascii="Times new roman" w:hAnsi="Times new roman"/>
              <w:sz w:val="20"/>
              <w:szCs w:val="20"/>
            </w:rPr>
            <w:t>54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61</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19, pp. 1</w:t>
    </w:r>
    <w:r>
      <w:rPr>
        <w:rFonts w:ascii="Times new roman" w:hAnsi="Times new roman"/>
        <w:b w:val="false"/>
        <w:i/>
        <w:iCs/>
        <w:caps w:val="false"/>
        <w:smallCaps w:val="false"/>
        <w:spacing w:val="0"/>
        <w:sz w:val="16"/>
        <w:szCs w:val="16"/>
      </w:rPr>
      <w:t>54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61</w:t>
    </w:r>
    <w:r>
      <w:rPr>
        <w:rFonts w:ascii="Times new roman" w:hAnsi="Times new roman"/>
        <w:b w:val="false"/>
        <w:i/>
        <w:iCs/>
        <w:caps w:val="false"/>
        <w:smallCaps w:val="false"/>
        <w:spacing w:val="0"/>
        <w:sz w:val="16"/>
        <w:szCs w:val="16"/>
      </w:rPr>
      <w:t>, Enero - Junio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19, pp. 1</w:t>
          </w:r>
          <w:r>
            <w:rPr>
              <w:rFonts w:eastAsia="Times New Roman" w:cs="Times New Roman" w:ascii="Times new roman" w:hAnsi="Times new roman"/>
              <w:sz w:val="20"/>
              <w:szCs w:val="20"/>
            </w:rPr>
            <w:t>54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61</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19, pp. 1</w:t>
    </w:r>
    <w:r>
      <w:rPr>
        <w:rFonts w:ascii="Times new roman" w:hAnsi="Times new roman"/>
        <w:b w:val="false"/>
        <w:i/>
        <w:iCs/>
        <w:caps w:val="false"/>
        <w:smallCaps w:val="false"/>
        <w:spacing w:val="0"/>
        <w:sz w:val="16"/>
        <w:szCs w:val="16"/>
      </w:rPr>
      <w:t>54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61</w:t>
    </w:r>
    <w:r>
      <w:rPr>
        <w:rFonts w:ascii="Times new roman" w:hAnsi="Times new roman"/>
        <w:b w:val="false"/>
        <w:i/>
        <w:iCs/>
        <w:caps w:val="false"/>
        <w:smallCaps w:val="false"/>
        <w:spacing w:val="0"/>
        <w:sz w:val="16"/>
        <w:szCs w:val="16"/>
      </w:rPr>
      <w:t>, Enero - Junio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19, pp. 1</w:t>
    </w:r>
    <w:r>
      <w:rPr>
        <w:rFonts w:ascii="Times new roman" w:hAnsi="Times new roman"/>
        <w:b w:val="false"/>
        <w:i/>
        <w:iCs/>
        <w:caps w:val="false"/>
        <w:smallCaps w:val="false"/>
        <w:spacing w:val="0"/>
        <w:sz w:val="16"/>
        <w:szCs w:val="16"/>
      </w:rPr>
      <w:t>54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61</w:t>
    </w:r>
    <w:r>
      <w:rPr>
        <w:rFonts w:ascii="Times new roman" w:hAnsi="Times new roman"/>
        <w:b w:val="false"/>
        <w:i/>
        <w:iCs/>
        <w:caps w:val="false"/>
        <w:smallCaps w:val="false"/>
        <w:spacing w:val="0"/>
        <w:sz w:val="16"/>
        <w:szCs w:val="16"/>
      </w:rPr>
      <w:t>, Enero - Junio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2"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19, pp. 1</w:t>
          </w:r>
          <w:r>
            <w:rPr>
              <w:rFonts w:eastAsia="Times New Roman" w:cs="Times New Roman" w:ascii="Times new roman" w:hAnsi="Times new roman"/>
              <w:sz w:val="20"/>
              <w:szCs w:val="20"/>
            </w:rPr>
            <w:t>54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61</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19, pp. 1</w:t>
    </w:r>
    <w:r>
      <w:rPr>
        <w:rFonts w:ascii="Times new roman" w:hAnsi="Times new roman"/>
        <w:b w:val="false"/>
        <w:i/>
        <w:iCs/>
        <w:caps w:val="false"/>
        <w:smallCaps w:val="false"/>
        <w:spacing w:val="0"/>
        <w:sz w:val="16"/>
        <w:szCs w:val="16"/>
      </w:rPr>
      <w:t>54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61</w:t>
    </w:r>
    <w:r>
      <w:rPr>
        <w:rFonts w:ascii="Times new roman" w:hAnsi="Times new roman"/>
        <w:b w:val="false"/>
        <w:i/>
        <w:iCs/>
        <w:caps w:val="false"/>
        <w:smallCaps w:val="false"/>
        <w:spacing w:val="0"/>
        <w:sz w:val="16"/>
        <w:szCs w:val="16"/>
      </w:rPr>
      <w:t>, Enero - Junio 2024</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19, pp. 1</w:t>
    </w:r>
    <w:r>
      <w:rPr>
        <w:rFonts w:ascii="Times new roman" w:hAnsi="Times new roman"/>
        <w:b w:val="false"/>
        <w:i/>
        <w:iCs/>
        <w:caps w:val="false"/>
        <w:smallCaps w:val="false"/>
        <w:spacing w:val="0"/>
        <w:sz w:val="16"/>
        <w:szCs w:val="16"/>
      </w:rPr>
      <w:t>54</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61</w:t>
    </w:r>
    <w:r>
      <w:rPr>
        <w:rFonts w:ascii="Times new roman" w:hAnsi="Times new roman"/>
        <w:b w:val="false"/>
        <w:i/>
        <w:iCs/>
        <w:caps w:val="false"/>
        <w:smallCaps w:val="false"/>
        <w:spacing w:val="0"/>
        <w:sz w:val="16"/>
        <w:szCs w:val="16"/>
      </w:rPr>
      <w:t>, Enero - Junio 2024</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3"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19, pp. 1</w:t>
          </w:r>
          <w:r>
            <w:rPr>
              <w:rFonts w:eastAsia="Times New Roman" w:cs="Times New Roman" w:ascii="Times new roman" w:hAnsi="Times new roman"/>
              <w:sz w:val="20"/>
              <w:szCs w:val="20"/>
            </w:rPr>
            <w:t>54</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61</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661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Ttulo2">
    <w:name w:val="Heading 2"/>
    <w:basedOn w:val="Normal"/>
    <w:link w:val="Ttulo2Car"/>
    <w:uiPriority w:val="9"/>
    <w:qFormat/>
    <w:rsid w:val="00cf09f0"/>
    <w:pPr>
      <w:spacing w:lineRule="auto" w:line="240" w:beforeAutospacing="1" w:afterAutospacing="1"/>
      <w:outlineLvl w:val="1"/>
    </w:pPr>
    <w:rPr>
      <w:rFonts w:ascii="Times New Roman" w:hAnsi="Times New Roman" w:eastAsia="Times New Roman" w:cs="Times New Roman"/>
      <w:b/>
      <w:bCs/>
      <w:sz w:val="36"/>
      <w:szCs w:val="36"/>
      <w:lang w:eastAsia="es-MX"/>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uiPriority w:val="99"/>
    <w:semiHidden/>
    <w:qFormat/>
    <w:rsid w:val="00c655cc"/>
    <w:rPr>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c655cc"/>
    <w:rPr>
      <w:vertAlign w:val="superscript"/>
    </w:rPr>
  </w:style>
  <w:style w:type="character" w:styleId="EncabezadoCar" w:customStyle="1">
    <w:name w:val="Encabezado Car"/>
    <w:basedOn w:val="DefaultParagraphFont"/>
    <w:link w:val="Encabezado"/>
    <w:uiPriority w:val="99"/>
    <w:semiHidden/>
    <w:qFormat/>
    <w:rsid w:val="009a1c5e"/>
    <w:rPr/>
  </w:style>
  <w:style w:type="character" w:styleId="PiedepginaCar" w:customStyle="1">
    <w:name w:val="Pie de página Car"/>
    <w:basedOn w:val="DefaultParagraphFont"/>
    <w:link w:val="Piedepgina"/>
    <w:uiPriority w:val="99"/>
    <w:qFormat/>
    <w:rsid w:val="009a1c5e"/>
    <w:rPr/>
  </w:style>
  <w:style w:type="character" w:styleId="TextodegloboCar" w:customStyle="1">
    <w:name w:val="Texto de globo Car"/>
    <w:basedOn w:val="DefaultParagraphFont"/>
    <w:link w:val="Textodeglobo"/>
    <w:uiPriority w:val="99"/>
    <w:semiHidden/>
    <w:qFormat/>
    <w:rsid w:val="00312e3d"/>
    <w:rPr>
      <w:rFonts w:ascii="Tahoma" w:hAnsi="Tahoma" w:cs="Tahoma"/>
      <w:sz w:val="16"/>
      <w:szCs w:val="16"/>
    </w:rPr>
  </w:style>
  <w:style w:type="character" w:styleId="TextonotaalfinalCar" w:customStyle="1">
    <w:name w:val="Texto nota al final Car"/>
    <w:basedOn w:val="DefaultParagraphFont"/>
    <w:link w:val="Textonotaalfinal"/>
    <w:uiPriority w:val="99"/>
    <w:semiHidden/>
    <w:qFormat/>
    <w:rsid w:val="00312e3d"/>
    <w:rPr>
      <w:sz w:val="20"/>
      <w:szCs w:val="20"/>
    </w:rPr>
  </w:style>
  <w:style w:type="character" w:styleId="Ancladenotafinal">
    <w:name w:val="Ancla de nota final"/>
    <w:rPr>
      <w:vertAlign w:val="superscript"/>
    </w:rPr>
  </w:style>
  <w:style w:type="character" w:styleId="EndnoteCharacters">
    <w:name w:val="Endnote Characters"/>
    <w:basedOn w:val="DefaultParagraphFont"/>
    <w:uiPriority w:val="99"/>
    <w:semiHidden/>
    <w:unhideWhenUsed/>
    <w:qFormat/>
    <w:rsid w:val="00312e3d"/>
    <w:rPr>
      <w:vertAlign w:val="superscript"/>
    </w:rPr>
  </w:style>
  <w:style w:type="character" w:styleId="Strong">
    <w:name w:val="Strong"/>
    <w:basedOn w:val="DefaultParagraphFont"/>
    <w:uiPriority w:val="22"/>
    <w:qFormat/>
    <w:rsid w:val="00785b78"/>
    <w:rPr>
      <w:b/>
      <w:bCs/>
    </w:rPr>
  </w:style>
  <w:style w:type="character" w:styleId="EnlacedeInternet">
    <w:name w:val="Enlace de Internet"/>
    <w:basedOn w:val="DefaultParagraphFont"/>
    <w:uiPriority w:val="99"/>
    <w:unhideWhenUsed/>
    <w:rsid w:val="002c2470"/>
    <w:rPr>
      <w:color w:val="0000FF" w:themeColor="hyperlink"/>
      <w:u w:val="single"/>
    </w:rPr>
  </w:style>
  <w:style w:type="character" w:styleId="Ttulo2Car" w:customStyle="1">
    <w:name w:val="Título 2 Car"/>
    <w:basedOn w:val="DefaultParagraphFont"/>
    <w:link w:val="Ttulo2"/>
    <w:uiPriority w:val="9"/>
    <w:qFormat/>
    <w:rsid w:val="00cf09f0"/>
    <w:rPr>
      <w:rFonts w:ascii="Times New Roman" w:hAnsi="Times New Roman" w:eastAsia="Times New Roman" w:cs="Times New Roman"/>
      <w:b/>
      <w:bCs/>
      <w:sz w:val="36"/>
      <w:szCs w:val="36"/>
      <w:lang w:eastAsia="es-MX"/>
    </w:rPr>
  </w:style>
  <w:style w:type="character" w:styleId="UnresolvedMention">
    <w:name w:val="Unresolved Mention"/>
    <w:basedOn w:val="DefaultParagraphFont"/>
    <w:uiPriority w:val="99"/>
    <w:semiHidden/>
    <w:unhideWhenUsed/>
    <w:qFormat/>
    <w:rsid w:val="00cf09f0"/>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taalpie">
    <w:name w:val="Footnote Text"/>
    <w:basedOn w:val="Normal"/>
    <w:link w:val="TextonotapieCar"/>
    <w:uiPriority w:val="99"/>
    <w:semiHidden/>
    <w:unhideWhenUsed/>
    <w:rsid w:val="00c655cc"/>
    <w:pPr>
      <w:spacing w:lineRule="auto" w:line="240" w:before="0" w:after="0"/>
    </w:pPr>
    <w:rPr>
      <w:sz w:val="20"/>
      <w:szCs w:val="20"/>
    </w:rPr>
  </w:style>
  <w:style w:type="paragraph" w:styleId="Cabeceraypie">
    <w:name w:val="Cabecera y pie"/>
    <w:basedOn w:val="Normal"/>
    <w:qFormat/>
    <w:pPr/>
    <w:rPr/>
  </w:style>
  <w:style w:type="paragraph" w:styleId="Cabecera">
    <w:name w:val="Header"/>
    <w:basedOn w:val="Normal"/>
    <w:link w:val="EncabezadoCar"/>
    <w:uiPriority w:val="99"/>
    <w:semiHidden/>
    <w:unhideWhenUsed/>
    <w:rsid w:val="009a1c5e"/>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9a1c5e"/>
    <w:pPr>
      <w:tabs>
        <w:tab w:val="clear" w:pos="708"/>
        <w:tab w:val="center" w:pos="4419" w:leader="none"/>
        <w:tab w:val="right" w:pos="8838" w:leader="none"/>
      </w:tabs>
      <w:spacing w:lineRule="auto" w:line="240" w:before="0" w:after="0"/>
    </w:pPr>
    <w:rPr/>
  </w:style>
  <w:style w:type="paragraph" w:styleId="ListParagraph">
    <w:name w:val="List Paragraph"/>
    <w:basedOn w:val="Normal"/>
    <w:uiPriority w:val="34"/>
    <w:qFormat/>
    <w:rsid w:val="009a1c5e"/>
    <w:pPr>
      <w:spacing w:before="0" w:after="200"/>
      <w:ind w:left="720" w:hanging="0"/>
      <w:contextualSpacing/>
    </w:pPr>
    <w:rPr/>
  </w:style>
  <w:style w:type="paragraph" w:styleId="BalloonText">
    <w:name w:val="Balloon Text"/>
    <w:basedOn w:val="Normal"/>
    <w:link w:val="TextodegloboCar"/>
    <w:uiPriority w:val="99"/>
    <w:semiHidden/>
    <w:unhideWhenUsed/>
    <w:qFormat/>
    <w:rsid w:val="00312e3d"/>
    <w:pPr>
      <w:spacing w:lineRule="auto" w:line="240" w:before="0" w:after="0"/>
    </w:pPr>
    <w:rPr>
      <w:rFonts w:ascii="Tahoma" w:hAnsi="Tahoma" w:cs="Tahoma"/>
      <w:sz w:val="16"/>
      <w:szCs w:val="16"/>
    </w:rPr>
  </w:style>
  <w:style w:type="paragraph" w:styleId="Notafinal">
    <w:name w:val="Endnote Text"/>
    <w:basedOn w:val="Normal"/>
    <w:link w:val="TextonotaalfinalCar"/>
    <w:uiPriority w:val="99"/>
    <w:semiHidden/>
    <w:unhideWhenUsed/>
    <w:rsid w:val="00312e3d"/>
    <w:pPr>
      <w:spacing w:lineRule="auto" w:line="240" w:before="0" w:after="0"/>
    </w:pPr>
    <w:rPr>
      <w:sz w:val="20"/>
      <w:szCs w:val="20"/>
    </w:rPr>
  </w:style>
  <w:style w:type="paragraph" w:styleId="Default" w:customStyle="1">
    <w:name w:val="Default"/>
    <w:qFormat/>
    <w:rsid w:val="007e3f68"/>
    <w:pPr>
      <w:widowControl/>
      <w:bidi w:val="0"/>
      <w:spacing w:lineRule="auto" w:line="240" w:before="0" w:after="0"/>
      <w:jc w:val="left"/>
    </w:pPr>
    <w:rPr>
      <w:rFonts w:ascii="Calibri" w:hAnsi="Calibri" w:cs="Calibri" w:eastAsia="Calibri"/>
      <w:color w:val="000000"/>
      <w:kern w:val="0"/>
      <w:sz w:val="24"/>
      <w:szCs w:val="24"/>
      <w:lang w:val="es-MX" w:eastAsia="en-US" w:bidi="ar-SA"/>
    </w:rPr>
  </w:style>
  <w:style w:type="paragraph" w:styleId="NormalWeb">
    <w:name w:val="Normal (Web)"/>
    <w:basedOn w:val="Normal"/>
    <w:uiPriority w:val="99"/>
    <w:unhideWhenUsed/>
    <w:qFormat/>
    <w:rsid w:val="001216f2"/>
    <w:pPr>
      <w:spacing w:lineRule="auto" w:line="240" w:beforeAutospacing="1" w:afterAutospacing="1"/>
    </w:pPr>
    <w:rPr>
      <w:rFonts w:ascii="Times New Roman" w:hAnsi="Times New Roman" w:eastAsia="Times New Roman" w:cs="Times New Roman"/>
      <w:sz w:val="24"/>
      <w:szCs w:val="24"/>
      <w:lang w:eastAsia="es-MX"/>
    </w:rPr>
  </w:style>
  <w:style w:type="paragraph" w:styleId="Revision">
    <w:name w:val="Revision"/>
    <w:uiPriority w:val="99"/>
    <w:semiHidden/>
    <w:qFormat/>
    <w:rsid w:val="00d3219e"/>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Cabeceraizquierda">
    <w:name w:val="Cabecera izquierda"/>
    <w:basedOn w:val="Cabecera"/>
    <w:qFormat/>
    <w:pPr>
      <w:suppressLineNumbers/>
      <w:tabs>
        <w:tab w:val="clear" w:pos="4419"/>
        <w:tab w:val="clear" w:pos="8838"/>
        <w:tab w:val="center" w:pos="4703" w:leader="none"/>
        <w:tab w:val="right" w:pos="9406" w:leader="none"/>
      </w:tabs>
    </w:pPr>
    <w:rPr/>
  </w:style>
  <w:style w:type="paragraph" w:styleId="Contenidodelatabla">
    <w:name w:val="Contenido de la tabla"/>
    <w:basedOn w:val="Normal"/>
    <w:qFormat/>
    <w:pPr>
      <w:jc w:val="center"/>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9a1c5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_rels/header12.xml.rels><?xml version="1.0" encoding="UTF-8"?>
<Relationships xmlns="http://schemas.openxmlformats.org/package/2006/relationships"><Relationship Id="rId1"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2.png"/>
</Relationships>
</file>

<file path=word/_rels/header9.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5975B-211F-4323-B91F-C7AE9243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Application>LibreOffice/7.0.4.2$Linux_X86_64 LibreOffice_project/00$Build-2</Application>
  <AppVersion>15.0000</AppVersion>
  <Pages>8</Pages>
  <Words>4103</Words>
  <Characters>23312</Characters>
  <CharactersWithSpaces>27288</CharactersWithSpaces>
  <Paragraphs>232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2023-10-16T03:32:00Z</dcterms:created>
  <dc:creator>Delta</dc:creator>
  <dc:description/>
  <dc:language>es-MX</dc:language>
  <cp:lastModifiedBy/>
  <cp:lastPrinted>2017-03-16T19:15:00Z</cp:lastPrinted>
  <dcterms:modified xsi:type="dcterms:W3CDTF">2024-01-04T16:19:36Z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