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6.xml.rels" ContentType="application/vnd.openxmlformats-package.relationships+xml"/>
  <Override PartName="/word/_rels/header4.xml.rels" ContentType="application/vnd.openxmlformats-package.relationships+xml"/>
  <Override PartName="/word/header5.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3.jpeg" ContentType="image/jpeg"/>
  <Override PartName="/word/media/image2.jpeg" ContentType="image/jpeg"/>
  <Override PartName="/word/media/image4.jpeg" ContentType="image/jpeg"/>
  <Override PartName="/word/media/image5.png" ContentType="image/png"/>
  <Override PartName="/word/media/image10.png" ContentType="image/png"/>
  <Override PartName="/word/media/image6.jpeg" ContentType="image/jpeg"/>
  <Override PartName="/word/media/image8.png" ContentType="image/png"/>
  <Override PartName="/word/media/image13.png" ContentType="image/png"/>
  <Override PartName="/word/media/image7.png" ContentType="image/png"/>
  <Override PartName="/word/media/image12.png" ContentType="image/png"/>
  <Override PartName="/word/media/image9.png" ContentType="image/png"/>
  <Override PartName="/word/media/image11.png" ContentType="image/png"/>
  <Override PartName="/word/fontTable.xml" ContentType="application/vnd.openxmlformats-officedocument.wordprocessingml.fontTable+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color w:val="000000"/>
          <w:sz w:val="44"/>
          <w:szCs w:val="44"/>
        </w:rPr>
      </w:pPr>
      <w:r>
        <w:rPr>
          <w:rFonts w:cs="Times New Roman" w:ascii="Times New Roman" w:hAnsi="Times New Roman"/>
          <w:b w:val="false"/>
          <w:bCs w:val="false"/>
          <w:color w:val="000000"/>
          <w:sz w:val="44"/>
          <w:szCs w:val="44"/>
        </w:rPr>
        <w:t xml:space="preserve">Tendencias en el tratamiento de muestra para la cuantificación de bisfenoles en muestras sólidas de interés ambiental </w:t>
      </w:r>
    </w:p>
    <w:p>
      <w:pPr>
        <w:pStyle w:val="Normal"/>
        <w:spacing w:lineRule="auto" w:line="240" w:before="0" w:after="0"/>
        <w:ind w:left="0" w:right="0" w:hanging="0"/>
        <w:jc w:val="center"/>
        <w:rPr>
          <w:rFonts w:cs="Times New Roman"/>
          <w:b/>
          <w:b/>
          <w:bCs/>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b w:val="false"/>
          <w:b w:val="false"/>
          <w:bCs w:val="false"/>
          <w:color w:val="000000"/>
          <w:sz w:val="36"/>
          <w:szCs w:val="36"/>
        </w:rPr>
      </w:pPr>
      <w:r>
        <w:rPr>
          <w:rFonts w:cs="Times New Roman" w:ascii="Times New Roman" w:hAnsi="Times New Roman"/>
          <w:b w:val="false"/>
          <w:bCs w:val="false"/>
          <w:color w:val="000000"/>
          <w:sz w:val="36"/>
          <w:szCs w:val="36"/>
          <w:lang w:val="en-US"/>
        </w:rPr>
        <w:t>Trends in sample treatment for quantification of bisphenols in environmental solid samples</w:t>
      </w:r>
    </w:p>
    <w:p>
      <w:pPr>
        <w:pStyle w:val="Normal"/>
        <w:spacing w:lineRule="auto" w:line="240" w:before="0" w:after="0"/>
        <w:ind w:left="0" w:right="0" w:hanging="0"/>
        <w:jc w:val="center"/>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color w:val="000000"/>
          <w:sz w:val="24"/>
          <w:szCs w:val="24"/>
        </w:rPr>
      </w:pPr>
      <w:r>
        <w:rPr>
          <w:rFonts w:cs="Times New Roman" w:ascii="Times New Roman" w:hAnsi="Times New Roman"/>
          <w:color w:val="000000"/>
          <w:sz w:val="24"/>
          <w:szCs w:val="24"/>
        </w:rPr>
        <w:t>Karen Hernández Carmona</w:t>
      </w:r>
      <w:r>
        <w:rPr>
          <w:rFonts w:cs="Times New Roman" w:ascii="Times New Roman" w:hAnsi="Times New Roman"/>
          <w:color w:val="000000"/>
          <w:sz w:val="24"/>
          <w:szCs w:val="24"/>
          <w:vertAlign w:val="superscript"/>
        </w:rPr>
        <w:t>1</w:t>
      </w:r>
      <w:r>
        <w:rPr>
          <w:rFonts w:cs="Times New Roman" w:ascii="Times New Roman" w:hAnsi="Times New Roman"/>
          <w:color w:val="000000"/>
          <w:sz w:val="24"/>
          <w:szCs w:val="24"/>
        </w:rPr>
        <w:t>, Miguel Velázquez-Manzanares</w:t>
      </w:r>
      <w:r>
        <w:rPr>
          <w:rFonts w:cs="Times New Roman" w:ascii="Times New Roman" w:hAnsi="Times New Roman"/>
          <w:color w:val="000000"/>
          <w:sz w:val="24"/>
          <w:szCs w:val="24"/>
          <w:vertAlign w:val="superscript"/>
        </w:rPr>
        <w:t>1</w:t>
      </w:r>
      <w:r>
        <w:rPr>
          <w:rFonts w:cs="Times New Roman" w:ascii="Times New Roman" w:hAnsi="Times New Roman"/>
          <w:color w:val="000000"/>
          <w:sz w:val="24"/>
          <w:szCs w:val="24"/>
        </w:rPr>
        <w:t xml:space="preserve">, </w:t>
      </w:r>
    </w:p>
    <w:p>
      <w:pPr>
        <w:pStyle w:val="Normal"/>
        <w:spacing w:lineRule="auto" w:line="240" w:before="0" w:after="0"/>
        <w:ind w:left="0" w:right="0" w:hanging="0"/>
        <w:jc w:val="center"/>
        <w:rPr>
          <w:rFonts w:ascii="Times New Roman" w:hAnsi="Times New Roman"/>
          <w:color w:val="000000"/>
          <w:sz w:val="24"/>
          <w:szCs w:val="24"/>
        </w:rPr>
      </w:pPr>
      <w:r>
        <w:rPr>
          <w:rFonts w:cs="Times New Roman" w:ascii="Times New Roman" w:hAnsi="Times New Roman"/>
          <w:color w:val="000000"/>
          <w:sz w:val="24"/>
          <w:szCs w:val="24"/>
        </w:rPr>
        <w:t>Dolores Gabriela Martínez Vázquez</w:t>
      </w:r>
      <w:r>
        <w:rPr>
          <w:rFonts w:cs="Times New Roman" w:ascii="Times New Roman" w:hAnsi="Times New Roman"/>
          <w:color w:val="000000"/>
          <w:sz w:val="24"/>
          <w:szCs w:val="24"/>
          <w:vertAlign w:val="superscript"/>
        </w:rPr>
        <w:t>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y </w:t>
      </w:r>
      <w:r>
        <w:rPr>
          <w:rFonts w:cs="Times New Roman" w:ascii="Times New Roman" w:hAnsi="Times New Roman"/>
          <w:color w:val="000000"/>
          <w:sz w:val="24"/>
          <w:szCs w:val="24"/>
        </w:rPr>
        <w:t>Judith Amador-Hernández</w:t>
      </w:r>
      <w:r>
        <w:rPr>
          <w:rFonts w:cs="Times New Roman" w:ascii="Times New Roman" w:hAnsi="Times New Roman"/>
          <w:color w:val="000000"/>
          <w:sz w:val="24"/>
          <w:szCs w:val="24"/>
          <w:vertAlign w:val="superscript"/>
        </w:rPr>
        <w:t>1*</w:t>
      </w:r>
    </w:p>
    <w:p>
      <w:pPr>
        <w:pStyle w:val="Normal"/>
        <w:spacing w:lineRule="auto" w:line="240" w:before="0" w:after="0"/>
        <w:ind w:left="0" w:right="0" w:hanging="0"/>
        <w:rPr>
          <w:rFonts w:cs="Times New Roman"/>
          <w:vertAlign w:val="superscript"/>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i/>
          <w:i/>
          <w:iCs/>
          <w:color w:val="000000"/>
          <w:sz w:val="24"/>
          <w:szCs w:val="24"/>
        </w:rPr>
      </w:pPr>
      <w:r>
        <w:rPr>
          <w:rFonts w:cs="Times New Roman" w:ascii="Times New Roman" w:hAnsi="Times New Roman"/>
          <w:i/>
          <w:iCs/>
          <w:color w:val="000000"/>
          <w:sz w:val="24"/>
          <w:szCs w:val="24"/>
          <w:vertAlign w:val="superscript"/>
        </w:rPr>
        <w:t>1</w:t>
      </w:r>
      <w:r>
        <w:rPr>
          <w:rFonts w:cs="Times New Roman" w:ascii="Times New Roman" w:hAnsi="Times New Roman"/>
          <w:i/>
          <w:iCs/>
          <w:color w:val="000000"/>
          <w:sz w:val="24"/>
          <w:szCs w:val="24"/>
        </w:rPr>
        <w:t xml:space="preserve">Facultad de Ciencias Químicas, Universidad Autónoma de Coahuila, Blvd. V. Carranza s/n, C.P. 25280 Saltillo, Coahuila, México. </w:t>
      </w:r>
    </w:p>
    <w:p>
      <w:pPr>
        <w:pStyle w:val="Normal"/>
        <w:spacing w:lineRule="auto" w:line="240" w:before="0" w:after="0"/>
        <w:ind w:left="0" w:right="0" w:hanging="0"/>
        <w:jc w:val="center"/>
        <w:rPr>
          <w:rFonts w:cs="Times New Roman"/>
          <w:vertAlign w:val="superscript"/>
        </w:rPr>
      </w:pPr>
      <w:r>
        <w:rPr>
          <w:rFonts w:ascii="Times New Roman" w:hAnsi="Times New Roman"/>
          <w:i/>
          <w:iCs/>
          <w:color w:val="000000"/>
          <w:sz w:val="24"/>
          <w:szCs w:val="24"/>
        </w:rPr>
      </w:r>
    </w:p>
    <w:p>
      <w:pPr>
        <w:pStyle w:val="Normal"/>
        <w:spacing w:lineRule="auto" w:line="240" w:before="0" w:after="0"/>
        <w:ind w:left="0" w:right="0" w:hanging="0"/>
        <w:jc w:val="center"/>
        <w:rPr>
          <w:rFonts w:ascii="Times New Roman" w:hAnsi="Times New Roman"/>
          <w:i/>
          <w:i/>
          <w:iCs/>
          <w:color w:val="000000"/>
          <w:sz w:val="24"/>
          <w:szCs w:val="24"/>
        </w:rPr>
      </w:pPr>
      <w:r>
        <w:rPr>
          <w:rFonts w:cs="Times New Roman" w:ascii="Times New Roman" w:hAnsi="Times New Roman"/>
          <w:i/>
          <w:iCs/>
          <w:color w:val="000000"/>
          <w:sz w:val="24"/>
          <w:szCs w:val="24"/>
          <w:vertAlign w:val="superscript"/>
        </w:rPr>
        <w:t>2</w:t>
      </w:r>
      <w:r>
        <w:rPr>
          <w:rFonts w:cs="Times New Roman" w:ascii="Times New Roman" w:hAnsi="Times New Roman"/>
          <w:i/>
          <w:iCs/>
          <w:color w:val="000000"/>
          <w:sz w:val="24"/>
          <w:szCs w:val="24"/>
        </w:rPr>
        <w:t>Departamento de Ciencia y Tecnología de Alimentos, Universidad Autónoma Agraria Antonio Narro, Calzada Antonio Narro 1923, C.P. 25315 Saltillo, Coahuila, México.</w:t>
      </w:r>
    </w:p>
    <w:p>
      <w:pPr>
        <w:pStyle w:val="Normal"/>
        <w:spacing w:lineRule="auto" w:line="240" w:before="0" w:after="0"/>
        <w:ind w:left="0" w:right="0" w:hanging="0"/>
        <w:jc w:val="both"/>
        <w:rPr>
          <w:rFonts w:cs="Times New Roman"/>
          <w:b/>
          <w:b/>
          <w:bCs/>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w:t>
      </w:r>
      <w:r>
        <w:rPr>
          <w:rFonts w:cs="Times New Roman" w:ascii="Times New Roman" w:hAnsi="Times New Roman"/>
          <w:b w:val="false"/>
          <w:bCs w:val="false"/>
          <w:i/>
          <w:iCs/>
          <w:color w:val="000000"/>
          <w:sz w:val="20"/>
          <w:szCs w:val="20"/>
        </w:rPr>
        <w:t>Corresponding author</w:t>
      </w:r>
      <w:r>
        <w:rPr>
          <w:rFonts w:cs="Times New Roman" w:ascii="Times New Roman" w:hAnsi="Times New Roman"/>
          <w:b w:val="false"/>
          <w:bCs w:val="false"/>
          <w:i/>
          <w:iCs/>
          <w:color w:val="000000"/>
          <w:sz w:val="20"/>
          <w:szCs w:val="20"/>
        </w:rPr>
        <w:t xml:space="preserve">: </w:t>
      </w:r>
    </w:p>
    <w:p>
      <w:pPr>
        <w:pStyle w:val="Normal"/>
        <w:spacing w:lineRule="auto" w:line="240" w:before="0" w:after="0"/>
        <w:ind w:left="0" w:right="0" w:hanging="0"/>
        <w:jc w:val="center"/>
        <w:rPr>
          <w:rFonts w:ascii="Times New Roman" w:hAnsi="Times New Roman"/>
          <w:color w:val="000000"/>
          <w:sz w:val="20"/>
          <w:szCs w:val="20"/>
        </w:rPr>
      </w:pPr>
      <w:hyperlink r:id="rId2">
        <w:r>
          <w:rPr>
            <w:rStyle w:val="EnlacedeInternet"/>
            <w:rFonts w:cs="Times New Roman" w:ascii="Times New Roman" w:hAnsi="Times New Roman"/>
            <w:b w:val="false"/>
            <w:bCs w:val="false"/>
            <w:i/>
            <w:iCs/>
            <w:color w:val="000000" w:themeColor="text1"/>
            <w:sz w:val="20"/>
            <w:szCs w:val="20"/>
            <w:u w:val="none"/>
          </w:rPr>
          <w:t>judith.amador@uadec.edu.mx</w:t>
        </w:r>
      </w:hyperlink>
    </w:p>
    <w:p>
      <w:pPr>
        <w:pStyle w:val="Normal"/>
        <w:spacing w:lineRule="auto" w:line="240" w:before="0" w:after="0"/>
        <w:ind w:left="0" w:right="0" w:hanging="0"/>
        <w:jc w:val="both"/>
        <w:rPr>
          <w:rFonts w:cs="Times New Roman"/>
          <w:b/>
          <w:b/>
          <w:bCs/>
        </w:rPr>
      </w:pPr>
      <w:r>
        <w:rPr>
          <w:rFonts w:ascii="Times New Roman" w:hAnsi="Times New Roman"/>
          <w:color w:val="000000"/>
          <w:sz w:val="20"/>
          <w:szCs w:val="20"/>
        </w:rPr>
      </w:r>
    </w:p>
    <w:p>
      <w:pPr>
        <w:sectPr>
          <w:headerReference w:type="default" r:id="rId3"/>
          <w:headerReference w:type="first" r:id="rId4"/>
          <w:footerReference w:type="default" r:id="rId5"/>
          <w:footerReference w:type="first" r:id="rId6"/>
          <w:type w:val="nextPage"/>
          <w:pgSz w:w="12240" w:h="15840"/>
          <w:pgMar w:left="1417" w:right="1417" w:header="1417" w:top="1983" w:footer="1417" w:bottom="2092" w:gutter="0"/>
          <w:pgNumType w:fmt="decimal"/>
          <w:formProt w:val="false"/>
          <w:titlePg/>
          <w:textDirection w:val="lrTb"/>
          <w:docGrid w:type="default" w:linePitch="299" w:charSpace="4096"/>
        </w:sectPr>
      </w:pP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rPr>
        <w:t xml:space="preserve">Resumen. Las demandas de sociedades de consumo han llevado a escenarios preocupantes respecto a contaminantes emergentes en el ambiente como los disruptores endócrinos, entre ellos los bisfenoles, compuestos orgánicos utilizados en la síntesis de policarbonato, resinas epóxicas, papel térmico, etc. La liberación al ambiente de bisfenoles se ha incrementado exponencialmente, por lo que es necesaria su cuantificación. En este trabajo, se discute el tratamiento de muestra en el desarrollo de nuevos métodos analíticos para la determinación de bisfenol A y compuestos congéneres en muestras de suelo, sedimento, lodos y polvos. </w:t>
      </w:r>
      <w:r>
        <w:rPr>
          <w:rFonts w:cs="Times New Roman" w:ascii="Times New Roman" w:hAnsi="Times New Roman"/>
          <w:b/>
          <w:bCs/>
          <w:color w:val="000000"/>
          <w:sz w:val="20"/>
          <w:szCs w:val="20"/>
        </w:rPr>
        <w:t xml:space="preserve">Entre las técnicas de extracción, destaca la extracción con disolvente asistida por ultrasonido, usada en el 53 % de las metodologías identificadas en este trabajo. Por otro lado, QuEChERS es la técnica que adquiere cada vez mayor protagonismo por estar alineada a los principios de la Química Analítica Sustentable, siendo la técnica elegida en el 21 % de los casos y la única en los trabajos reportados en los últimos cuatro años en relación a este tema. </w:t>
      </w:r>
      <w:r>
        <w:rPr>
          <w:rFonts w:cs="Times New Roman" w:ascii="Times New Roman" w:hAnsi="Times New Roman"/>
          <w:b/>
          <w:bCs/>
          <w:color w:val="000000"/>
          <w:sz w:val="20"/>
          <w:szCs w:val="20"/>
        </w:rPr>
        <w:t>Por otro lado, cromatografía de líquidos y cromatografía de gases son las técnicas determinativas seleccionadas para este fin, dado que proveen la selectividad y sensibilidad que demanda el análisis.</w:t>
      </w:r>
    </w:p>
    <w:p>
      <w:pPr>
        <w:pStyle w:val="Normal"/>
        <w:spacing w:lineRule="auto" w:line="240" w:before="0" w:after="0"/>
        <w:ind w:left="0" w:right="0" w:hanging="0"/>
        <w:jc w:val="both"/>
        <w:rPr>
          <w:rFonts w:cs="Times New Roman"/>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rPr>
        <w:t>Palabras clave: bisfenol, disruptores endócrinos, contaminación ambiental, suelos, sedimentos.</w:t>
      </w:r>
    </w:p>
    <w:p>
      <w:pPr>
        <w:pStyle w:val="Normal"/>
        <w:spacing w:lineRule="auto" w:line="240" w:before="0" w:after="0"/>
        <w:ind w:left="0" w:right="0" w:hanging="0"/>
        <w:jc w:val="both"/>
        <w:rPr>
          <w:rFonts w:cs="Times New Roman"/>
          <w:lang w:val="en-US"/>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n-US"/>
        </w:rPr>
        <w:t>Abstract. The demands of consumer societies have led to worrying scenarios regarding emerging contaminants in environment such as endocrine disruptors, including bisphenols, organic compounds used in the synthesis of polycarbonate, epoxy resins, thermal paper, etc. The release of bisphenols into the environment has increased exponentially, so its quantification is necessary. This work discusses sample treatment in developing new analytical methods to determinate bisphenol A and congeners in soil, sediment, sludge and powder samples. Among the extraction techniques, ultrasound-assisted solvent extraction stands out. At the same time, QuEChERS is gaining more and more prominence because it attends principles of Sustainable Analytical Chemistry. On the other hand, liquid and gas chromatography are the determination techniques selected for this purpose, since they provide the selectivity and sensitivity that the analysis demands.</w:t>
      </w:r>
    </w:p>
    <w:p>
      <w:pPr>
        <w:pStyle w:val="Normal"/>
        <w:spacing w:lineRule="auto" w:line="240" w:before="0" w:after="0"/>
        <w:ind w:left="0" w:right="0" w:hanging="0"/>
        <w:jc w:val="both"/>
        <w:rPr>
          <w:rFonts w:cs="Times New Roman"/>
          <w:lang w:val="en-US"/>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n-US"/>
        </w:rPr>
        <w:t>Keywords: bisphenol, endocrine disruptors, environmental pollution, soils, sediments.</w:t>
      </w:r>
    </w:p>
    <w:p>
      <w:pPr>
        <w:pStyle w:val="Normal"/>
        <w:spacing w:lineRule="auto" w:line="240" w:before="0" w:after="0"/>
        <w:ind w:left="0" w:right="0" w:hanging="0"/>
        <w:jc w:val="both"/>
        <w:rPr>
          <w:rStyle w:val="EnlacedeInternet"/>
          <w:rFonts w:ascii="Times New Roman" w:hAnsi="Times New Roman" w:cs="Times New Roman"/>
          <w:bCs/>
          <w:color w:val="000000" w:themeColor="text1"/>
          <w:sz w:val="20"/>
          <w:szCs w:val="20"/>
          <w:u w:val="none"/>
        </w:rPr>
      </w:pPr>
      <w:r>
        <w:rPr/>
      </w:r>
    </w:p>
    <w:p>
      <w:pPr>
        <w:pStyle w:val="ListParagraph"/>
        <w:numPr>
          <w:ilvl w:val="0"/>
          <w:numId w:val="0"/>
        </w:numPr>
        <w:spacing w:lineRule="auto" w:line="240" w:before="0" w:after="0"/>
        <w:ind w:left="-1419" w:right="0" w:hanging="0"/>
        <w:jc w:val="both"/>
        <w:rPr>
          <w:rFonts w:ascii="Times New Roman" w:hAnsi="Times New Roman"/>
          <w:color w:val="000000"/>
          <w:sz w:val="20"/>
          <w:szCs w:val="20"/>
        </w:rPr>
      </w:pPr>
      <w:r>
        <w:rPr>
          <w:rFonts w:cs="Times New Roman" w:ascii="Times New Roman" w:hAnsi="Times New Roman"/>
          <w:b/>
          <w:bCs/>
          <w:color w:val="000000"/>
          <w:sz w:val="20"/>
          <w:szCs w:val="20"/>
        </w:rPr>
        <w:t xml:space="preserve">I. </w:t>
      </w:r>
      <w:r>
        <w:rPr>
          <w:rFonts w:cs="Times New Roman" w:ascii="Times New Roman" w:hAnsi="Times New Roman"/>
          <w:b/>
          <w:bCs/>
          <w:color w:val="000000"/>
          <w:sz w:val="20"/>
          <w:szCs w:val="20"/>
        </w:rPr>
        <w:t>INTRODUCCIÓN</w:t>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El bisfenol A (BPA) y compuestos análogos (Figura 1) son ampliamente utilizados en la fabricación de plásticos de policarbonato (rígidos, transparentes, con gran resistencia química y mecánica), en resinas epóxicas que recubren latas o tuberías para evitar su corrosión, como reveladores de papel térmico, entre otros productos (Xing et al., 2022). </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Los bisfenoles (BP) se producen anualmente en grandes cantidades alrededor del mundo; de acuerdo con la Consultoría </w:t>
      </w:r>
      <w:r>
        <w:rPr>
          <w:rFonts w:cs="Times New Roman" w:ascii="Times New Roman" w:hAnsi="Times New Roman"/>
          <w:i/>
          <w:color w:val="000000"/>
          <w:sz w:val="20"/>
          <w:szCs w:val="20"/>
        </w:rPr>
        <w:t>Grand View Research</w:t>
      </w:r>
      <w:r>
        <w:rPr>
          <w:rFonts w:cs="Times New Roman" w:ascii="Times New Roman" w:hAnsi="Times New Roman"/>
          <w:color w:val="000000"/>
          <w:sz w:val="20"/>
          <w:szCs w:val="20"/>
        </w:rPr>
        <w:t xml:space="preserve"> (GVR), tan sólo en 2018 se estimó la comercialización mundial de BPA en 7.2 millones de toneladas, ya que se ha convertido en un insumo clave en industrias como la automotriz, la electrónica y de la construcción (GVR, 2015).</w:t>
      </w:r>
    </w:p>
    <w:p>
      <w:pPr>
        <w:pStyle w:val="ListParagraph"/>
        <w:spacing w:lineRule="auto" w:line="240" w:before="0" w:after="0"/>
        <w:ind w:left="0" w:right="0" w:hanging="0"/>
        <w:rPr>
          <w:rFonts w:cs="Times New Roman"/>
          <w:i/>
          <w:i/>
          <w:iCs/>
          <w:color w:themeColor="text1"/>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Por otro lado, los BP están clasificados como disruptores endócrinos, siendo el BPA el primero en ser identificado (Rogers et al., 2013; Kawa et al., 2021). Estos agentes se caracterizan por causar diversas afectaciones al sistema endócrino, por ejemplo, activando o inhibiendo receptores hormonales, o bien interfiriendo en la síntesis, metabolismo o transporte de hormonas; sus afectaciones suelen ser graves e incluso permanentes si la exposición a tales compuestos es durante el desarrollo fetal, la niñez o la pubertad (Usman et al., 2019; Wiklund y Beronius, 2022).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Para reducir la exposición del ser humano a BPA se ha buscado sustituirlo por otros compuestos congéneres con la misma funcionalidad. Sin embargo, estudios como el realizado por Lin et al. (2021) han demostrado que muchos de ellos son igual de tóxicos o incluso más que el BPA, además de que su actividad endócrina es a través de distintos mecanismos. Aunado a esto, el BPA se ha identificado ya como un genotóxico, al inducir estrés oxidativo a nivel de estrógenos que puede dañar el DNA de los organismos (Ďurovcová et al., 2022).</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Hoy en día, los BP son liberados al ambiente principalmente a través de productos que han llegado al final de su vida útil, o bien mediante aguas industriales tratadas ineficientemente. Por ello, se consideran contaminantes emergentes, definidos como aquellas sustancias -o microorganismos- que llegan incontroladamente al ambiente y causan problemas en los ecosistemas y al ser humano, ya sea por su toxicidad, su persistencia y/o bioacumulación (Rocha y Júnior, 2014). En relación al tratamiento de aguas residuales, es de especial relevancia su resistencia a la degradación de forma hidrolítica, fotolítica o biológica (Frankowski et al</w:t>
      </w:r>
      <w:r>
        <w:rPr>
          <w:rFonts w:cs="Times New Roman" w:ascii="Times New Roman" w:hAnsi="Times New Roman"/>
          <w:i/>
          <w:iCs/>
          <w:color w:val="000000"/>
          <w:sz w:val="20"/>
          <w:szCs w:val="20"/>
        </w:rPr>
        <w:t>.</w:t>
      </w:r>
      <w:r>
        <w:rPr>
          <w:rFonts w:cs="Times New Roman" w:ascii="Times New Roman" w:hAnsi="Times New Roman"/>
          <w:color w:val="000000"/>
          <w:sz w:val="20"/>
          <w:szCs w:val="20"/>
        </w:rPr>
        <w:t xml:space="preserve">, 2021; Ohore y Songhe, 2019).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mc:AlternateContent>
          <mc:Choice Requires="wpg">
            <w:drawing>
              <wp:anchor behindDoc="1" distT="0" distB="0" distL="114300" distR="114300" simplePos="0" locked="0" layoutInCell="0" allowOverlap="1" relativeHeight="9" wp14:anchorId="6C79FECD">
                <wp:simplePos x="0" y="0"/>
                <wp:positionH relativeFrom="column">
                  <wp:posOffset>382905</wp:posOffset>
                </wp:positionH>
                <wp:positionV relativeFrom="paragraph">
                  <wp:posOffset>23495</wp:posOffset>
                </wp:positionV>
                <wp:extent cx="2089785" cy="931545"/>
                <wp:effectExtent l="0" t="0" r="0" b="0"/>
                <wp:wrapTight wrapText="bothSides">
                  <wp:wrapPolygon edited="0">
                    <wp:start x="0" y="0"/>
                    <wp:lineTo x="0" y="15371"/>
                    <wp:lineTo x="4413" y="16260"/>
                    <wp:lineTo x="4413" y="21469"/>
                    <wp:lineTo x="15740" y="21469"/>
                    <wp:lineTo x="15887" y="15498"/>
                    <wp:lineTo x="14416" y="15117"/>
                    <wp:lineTo x="8973" y="14228"/>
                    <wp:lineTo x="20815" y="13720"/>
                    <wp:lineTo x="21183" y="12703"/>
                    <wp:lineTo x="19859" y="12068"/>
                    <wp:lineTo x="19565" y="10417"/>
                    <wp:lineTo x="19859" y="10163"/>
                    <wp:lineTo x="20815" y="8765"/>
                    <wp:lineTo x="20889" y="7749"/>
                    <wp:lineTo x="8606" y="6098"/>
                    <wp:lineTo x="21404" y="5717"/>
                    <wp:lineTo x="21257" y="0"/>
                    <wp:lineTo x="0" y="0"/>
                  </wp:wrapPolygon>
                </wp:wrapTight>
                <wp:docPr id="2" name="Grupo 773"/>
                <a:graphic xmlns:a="http://schemas.openxmlformats.org/drawingml/2006/main">
                  <a:graphicData uri="http://schemas.microsoft.com/office/word/2010/wordprocessingGroup">
                    <wpg:wgp>
                      <wpg:cNvGrpSpPr/>
                      <wpg:grpSpPr>
                        <a:xfrm>
                          <a:off x="0" y="0"/>
                          <a:ext cx="2089080" cy="930960"/>
                        </a:xfrm>
                      </wpg:grpSpPr>
                      <wpg:grpSp>
                        <wpg:cNvGrpSpPr/>
                        <wpg:grpSpPr>
                          <a:xfrm>
                            <a:off x="0" y="0"/>
                            <a:ext cx="828000" cy="266760"/>
                          </a:xfrm>
                        </wpg:grpSpPr>
                        <pic:pic xmlns:pic="http://schemas.openxmlformats.org/drawingml/2006/picture">
                          <pic:nvPicPr>
                            <pic:cNvPr id="0" name="Imagen 1_1" descr="Diagrama&#10;&#10;Descripción generada automáticamente"/>
                            <pic:cNvPicPr/>
                          </pic:nvPicPr>
                          <pic:blipFill>
                            <a:blip r:embed="rId7"/>
                            <a:srcRect l="0" t="28768" r="0" b="28470"/>
                            <a:stretch/>
                          </pic:blipFill>
                          <pic:spPr>
                            <a:xfrm>
                              <a:off x="720" y="0"/>
                              <a:ext cx="827280" cy="266760"/>
                            </a:xfrm>
                            <a:prstGeom prst="rect">
                              <a:avLst/>
                            </a:prstGeom>
                            <a:ln w="0">
                              <a:noFill/>
                            </a:ln>
                          </pic:spPr>
                        </pic:pic>
                        <wps:wsp>
                          <wps:cNvSpPr/>
                          <wps:spPr>
                            <a:xfrm flipH="1">
                              <a:off x="0" y="0"/>
                              <a:ext cx="201960" cy="10368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BPA</w:t>
                                </w:r>
                              </w:p>
                            </w:txbxContent>
                          </wps:txbx>
                          <wps:bodyPr anchor="ctr">
                            <a:noAutofit/>
                          </wps:bodyPr>
                        </wps:wsp>
                      </wpg:grpSp>
                      <wpg:grpSp>
                        <wpg:cNvGrpSpPr/>
                        <wpg:grpSpPr>
                          <a:xfrm>
                            <a:off x="1193040" y="0"/>
                            <a:ext cx="896040" cy="245160"/>
                          </a:xfrm>
                        </wpg:grpSpPr>
                        <pic:pic xmlns:pic="http://schemas.openxmlformats.org/drawingml/2006/picture">
                          <pic:nvPicPr>
                            <pic:cNvPr id="1" name="Imagen 20_1" descr="Diagrama&#10;&#10;Descripción generada automáticamente"/>
                            <pic:cNvPicPr/>
                          </pic:nvPicPr>
                          <pic:blipFill>
                            <a:blip r:embed="rId8"/>
                            <a:srcRect l="-1646" t="28841" r="-1902" b="31567"/>
                            <a:stretch/>
                          </pic:blipFill>
                          <pic:spPr>
                            <a:xfrm>
                              <a:off x="0" y="0"/>
                              <a:ext cx="870480" cy="245160"/>
                            </a:xfrm>
                            <a:prstGeom prst="rect">
                              <a:avLst/>
                            </a:prstGeom>
                            <a:ln w="9525">
                              <a:noFill/>
                            </a:ln>
                          </pic:spPr>
                        </pic:pic>
                        <wps:wsp>
                          <wps:cNvSpPr/>
                          <wps:spPr>
                            <a:xfrm>
                              <a:off x="699840" y="15120"/>
                              <a:ext cx="196200" cy="7380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BPF</w:t>
                                </w:r>
                              </w:p>
                            </w:txbxContent>
                          </wps:txbx>
                          <wps:bodyPr anchor="ctr">
                            <a:noAutofit/>
                          </wps:bodyPr>
                        </wps:wsp>
                      </wpg:grpSp>
                      <wpg:grpSp>
                        <wpg:cNvGrpSpPr/>
                        <wpg:grpSpPr>
                          <a:xfrm>
                            <a:off x="720" y="291600"/>
                            <a:ext cx="915840" cy="372600"/>
                          </a:xfrm>
                        </wpg:grpSpPr>
                        <pic:pic xmlns:pic="http://schemas.openxmlformats.org/drawingml/2006/picture">
                          <pic:nvPicPr>
                            <pic:cNvPr id="2" name="Imagen 8_1" descr="Gráfico radial&#10;&#10;Descripción generada automáticamente"/>
                            <pic:cNvPicPr/>
                          </pic:nvPicPr>
                          <pic:blipFill>
                            <a:blip r:embed="rId9"/>
                            <a:srcRect l="0" t="22595" r="0" b="21152"/>
                            <a:stretch/>
                          </pic:blipFill>
                          <pic:spPr>
                            <a:xfrm>
                              <a:off x="0" y="0"/>
                              <a:ext cx="859320" cy="372600"/>
                            </a:xfrm>
                            <a:prstGeom prst="rect">
                              <a:avLst/>
                            </a:prstGeom>
                            <a:ln w="0">
                              <a:noFill/>
                            </a:ln>
                          </pic:spPr>
                        </pic:pic>
                        <wps:wsp>
                          <wps:cNvSpPr/>
                          <wps:spPr>
                            <a:xfrm flipH="1">
                              <a:off x="669960" y="30240"/>
                              <a:ext cx="245880" cy="12240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BPAF</w:t>
                                </w:r>
                              </w:p>
                            </w:txbxContent>
                          </wps:txbx>
                          <wps:bodyPr anchor="ctr">
                            <a:noAutofit/>
                          </wps:bodyPr>
                        </wps:wsp>
                      </wpg:grpSp>
                      <wpg:grpSp>
                        <wpg:cNvGrpSpPr/>
                        <wpg:grpSpPr>
                          <a:xfrm>
                            <a:off x="1249560" y="301680"/>
                            <a:ext cx="782280" cy="333360"/>
                          </a:xfrm>
                        </wpg:grpSpPr>
                        <pic:pic xmlns:pic="http://schemas.openxmlformats.org/drawingml/2006/picture">
                          <pic:nvPicPr>
                            <pic:cNvPr id="3" name="Imagen 7_1" descr="Texto&#10;&#10;Descripción generada automáticamente con confianza baja"/>
                            <pic:cNvPicPr/>
                          </pic:nvPicPr>
                          <pic:blipFill>
                            <a:blip r:embed="rId10"/>
                            <a:srcRect l="0" t="21796" r="0" b="21160"/>
                            <a:stretch/>
                          </pic:blipFill>
                          <pic:spPr>
                            <a:xfrm>
                              <a:off x="0" y="0"/>
                              <a:ext cx="782280" cy="333360"/>
                            </a:xfrm>
                            <a:prstGeom prst="rect">
                              <a:avLst/>
                            </a:prstGeom>
                            <a:ln w="0">
                              <a:noFill/>
                            </a:ln>
                          </pic:spPr>
                        </pic:pic>
                        <wps:wsp>
                          <wps:cNvSpPr/>
                          <wps:spPr>
                            <a:xfrm>
                              <a:off x="590760" y="25920"/>
                              <a:ext cx="191880" cy="7884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BPB</w:t>
                                </w:r>
                              </w:p>
                            </w:txbxContent>
                          </wps:txbx>
                          <wps:bodyPr anchor="ctr">
                            <a:noAutofit/>
                          </wps:bodyPr>
                        </wps:wsp>
                      </wpg:grpSp>
                      <wpg:grpSp>
                        <wpg:cNvGrpSpPr/>
                        <wpg:grpSpPr>
                          <a:xfrm>
                            <a:off x="438840" y="666720"/>
                            <a:ext cx="1075680" cy="264240"/>
                          </a:xfrm>
                        </wpg:grpSpPr>
                        <pic:pic xmlns:pic="http://schemas.openxmlformats.org/drawingml/2006/picture">
                          <pic:nvPicPr>
                            <pic:cNvPr id="4" name="Imagen 2_1" descr="Diagrama&#10;&#10;Descripción generada automáticamente"/>
                            <pic:cNvPicPr/>
                          </pic:nvPicPr>
                          <pic:blipFill>
                            <a:blip r:embed="rId11"/>
                            <a:srcRect l="0" t="33970" r="0" b="34057"/>
                            <a:stretch/>
                          </pic:blipFill>
                          <pic:spPr>
                            <a:xfrm>
                              <a:off x="0" y="0"/>
                              <a:ext cx="1075680" cy="264240"/>
                            </a:xfrm>
                            <a:prstGeom prst="rect">
                              <a:avLst/>
                            </a:prstGeom>
                            <a:ln w="0">
                              <a:noFill/>
                            </a:ln>
                          </pic:spPr>
                        </pic:pic>
                        <wps:wsp>
                          <wps:cNvSpPr/>
                          <wps:spPr>
                            <a:xfrm flipH="1">
                              <a:off x="844560" y="0"/>
                              <a:ext cx="208440" cy="127080"/>
                            </a:xfrm>
                            <a:prstGeom prst="rect">
                              <a:avLst/>
                            </a:prstGeom>
                            <a:noFill/>
                            <a:ln w="6350">
                              <a:noFill/>
                            </a:ln>
                          </wps:spPr>
                          <wps:style>
                            <a:lnRef idx="0"/>
                            <a:fillRef idx="0"/>
                            <a:effectRef idx="0"/>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BPP</w:t>
                                </w:r>
                              </w:p>
                            </w:txbxContent>
                          </wps:txbx>
                          <wps:bodyPr anchor="ctr">
                            <a:noAutofit/>
                          </wps:bodyPr>
                        </wps:wsp>
                      </wpg:grpSp>
                    </wpg:wgp>
                  </a:graphicData>
                </a:graphic>
              </wp:anchor>
            </w:drawing>
          </mc:Choice>
          <mc:Fallback>
            <w:pict>
              <v:group id="shape_0" alt="Grupo 773" style="position:absolute;margin-left:30.15pt;margin-top:1.85pt;width:164.5pt;height:73.3pt" coordorigin="603,37" coordsize="3290,1466">
                <v:group id="shape_0" alt="Grupo 6_1" style="position:absolute;left:603;top:37;width:1305;height:42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1_1" stroked="f" style="position:absolute;left:604;top:37;width:1302;height:419;mso-wrap-style:none;v-text-anchor:middle" type="shapetype_75">
                    <v:imagedata r:id="rId7" o:detectmouseclick="t"/>
                    <v:stroke color="#3465a4" joinstyle="round" endcap="flat"/>
                    <w10:wrap type="square"/>
                  </v:shape>
                  <v:rect id="shape_0" ID="Cuadro de texto 9_1" stroked="f" style="position:absolute;left:603;top:37;width:317;height:162;flip:x;mso-wrap-style:square;v-text-anchor:middle">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BPA</w:t>
                          </w:r>
                        </w:p>
                      </w:txbxContent>
                    </v:textbox>
                    <v:fill o:detectmouseclick="t" on="false"/>
                    <v:stroke color="#3465a4" weight="6480" joinstyle="round" endcap="flat"/>
                  </v:rect>
                </v:group>
                <v:group id="shape_0" alt="Grupo 21_1" style="position:absolute;left:2482;top:37;width:1411;height:386">
                  <v:shape id="shape_0" ID="Imagen 20_1" stroked="f" style="position:absolute;left:2482;top:37;width:1370;height:385;mso-wrap-style:none;v-text-anchor:middle" type="shapetype_75">
                    <v:imagedata r:id="rId8" o:detectmouseclick="t"/>
                    <v:stroke color="#3465a4" weight="9360" joinstyle="round" endcap="flat"/>
                  </v:shape>
                  <v:rect id="shape_0" ID="Cuadro de texto 10_1" stroked="f" style="position:absolute;left:3584;top:61;width:308;height:115;mso-wrap-style:square;v-text-anchor:middle">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BPF</w:t>
                          </w:r>
                        </w:p>
                      </w:txbxContent>
                    </v:textbox>
                    <v:fill o:detectmouseclick="t" on="false"/>
                    <v:stroke color="#3465a4" weight="6480" joinstyle="round" endcap="flat"/>
                  </v:rect>
                </v:group>
                <v:group id="shape_0" alt="Grupo 22_1" style="position:absolute;left:604;top:496;width:1441;height:587">
                  <v:shape id="shape_0" ID="Imagen 8_1" stroked="f" style="position:absolute;left:604;top:496;width:1352;height:586;mso-wrap-style:none;v-text-anchor:middle" type="shapetype_75">
                    <v:imagedata r:id="rId9" o:detectmouseclick="t"/>
                    <v:stroke color="#3465a4" joinstyle="round" endcap="flat"/>
                  </v:shape>
                  <v:rect id="shape_0" ID="Cuadro de texto 18_1" stroked="f" style="position:absolute;left:1659;top:544;width:386;height:192;flip:x;mso-wrap-style:square;v-text-anchor:middle">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BPAF</w:t>
                          </w:r>
                        </w:p>
                      </w:txbxContent>
                    </v:textbox>
                    <v:fill o:detectmouseclick="t" on="false"/>
                    <v:stroke color="#3465a4" weight="6480" joinstyle="round" endcap="flat"/>
                  </v:rect>
                </v:group>
                <v:group id="shape_0" alt="Grupo 23_1" style="position:absolute;left:2571;top:512;width:1233;height:525">
                  <v:shape id="shape_0" ID="Imagen 7_1" stroked="f" style="position:absolute;left:2571;top:512;width:1231;height:524;mso-wrap-style:none;v-text-anchor:middle" type="shapetype_75">
                    <v:imagedata r:id="rId10" o:detectmouseclick="t"/>
                    <v:stroke color="#3465a4" joinstyle="round" endcap="flat"/>
                  </v:shape>
                  <v:rect id="shape_0" ID="Cuadro de texto 19_1" stroked="f" style="position:absolute;left:3501;top:553;width:301;height:123;mso-wrap-style:square;v-text-anchor:middle">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BPB</w:t>
                          </w:r>
                        </w:p>
                      </w:txbxContent>
                    </v:textbox>
                    <v:fill o:detectmouseclick="t" on="false"/>
                    <v:stroke color="#3465a4" weight="6480" joinstyle="round" endcap="flat"/>
                  </v:rect>
                </v:group>
                <v:group id="shape_0" alt="Grupo 4_1" style="position:absolute;left:1294;top:1087;width:1694;height:416">
                  <v:shape id="shape_0" ID="Imagen 2_1" stroked="f" style="position:absolute;left:1294;top:1087;width:1693;height:415;mso-wrap-style:none;v-text-anchor:middle" type="shapetype_75">
                    <v:imagedata r:id="rId11" o:detectmouseclick="t"/>
                    <v:stroke color="#3465a4" joinstyle="round" endcap="flat"/>
                  </v:shape>
                  <v:rect id="shape_0" ID="Cuadro de texto 14_1" stroked="f" style="position:absolute;left:2624;top:1087;width:327;height:199;flip:x;mso-wrap-style:square;v-text-anchor:middle">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rPr>
                            <w:t>BPP</w:t>
                          </w:r>
                        </w:p>
                      </w:txbxContent>
                    </v:textbox>
                    <v:fill o:detectmouseclick="t" on="false"/>
                    <v:stroke color="#3465a4" weight="6480" joinstyle="round" endcap="flat"/>
                  </v:rect>
                </v:group>
              </v:group>
            </w:pict>
          </mc:Fallback>
        </mc:AlternateConten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Caption"/>
        <w:spacing w:lineRule="auto" w:line="240" w:before="0" w:after="0"/>
        <w:ind w:left="0" w:right="0" w:hanging="0"/>
        <w:jc w:val="center"/>
        <w:rPr>
          <w:rFonts w:ascii="Times New Roman" w:hAnsi="Times New Roman" w:cs="Times New Roman"/>
          <w:b/>
          <w:b/>
          <w:bCs/>
          <w:i w:val="false"/>
          <w:i w:val="false"/>
          <w:color w:val="000000" w:themeColor="text1"/>
          <w:sz w:val="20"/>
          <w:szCs w:val="20"/>
        </w:rPr>
      </w:pPr>
      <w:r>
        <w:rPr>
          <w:rFonts w:cs="Times New Roman" w:ascii="Times New Roman" w:hAnsi="Times New Roman"/>
          <w:b/>
          <w:bCs/>
          <w:i w:val="false"/>
          <w:color w:val="000000" w:themeColor="text1"/>
          <w:sz w:val="20"/>
          <w:szCs w:val="20"/>
        </w:rPr>
      </w:r>
    </w:p>
    <w:p>
      <w:pPr>
        <w:pStyle w:val="Caption"/>
        <w:spacing w:lineRule="auto" w:line="240" w:before="0" w:after="0"/>
        <w:ind w:left="0" w:right="0" w:hanging="0"/>
        <w:jc w:val="center"/>
        <w:rPr>
          <w:rFonts w:cs="Times New Roman"/>
          <w:bCs/>
          <w:color w:themeColor="text1"/>
        </w:rPr>
      </w:pPr>
      <w:r>
        <w:rPr>
          <w:rFonts w:ascii="Times New Roman" w:hAnsi="Times New Roman"/>
          <w:color w:val="000000"/>
          <w:sz w:val="20"/>
          <w:szCs w:val="20"/>
        </w:rPr>
      </w:r>
    </w:p>
    <w:p>
      <w:pPr>
        <w:pStyle w:val="Caption"/>
        <w:spacing w:lineRule="auto" w:line="240" w:before="0" w:after="0"/>
        <w:ind w:left="0" w:right="0" w:hanging="0"/>
        <w:jc w:val="center"/>
        <w:rPr>
          <w:rFonts w:cs="Times New Roman"/>
          <w:bCs/>
          <w:color w:themeColor="text1"/>
        </w:rPr>
      </w:pPr>
      <w:r>
        <w:rPr>
          <w:rFonts w:ascii="Times New Roman" w:hAnsi="Times New Roman"/>
          <w:color w:val="000000"/>
          <w:sz w:val="20"/>
          <w:szCs w:val="20"/>
        </w:rPr>
      </w:r>
    </w:p>
    <w:p>
      <w:pPr>
        <w:pStyle w:val="Caption"/>
        <w:spacing w:lineRule="auto" w:line="240" w:before="0" w:after="0"/>
        <w:ind w:left="0" w:right="0" w:hanging="0"/>
        <w:jc w:val="center"/>
        <w:rPr>
          <w:rFonts w:cs="Times New Roman"/>
          <w:bCs/>
          <w:color w:themeColor="text1"/>
        </w:rPr>
      </w:pPr>
      <w:r>
        <w:rPr>
          <w:rFonts w:ascii="Times New Roman" w:hAnsi="Times New Roman"/>
          <w:color w:val="000000"/>
          <w:sz w:val="20"/>
          <w:szCs w:val="20"/>
        </w:rPr>
      </w:r>
    </w:p>
    <w:p>
      <w:pPr>
        <w:pStyle w:val="Caption"/>
        <w:spacing w:lineRule="auto" w:line="240" w:before="0" w:after="0"/>
        <w:ind w:left="0" w:right="0" w:hanging="0"/>
        <w:jc w:val="center"/>
        <w:rPr>
          <w:rFonts w:ascii="Times New Roman" w:hAnsi="Times New Roman"/>
          <w:color w:val="000000"/>
          <w:sz w:val="20"/>
          <w:szCs w:val="20"/>
        </w:rPr>
      </w:pPr>
      <w:r>
        <w:rPr>
          <w:rFonts w:ascii="Times New Roman" w:hAnsi="Times New Roman"/>
          <w:color w:val="000000"/>
          <w:sz w:val="20"/>
          <w:szCs w:val="20"/>
        </w:rPr>
      </w:r>
    </w:p>
    <w:p>
      <w:pPr>
        <w:pStyle w:val="Caption"/>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Cs/>
          <w:color w:val="000000" w:themeColor="text1"/>
          <w:sz w:val="20"/>
          <w:szCs w:val="20"/>
        </w:rPr>
        <w:t xml:space="preserve">Figura </w:t>
      </w:r>
      <w:r>
        <w:rPr>
          <w:rFonts w:cs="Times New Roman" w:ascii="Times New Roman" w:hAnsi="Times New Roman"/>
          <w:bCs/>
          <w:color w:val="000000" w:themeColor="text1"/>
          <w:sz w:val="20"/>
          <w:szCs w:val="20"/>
        </w:rPr>
        <w:fldChar w:fldCharType="begin"/>
      </w:r>
      <w:r>
        <w:rPr>
          <w:sz w:val="20"/>
          <w:szCs w:val="20"/>
          <w:bCs/>
          <w:rFonts w:cs="Times New Roman" w:ascii="Times New Roman" w:hAnsi="Times New Roman"/>
          <w:color w:val="000000"/>
        </w:rPr>
        <w:instrText> SEQ Figura \* ARABIC </w:instrText>
      </w:r>
      <w:r>
        <w:rPr>
          <w:sz w:val="20"/>
          <w:szCs w:val="20"/>
          <w:bCs/>
          <w:rFonts w:cs="Times New Roman" w:ascii="Times New Roman" w:hAnsi="Times New Roman"/>
          <w:color w:val="000000"/>
        </w:rPr>
        <w:fldChar w:fldCharType="separate"/>
      </w:r>
      <w:r>
        <w:rPr>
          <w:sz w:val="20"/>
          <w:szCs w:val="20"/>
          <w:bCs/>
          <w:rFonts w:cs="Times New Roman" w:ascii="Times New Roman" w:hAnsi="Times New Roman"/>
          <w:color w:val="000000"/>
        </w:rPr>
        <w:t>1</w:t>
      </w:r>
      <w:r>
        <w:rPr>
          <w:sz w:val="20"/>
          <w:szCs w:val="20"/>
          <w:bCs/>
          <w:rFonts w:cs="Times New Roman" w:ascii="Times New Roman" w:hAnsi="Times New Roman"/>
          <w:color w:val="000000"/>
        </w:rPr>
        <w:fldChar w:fldCharType="end"/>
      </w:r>
      <w:r>
        <w:rPr>
          <w:rFonts w:cs="Times New Roman" w:ascii="Times New Roman" w:hAnsi="Times New Roman"/>
          <w:bCs/>
          <w:color w:val="000000" w:themeColor="text1"/>
          <w:sz w:val="20"/>
          <w:szCs w:val="20"/>
        </w:rPr>
        <w:t xml:space="preserve">. </w:t>
      </w:r>
      <w:r>
        <w:rPr>
          <w:rFonts w:cs="Times New Roman" w:ascii="Times New Roman" w:hAnsi="Times New Roman"/>
          <w:color w:val="000000" w:themeColor="text1"/>
          <w:sz w:val="20"/>
          <w:szCs w:val="20"/>
        </w:rPr>
        <w:t xml:space="preserve">Estructuras químicas del bisfenol A (BPA) y algunos compuestos análogos: bisfenol F (BPF), bisfenol AF (BPAF), bisfenol B (BPB), bisfenol P (BPP). </w:t>
      </w:r>
      <w:r>
        <w:rPr>
          <w:rFonts w:cs="Times New Roman" w:ascii="Times New Roman" w:hAnsi="Times New Roman"/>
          <w:i/>
          <w:iCs/>
          <w:color w:val="000000" w:themeColor="text1"/>
          <w:sz w:val="20"/>
          <w:szCs w:val="20"/>
        </w:rPr>
        <w:t>Fuente: Elaboración propia.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cuanto a su distribución en el entorno en matrices sólidas, hay evidencia de la presencia de BPA y sus análogos en polvo al interior de viviendas, oficinas y automóviles, en lodos provenientes de plantas de tratamiento de aguas, en sedimentos ribereños y suelos cercanos a vertederos, entre otros (Catenza et al., 2021). Especialmente, en suelos y sedimentos la materia orgánica juega un papel preponderante en los procesos de sorción de BP al material particulado inorgánico y su migración a través de ellos (Mo et al</w:t>
      </w:r>
      <w:r>
        <w:rPr>
          <w:rFonts w:cs="Times New Roman" w:ascii="Times New Roman" w:hAnsi="Times New Roman"/>
          <w:i/>
          <w:iCs/>
          <w:color w:val="000000"/>
          <w:sz w:val="20"/>
          <w:szCs w:val="20"/>
        </w:rPr>
        <w:t>.</w:t>
      </w:r>
      <w:r>
        <w:rPr>
          <w:rFonts w:cs="Times New Roman" w:ascii="Times New Roman" w:hAnsi="Times New Roman"/>
          <w:color w:val="000000"/>
          <w:sz w:val="20"/>
          <w:szCs w:val="20"/>
        </w:rPr>
        <w:t>, 2021).</w:t>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este trabajo, se discuten los métodos analíticos desarrollados para determinar BP en muestras sólidas de interés ambiental; en concreto, suelos, sedimentos, lodos de plantas de tratamiento y polvo. </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particular, se revisan las técnicas de extracción empleadas, orientadas a la preconcentración de los analitos y la limpieza de muestra, muchas de ellas clasificadas como técnicas a microescala. </w:t>
      </w:r>
    </w:p>
    <w:p>
      <w:pPr>
        <w:pStyle w:val="ListParagraph"/>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pacing w:lineRule="auto" w:line="240" w:before="0" w:after="0"/>
        <w:ind w:left="-1419" w:right="0" w:hanging="0"/>
        <w:rPr>
          <w:rFonts w:ascii="Times New Roman" w:hAnsi="Times New Roman"/>
          <w:color w:val="000000"/>
          <w:sz w:val="20"/>
          <w:szCs w:val="20"/>
        </w:rPr>
      </w:pPr>
      <w:r>
        <w:rPr>
          <w:rFonts w:cs="Times New Roman" w:ascii="Times New Roman" w:hAnsi="Times New Roman"/>
          <w:b/>
          <w:bCs/>
          <w:color w:val="000000"/>
          <w:sz w:val="20"/>
          <w:szCs w:val="20"/>
        </w:rPr>
        <w:t xml:space="preserve">II. </w:t>
      </w:r>
      <w:r>
        <w:rPr>
          <w:rFonts w:cs="Times New Roman" w:ascii="Times New Roman" w:hAnsi="Times New Roman"/>
          <w:b/>
          <w:bCs/>
          <w:color w:val="000000"/>
          <w:sz w:val="20"/>
          <w:szCs w:val="20"/>
        </w:rPr>
        <w:t>BISFENOLES EN SUELO, SEDIMENTO, LODOS Y POLVOS</w:t>
      </w:r>
    </w:p>
    <w:p>
      <w:pPr>
        <w:pStyle w:val="ListParagraph"/>
        <w:tabs>
          <w:tab w:val="clear" w:pos="708"/>
          <w:tab w:val="left" w:pos="6035" w:leader="none"/>
        </w:tabs>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la Tabla 1 se presentan abreviadamente los métodos analíticos desarrollados para la cuantificación de BP y otros contaminantes, especialmente clasificados como contaminantes emergentes. </w:t>
      </w:r>
    </w:p>
    <w:p>
      <w:pPr>
        <w:pStyle w:val="ListParagraph"/>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tabs>
          <w:tab w:val="clear" w:pos="708"/>
          <w:tab w:val="left" w:pos="6035" w:leader="none"/>
        </w:tabs>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ésta, puede apreciarse el tipo de muestra analizada, la técnica de extracción empleada para el tratamiento de muestra, si se involucra una etapa específica para su limpieza, la técnica de instrumentación analítica involucrada y finalmente los límites de detección -o cuantificación- alcanzados. </w:t>
      </w:r>
    </w:p>
    <w:p>
      <w:pPr>
        <w:pStyle w:val="ListParagraph"/>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tabs>
          <w:tab w:val="clear" w:pos="708"/>
          <w:tab w:val="left" w:pos="6035" w:leader="none"/>
        </w:tabs>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algunos métodos se analizan varios tipos de matrices, pero sólo se reportan las condiciones para aquéllas matrices de interés en este trabajo.</w:t>
      </w:r>
    </w:p>
    <w:p>
      <w:pPr>
        <w:pStyle w:val="ListParagraph"/>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Como puede observarse, muestras de suelo y sedimento son las que se han analizado con mayor frecuencia, determinándose en todas BPA. Igualmente, en la mayoría de los casos se trata de métodos multiresiduo, donde el BPA es cuantificado junto con otros compuestos, ya sea análogos del BPA (con estructuras químicas muy similares), alquilfenoles, otros disruptores endócrinos o contaminantes emergentes, esencialmente.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Por otro lado, predomina la extracción sólido-líquido con disolventes polares y asistida por ultrasonido, vórtex o microondas, para favorecer la lixiviación de los analitos hacia el extractante; dado que el proceso no es selectivo, se recurre después a la purificación del extracto predominantemente por extracción en fase sólida, ya sea en su modalidad convencional (en cartucho) o con el adsorbente disperso en la matriz.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Finalmente, debe resaltarse que la cuantificación se realiza únicamente con técnicas cromatográficas (cromatografía de líquidos en mayor grado que cromatografía de gases), dado que estas técnicas proveen la selectividad y sensibilidad requeridas en los análisis. En tales condiciones, la determinación de los compuestos de interés es en trazas, con concentraciones en el orden de mg/Kg o menores.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sectPr>
          <w:type w:val="continuous"/>
          <w:pgSz w:w="12240" w:h="15840"/>
          <w:pgMar w:left="1417" w:right="1417" w:header="1417" w:top="1983" w:footer="1417" w:bottom="2092" w:gutter="0"/>
          <w:cols w:num="2" w:space="282" w:equalWidth="true" w:sep="false"/>
          <w:formProt w:val="false"/>
          <w:textDirection w:val="lrTb"/>
          <w:docGrid w:type="default" w:linePitch="299" w:charSpace="4096"/>
        </w:sectPr>
      </w:pPr>
    </w:p>
    <w:p>
      <w:pPr>
        <w:pStyle w:val="Caption"/>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
          <w:bCs/>
          <w:i w:val="false"/>
          <w:iCs w:val="false"/>
          <w:color w:val="000000" w:themeColor="text1"/>
          <w:sz w:val="20"/>
          <w:szCs w:val="20"/>
        </w:rPr>
        <w:t xml:space="preserve">Tabla </w:t>
      </w:r>
      <w:r>
        <w:rPr>
          <w:rFonts w:cs="Times New Roman" w:ascii="Times New Roman" w:hAnsi="Times New Roman"/>
          <w:b/>
          <w:bCs/>
          <w:i w:val="false"/>
          <w:iCs w:val="false"/>
          <w:color w:val="000000" w:themeColor="text1"/>
          <w:sz w:val="20"/>
          <w:szCs w:val="20"/>
        </w:rPr>
        <w:fldChar w:fldCharType="begin"/>
      </w:r>
      <w:r>
        <w:rPr>
          <w:sz w:val="20"/>
          <w:i w:val="false"/>
          <w:b/>
          <w:szCs w:val="20"/>
          <w:iCs w:val="false"/>
          <w:bCs/>
          <w:rFonts w:cs="Times New Roman" w:ascii="Times New Roman" w:hAnsi="Times New Roman"/>
          <w:color w:val="000000"/>
        </w:rPr>
        <w:instrText> SEQ Tabla \* ARABIC </w:instrText>
      </w:r>
      <w:r>
        <w:rPr>
          <w:sz w:val="20"/>
          <w:i w:val="false"/>
          <w:b/>
          <w:szCs w:val="20"/>
          <w:iCs w:val="false"/>
          <w:bCs/>
          <w:rFonts w:cs="Times New Roman" w:ascii="Times New Roman" w:hAnsi="Times New Roman"/>
          <w:color w:val="000000"/>
        </w:rPr>
        <w:fldChar w:fldCharType="separate"/>
      </w:r>
      <w:r>
        <w:rPr>
          <w:sz w:val="20"/>
          <w:i w:val="false"/>
          <w:b/>
          <w:szCs w:val="20"/>
          <w:iCs w:val="false"/>
          <w:bCs/>
          <w:rFonts w:cs="Times New Roman" w:ascii="Times New Roman" w:hAnsi="Times New Roman"/>
          <w:color w:val="000000"/>
        </w:rPr>
        <w:t>1</w:t>
      </w:r>
      <w:r>
        <w:rPr>
          <w:sz w:val="20"/>
          <w:i w:val="false"/>
          <w:b/>
          <w:szCs w:val="20"/>
          <w:iCs w:val="false"/>
          <w:bCs/>
          <w:rFonts w:cs="Times New Roman" w:ascii="Times New Roman" w:hAnsi="Times New Roman"/>
          <w:color w:val="000000"/>
        </w:rPr>
        <w:fldChar w:fldCharType="end"/>
      </w:r>
      <w:r>
        <w:rPr>
          <w:rFonts w:cs="Times New Roman" w:ascii="Times New Roman" w:hAnsi="Times New Roman"/>
          <w:b/>
          <w:bCs/>
          <w:i w:val="false"/>
          <w:iCs w:val="false"/>
          <w:color w:val="000000" w:themeColor="text1"/>
          <w:sz w:val="20"/>
          <w:szCs w:val="20"/>
        </w:rPr>
        <w:t xml:space="preserve">. Métodos analíticos desarrollados para la determinación de BP en suelo, sedimento, lodo y polvo. </w:t>
      </w:r>
      <w:r>
        <w:rPr>
          <w:rFonts w:cs="Times New Roman" w:ascii="Times New Roman" w:hAnsi="Times New Roman"/>
          <w:b/>
          <w:bCs/>
          <w:i w:val="false"/>
          <w:iCs w:val="false"/>
          <w:color w:val="000000" w:themeColor="text1"/>
          <w:sz w:val="20"/>
          <w:szCs w:val="20"/>
        </w:rPr>
        <w:t>Fuente: Elaboración propia.</w:t>
      </w:r>
    </w:p>
    <w:p>
      <w:pPr>
        <w:pStyle w:val="Caption"/>
        <w:spacing w:lineRule="auto" w:line="240" w:before="0" w:after="0"/>
        <w:ind w:left="0" w:right="0" w:hanging="0"/>
        <w:jc w:val="center"/>
        <w:rPr>
          <w:rFonts w:cs="Times New Roman"/>
          <w:b/>
          <w:b/>
          <w:bCs/>
          <w:i w:val="false"/>
          <w:i w:val="false"/>
          <w:iCs w:val="false"/>
          <w:color w:themeColor="text1"/>
        </w:rPr>
      </w:pPr>
      <w:r>
        <w:rPr>
          <w:rFonts w:ascii="Times New Roman" w:hAnsi="Times New Roman"/>
          <w:color w:val="000000"/>
          <w:sz w:val="20"/>
          <w:szCs w:val="20"/>
        </w:rPr>
      </w:r>
    </w:p>
    <w:tbl>
      <w:tblPr>
        <w:tblStyle w:val="Tablaconcuadrcula"/>
        <w:tblpPr w:bottomFromText="0" w:horzAnchor="page" w:leftFromText="0" w:rightFromText="0" w:tblpX="0" w:tblpXSpec="center" w:tblpY="1" w:topFromText="0" w:vertAnchor="text"/>
        <w:tblW w:w="4000" w:type="pct"/>
        <w:jc w:val="center"/>
        <w:tblInd w:w="0" w:type="dxa"/>
        <w:tblLayout w:type="fixed"/>
        <w:tblCellMar>
          <w:top w:w="0" w:type="dxa"/>
          <w:left w:w="108" w:type="dxa"/>
          <w:bottom w:w="0" w:type="dxa"/>
          <w:right w:w="108" w:type="dxa"/>
        </w:tblCellMar>
        <w:tblLook w:val="06a0" w:noHBand="1" w:noVBand="1" w:firstColumn="1" w:lastRow="0" w:lastColumn="0" w:firstRow="1"/>
      </w:tblPr>
      <w:tblGrid>
        <w:gridCol w:w="638"/>
        <w:gridCol w:w="1326"/>
        <w:gridCol w:w="1267"/>
        <w:gridCol w:w="1422"/>
        <w:gridCol w:w="1157"/>
        <w:gridCol w:w="797"/>
        <w:gridCol w:w="917"/>
      </w:tblGrid>
      <w:tr>
        <w:trPr>
          <w:trHeight w:val="895" w:hRule="atLeast"/>
        </w:trPr>
        <w:tc>
          <w:tcPr>
            <w:tcW w:w="638" w:type="dxa"/>
            <w:tcBorders>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Muestra</w:t>
            </w:r>
          </w:p>
        </w:tc>
        <w:tc>
          <w:tcPr>
            <w:tcW w:w="1326" w:type="dxa"/>
            <w:tcBorders>
              <w:left w:val="nil"/>
              <w:right w:val="nil"/>
            </w:tcBorders>
          </w:tcPr>
          <w:p>
            <w:pPr>
              <w:pStyle w:val="ListParagraph"/>
              <w:widowControl/>
              <w:spacing w:lineRule="auto" w:line="240" w:before="0" w:after="0"/>
              <w:ind w:left="0" w:firstLine="149"/>
              <w:contextualSpacing/>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Analitos</w:t>
            </w:r>
          </w:p>
        </w:tc>
        <w:tc>
          <w:tcPr>
            <w:tcW w:w="1267" w:type="dxa"/>
            <w:tcBorders>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Técnica de extracción/disolvente</w:t>
            </w:r>
          </w:p>
        </w:tc>
        <w:tc>
          <w:tcPr>
            <w:tcW w:w="1422" w:type="dxa"/>
            <w:tcBorders>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Técnica de purificación</w:t>
            </w:r>
          </w:p>
        </w:tc>
        <w:tc>
          <w:tcPr>
            <w:tcW w:w="1157" w:type="dxa"/>
            <w:tcBorders>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Técnica de determinación</w:t>
            </w:r>
          </w:p>
        </w:tc>
        <w:tc>
          <w:tcPr>
            <w:tcW w:w="797" w:type="dxa"/>
            <w:tcBorders>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LOD ó LOQ*</w:t>
            </w:r>
          </w:p>
        </w:tc>
        <w:tc>
          <w:tcPr>
            <w:tcW w:w="917" w:type="dxa"/>
            <w:tcBorders>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b/>
                <w:b/>
                <w:bCs/>
                <w:kern w:val="0"/>
                <w:sz w:val="12"/>
                <w:szCs w:val="12"/>
                <w:lang w:val="es-MX" w:eastAsia="en-US" w:bidi="ar-SA"/>
              </w:rPr>
            </w:pPr>
            <w:r>
              <w:rPr>
                <w:rFonts w:eastAsia="Calibri" w:cs="Times New Roman" w:ascii="Times New Roman" w:hAnsi="Times New Roman"/>
                <w:b/>
                <w:bCs/>
                <w:kern w:val="0"/>
                <w:sz w:val="12"/>
                <w:szCs w:val="12"/>
                <w:lang w:val="es-MX" w:eastAsia="en-US" w:bidi="ar-SA"/>
              </w:rPr>
              <w:t>Referencia</w:t>
            </w:r>
          </w:p>
        </w:tc>
      </w:tr>
      <w:tr>
        <w:trPr>
          <w:trHeight w:val="790" w:hRule="atLeast"/>
        </w:trPr>
        <w:tc>
          <w:tcPr>
            <w:tcW w:w="638" w:type="dxa"/>
            <w:tcBorders>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alquifenoles y clorofenoles</w:t>
            </w:r>
          </w:p>
        </w:tc>
        <w:tc>
          <w:tcPr>
            <w:tcW w:w="1267" w:type="dxa"/>
            <w:tcBorders>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Extracción con disolvente previa digestión con HCl; PLE (100 °C, 150 atm) y Soxhlet (18 h); diclorometano como extractante</w:t>
            </w:r>
          </w:p>
        </w:tc>
        <w:tc>
          <w:tcPr>
            <w:tcW w:w="1422" w:type="dxa"/>
            <w:tcBorders>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Cobre activado en polvo para remoción de S en extracción sólido-líquido.</w:t>
            </w:r>
          </w:p>
        </w:tc>
        <w:tc>
          <w:tcPr>
            <w:tcW w:w="1157" w:type="dxa"/>
            <w:tcBorders>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GC-MS</w:t>
            </w:r>
          </w:p>
        </w:tc>
        <w:tc>
          <w:tcPr>
            <w:tcW w:w="797" w:type="dxa"/>
            <w:tcBorders>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0.6 - 4.1 ng/g</w:t>
            </w:r>
          </w:p>
        </w:tc>
        <w:tc>
          <w:tcPr>
            <w:tcW w:w="917" w:type="dxa"/>
            <w:tcBorders>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Li et al., 2003</w:t>
            </w:r>
          </w:p>
        </w:tc>
      </w:tr>
      <w:tr>
        <w:trPr>
          <w:trHeight w:val="790"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17β-estradiol, estrona y otros compuestos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MeOH:Ace (4:1), 2 h</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0.2 - 5 μg/kg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Pojana</w:t>
            </w:r>
            <w:r>
              <w:rPr>
                <w:rFonts w:eastAsia="Calibri" w:cs="Times New Roman" w:ascii="Times New Roman" w:hAnsi="Times New Roman"/>
                <w:i/>
                <w:iCs/>
                <w:kern w:val="0"/>
                <w:sz w:val="12"/>
                <w:szCs w:val="12"/>
                <w:lang w:val="es-MX" w:eastAsia="en-US" w:bidi="ar-SA"/>
              </w:rPr>
              <w:t xml:space="preserve"> </w:t>
            </w:r>
            <w:r>
              <w:rPr>
                <w:rFonts w:eastAsia="Calibri" w:cs="Times New Roman" w:ascii="Times New Roman" w:hAnsi="Times New Roman"/>
                <w:kern w:val="0"/>
                <w:sz w:val="12"/>
                <w:szCs w:val="12"/>
                <w:lang w:val="es-MX" w:eastAsia="en-US" w:bidi="ar-SA"/>
              </w:rPr>
              <w:t>et al., 2007</w:t>
            </w:r>
          </w:p>
        </w:tc>
      </w:tr>
      <w:tr>
        <w:trPr>
          <w:trHeight w:val="1071"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Suelo y sedimento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contaminantes orgánicos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isopropanol:H</w:t>
            </w:r>
            <w:r>
              <w:rPr>
                <w:rFonts w:eastAsia="Calibri" w:cs="Times New Roman" w:ascii="Times New Roman" w:hAnsi="Times New Roman"/>
                <w:color w:val="000000"/>
                <w:kern w:val="0"/>
                <w:sz w:val="12"/>
                <w:szCs w:val="12"/>
                <w:vertAlign w:val="subscript"/>
                <w:lang w:val="es-MX" w:eastAsia="en-US" w:bidi="ar-SA"/>
              </w:rPr>
              <w:t>2</w:t>
            </w:r>
            <w:r>
              <w:rPr>
                <w:rFonts w:eastAsia="Calibri" w:cs="Times New Roman" w:ascii="Times New Roman" w:hAnsi="Times New Roman"/>
                <w:color w:val="000000"/>
                <w:kern w:val="0"/>
                <w:sz w:val="12"/>
                <w:szCs w:val="12"/>
                <w:lang w:val="es-MX" w:eastAsia="en-US" w:bidi="ar-SA"/>
              </w:rPr>
              <w:t>O (4:1), 20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HLB y florisil</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GC-MS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7.1 - 18.5 µg/g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Bossio</w:t>
            </w:r>
            <w:r>
              <w:rPr>
                <w:rFonts w:eastAsia="Calibri" w:cs="Times New Roman" w:ascii="Times New Roman" w:hAnsi="Times New Roman"/>
                <w:i/>
                <w:iCs/>
                <w:kern w:val="0"/>
                <w:sz w:val="12"/>
                <w:szCs w:val="12"/>
                <w:lang w:val="es-MX" w:eastAsia="en-US" w:bidi="ar-SA"/>
              </w:rPr>
              <w:t xml:space="preserve"> </w:t>
            </w:r>
            <w:r>
              <w:rPr>
                <w:rFonts w:eastAsia="Calibri" w:cs="Times New Roman" w:ascii="Times New Roman" w:hAnsi="Times New Roman"/>
                <w:kern w:val="0"/>
                <w:sz w:val="12"/>
                <w:szCs w:val="12"/>
                <w:lang w:val="es-MX" w:eastAsia="en-US" w:bidi="ar-SA"/>
              </w:rPr>
              <w:t>et al., 2008</w:t>
            </w:r>
          </w:p>
        </w:tc>
      </w:tr>
      <w:tr>
        <w:trPr>
          <w:trHeight w:val="777"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Suelo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clorofenoles y alquilfenoles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MeOH, 30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Microadsorción con barra de agitación</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GC-MS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0.2 - 1.7 µg/kg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Llorca-Pórcel et al., 2009</w:t>
            </w:r>
          </w:p>
        </w:tc>
      </w:tr>
      <w:tr>
        <w:trPr>
          <w:trHeight w:val="983"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bCs/>
                <w:color w:val="000000"/>
                <w:kern w:val="0"/>
                <w:sz w:val="12"/>
                <w:szCs w:val="12"/>
                <w:lang w:val="es-MX" w:eastAsia="en-US" w:bidi="ar-SA"/>
              </w:rPr>
              <w:t>BPA</w:t>
            </w:r>
            <w:r>
              <w:rPr>
                <w:rFonts w:eastAsia="Calibri" w:cs="Times New Roman" w:ascii="Times New Roman" w:hAnsi="Times New Roman"/>
                <w:b/>
                <w:bCs/>
                <w:color w:val="000000"/>
                <w:kern w:val="0"/>
                <w:sz w:val="12"/>
                <w:szCs w:val="12"/>
                <w:lang w:val="es-MX" w:eastAsia="en-US" w:bidi="ar-SA"/>
              </w:rPr>
              <w:t>,</w:t>
            </w:r>
            <w:r>
              <w:rPr>
                <w:rFonts w:eastAsia="Calibri" w:cs="Times New Roman" w:ascii="Times New Roman" w:hAnsi="Times New Roman"/>
                <w:color w:val="000000"/>
                <w:kern w:val="0"/>
                <w:sz w:val="12"/>
                <w:szCs w:val="12"/>
                <w:lang w:val="es-MX" w:eastAsia="en-US" w:bidi="ar-SA"/>
              </w:rPr>
              <w:t xml:space="preserve"> alquifenoles y otros contaminantes orgánicos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MAE en medio micelar; 140 W, 90°C, 6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Extracción líquido-líquido, fase cuasi-coacervada</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LC-DAD</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0.5 µg/l - 0.02 mg/kg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Delgado et al., 2012</w:t>
            </w:r>
          </w:p>
        </w:tc>
      </w:tr>
      <w:tr>
        <w:trPr>
          <w:trHeight w:val="533"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Suelo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antibióticos veterinarios, hormonas esteroidales y otros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QuEChERS asistido con vortex; ACN,</w:t>
            </w:r>
            <w:r>
              <w:rPr>
                <w:rFonts w:eastAsia="Calibri" w:cs="Times New Roman" w:ascii="Times New Roman" w:hAnsi="Times New Roman"/>
                <w:kern w:val="0"/>
                <w:sz w:val="12"/>
                <w:szCs w:val="12"/>
                <w:lang w:val="es-MX" w:eastAsia="en-US" w:bidi="ar-SA"/>
              </w:rPr>
              <w:t xml:space="preserve"> </w:t>
            </w:r>
            <w:r>
              <w:rPr>
                <w:rFonts w:eastAsia="Calibri" w:cs="Times New Roman" w:ascii="Times New Roman" w:hAnsi="Times New Roman"/>
                <w:color w:val="000000"/>
                <w:kern w:val="0"/>
                <w:sz w:val="12"/>
                <w:szCs w:val="12"/>
                <w:lang w:val="es-MX" w:eastAsia="en-US" w:bidi="ar-SA"/>
              </w:rPr>
              <w:t>NaOAc y MgSO</w:t>
            </w:r>
            <w:r>
              <w:rPr>
                <w:rFonts w:eastAsia="Calibri" w:cs="Times New Roman" w:ascii="Times New Roman" w:hAnsi="Times New Roman"/>
                <w:color w:val="000000"/>
                <w:kern w:val="0"/>
                <w:sz w:val="12"/>
                <w:szCs w:val="12"/>
                <w:vertAlign w:val="subscript"/>
                <w:lang w:val="es-MX" w:eastAsia="en-US" w:bidi="ar-SA"/>
              </w:rPr>
              <w:t>4</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SAX y carbón activado</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0.001 – 0.05 µg/ml</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Salvia et al., 2012</w:t>
            </w:r>
          </w:p>
        </w:tc>
      </w:tr>
      <w:tr>
        <w:trPr>
          <w:trHeight w:val="790"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alquifenoles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MeOH, 15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carbón grafito</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LC-FL</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0.3 - 0.6 μg/kg*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Zhang et al., 2012</w:t>
            </w:r>
          </w:p>
        </w:tc>
      </w:tr>
      <w:tr>
        <w:trPr>
          <w:trHeight w:val="537"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Lodo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contaminantes emergentes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MeOH y ácido fórmico al 1% v/v, 20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carbón</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GC-MS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4.7 - 39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Yu y Wu, 2012</w:t>
            </w:r>
          </w:p>
        </w:tc>
      </w:tr>
      <w:tr>
        <w:trPr>
          <w:trHeight w:val="537"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disruptores endócrinos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Extracción c</w:t>
            </w:r>
            <w:r>
              <w:rPr>
                <w:rFonts w:eastAsia="Calibri" w:cs="Times New Roman" w:ascii="Times New Roman" w:hAnsi="Times New Roman"/>
                <w:kern w:val="0"/>
                <w:sz w:val="12"/>
                <w:szCs w:val="12"/>
                <w:lang w:val="es-MX" w:eastAsia="en-US" w:bidi="ar-SA"/>
              </w:rPr>
              <w:t xml:space="preserve">on disolvente supramolecular base undecanol </w:t>
            </w:r>
            <w:r>
              <w:rPr>
                <w:rFonts w:eastAsia="Calibri" w:cs="Times New Roman" w:ascii="Times New Roman" w:hAnsi="Times New Roman"/>
                <w:color w:val="000000"/>
                <w:kern w:val="0"/>
                <w:sz w:val="12"/>
                <w:szCs w:val="12"/>
                <w:lang w:val="es-MX" w:eastAsia="en-US" w:bidi="ar-SA"/>
              </w:rPr>
              <w:t xml:space="preserve">asistida por vortex; </w:t>
            </w:r>
            <w:r>
              <w:rPr>
                <w:rFonts w:eastAsia="Calibri" w:cs="Times New Roman" w:ascii="Times New Roman" w:hAnsi="Times New Roman"/>
                <w:kern w:val="0"/>
                <w:sz w:val="12"/>
                <w:szCs w:val="12"/>
                <w:lang w:val="es-MX" w:eastAsia="en-US" w:bidi="ar-SA"/>
              </w:rPr>
              <w:t>10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0.03 - 0.4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López-Jiménez et al., 2013</w:t>
            </w:r>
          </w:p>
        </w:tc>
      </w:tr>
      <w:tr>
        <w:trPr>
          <w:trHeight w:val="541"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Lodo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MAE, UAE, PLE y Soxhlet; Ace:Hex (1:1)</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C</w:t>
            </w:r>
            <w:r>
              <w:rPr>
                <w:rFonts w:eastAsia="Calibri" w:cs="Times New Roman" w:ascii="Times New Roman" w:hAnsi="Times New Roman"/>
                <w:color w:val="000000"/>
                <w:kern w:val="0"/>
                <w:sz w:val="12"/>
                <w:szCs w:val="12"/>
                <w:vertAlign w:val="subscript"/>
                <w:lang w:val="es-MX" w:eastAsia="en-US" w:bidi="ar-SA"/>
              </w:rPr>
              <w:t>18</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LC-UV</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100 ng/l y 100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Banihashemi y Droste, 2013</w:t>
            </w:r>
          </w:p>
        </w:tc>
      </w:tr>
      <w:tr>
        <w:trPr>
          <w:trHeight w:val="706"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alquilfenoles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PLE; MeOH, 150°C, 1500 psi, 10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Adsorción en alúmina</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0.17 - 4.01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Salgueiro-González et al., 2014</w:t>
            </w:r>
          </w:p>
        </w:tc>
      </w:tr>
      <w:tr>
        <w:trPr>
          <w:trHeight w:val="1237"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contaminantes emergentes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QuEChERS asistida por vortex; ACN:H</w:t>
            </w:r>
            <w:r>
              <w:rPr>
                <w:rFonts w:eastAsia="Calibri" w:cs="Times New Roman" w:ascii="Times New Roman" w:hAnsi="Times New Roman"/>
                <w:color w:val="000000"/>
                <w:kern w:val="0"/>
                <w:sz w:val="12"/>
                <w:szCs w:val="12"/>
                <w:vertAlign w:val="subscript"/>
                <w:lang w:val="es-MX" w:eastAsia="en-US" w:bidi="ar-SA"/>
              </w:rPr>
              <w:t>2</w:t>
            </w:r>
            <w:r>
              <w:rPr>
                <w:rFonts w:eastAsia="Calibri" w:cs="Times New Roman" w:ascii="Times New Roman" w:hAnsi="Times New Roman"/>
                <w:color w:val="000000"/>
                <w:kern w:val="0"/>
                <w:sz w:val="12"/>
                <w:szCs w:val="12"/>
                <w:lang w:val="es-MX" w:eastAsia="en-US" w:bidi="ar-SA"/>
              </w:rPr>
              <w:t>O (1:1), NaOAc y MgSO</w:t>
            </w:r>
            <w:r>
              <w:rPr>
                <w:rFonts w:eastAsia="Calibri" w:cs="Times New Roman" w:ascii="Times New Roman" w:hAnsi="Times New Roman"/>
                <w:color w:val="000000"/>
                <w:kern w:val="0"/>
                <w:sz w:val="12"/>
                <w:szCs w:val="12"/>
                <w:vertAlign w:val="subscript"/>
                <w:lang w:val="es-MX" w:eastAsia="en-US" w:bidi="ar-SA"/>
              </w:rPr>
              <w:t>4</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DSPE con PSA y GCB</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8.5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Berlioz-Barbier et al., 2014</w:t>
            </w:r>
          </w:p>
        </w:tc>
      </w:tr>
      <w:tr>
        <w:trPr>
          <w:trHeight w:val="1374"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 y lodo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BPS, BPF, BPB, BPAF, tetrabisfenol A, tetrabromobisfenol A</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MeOH:Ace (1:1), 15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HLB</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0.06 - 2.83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Yang et al., 2014</w:t>
            </w:r>
          </w:p>
        </w:tc>
      </w:tr>
      <w:tr>
        <w:trPr>
          <w:trHeight w:val="983"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Suelo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disruptores endócrinos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Ace:Hex (7:3)</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DSPE con carbón grafito</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0.9 - 31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Mijangos et al., 2015</w:t>
            </w:r>
          </w:p>
        </w:tc>
      </w:tr>
      <w:tr>
        <w:trPr>
          <w:trHeight w:val="983"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Material particulado atmosférico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disruptores endócrinos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MAE; MeOH, 400 W, 40°C, 15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isocianato cúprico</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LC-UV</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2.0 - 8.5 ng/l</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Jiao et al., 2015</w:t>
            </w:r>
          </w:p>
        </w:tc>
      </w:tr>
      <w:tr>
        <w:trPr>
          <w:trHeight w:val="582"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Sedimento</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contaminantes emergentes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UAE; H</w:t>
            </w:r>
            <w:r>
              <w:rPr>
                <w:rFonts w:eastAsia="Calibri" w:cs="Times New Roman" w:ascii="Times New Roman" w:hAnsi="Times New Roman"/>
                <w:color w:val="000000"/>
                <w:kern w:val="0"/>
                <w:sz w:val="12"/>
                <w:szCs w:val="12"/>
                <w:vertAlign w:val="subscript"/>
                <w:lang w:val="es-MX" w:eastAsia="en-US" w:bidi="ar-SA"/>
              </w:rPr>
              <w:t>2</w:t>
            </w:r>
            <w:r>
              <w:rPr>
                <w:rFonts w:eastAsia="Calibri" w:cs="Times New Roman" w:ascii="Times New Roman" w:hAnsi="Times New Roman"/>
                <w:color w:val="000000"/>
                <w:kern w:val="0"/>
                <w:sz w:val="12"/>
                <w:szCs w:val="12"/>
                <w:lang w:val="es-MX" w:eastAsia="en-US" w:bidi="ar-SA"/>
              </w:rPr>
              <w:t>O:MeOH:Ace (1:2:1), 1 h</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SPE con GCB</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0.1 - 6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Cavaliere et al., 2016</w:t>
            </w:r>
          </w:p>
        </w:tc>
      </w:tr>
      <w:tr>
        <w:trPr>
          <w:trHeight w:val="790"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Suelo, lodo y composta</w:t>
            </w:r>
          </w:p>
        </w:tc>
        <w:tc>
          <w:tcPr>
            <w:tcW w:w="1326"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contaminantes emergentes</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 xml:space="preserve">UAE; MeOH y ácido </w:t>
            </w:r>
            <w:r>
              <w:rPr>
                <w:rFonts w:eastAsia="Calibri" w:cs="Times New Roman" w:ascii="Times New Roman" w:hAnsi="Times New Roman"/>
                <w:bCs/>
                <w:color w:val="000000"/>
                <w:kern w:val="0"/>
                <w:sz w:val="12"/>
                <w:szCs w:val="12"/>
                <w:lang w:val="es-MX" w:eastAsia="en-US" w:bidi="ar-SA"/>
              </w:rPr>
              <w:t>acético al 5 % v/v, 7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DSPE con C</w:t>
            </w:r>
            <w:r>
              <w:rPr>
                <w:rFonts w:eastAsia="Calibri" w:cs="Times New Roman" w:ascii="Times New Roman" w:hAnsi="Times New Roman"/>
                <w:color w:val="000000"/>
                <w:kern w:val="0"/>
                <w:sz w:val="12"/>
                <w:szCs w:val="12"/>
                <w:vertAlign w:val="subscript"/>
                <w:lang w:val="es-MX" w:eastAsia="en-US" w:bidi="ar-SA"/>
              </w:rPr>
              <w:t>18</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0.01 - 6.2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Abril et al., 2018</w:t>
            </w:r>
          </w:p>
        </w:tc>
      </w:tr>
      <w:tr>
        <w:trPr>
          <w:trHeight w:val="983" w:hRule="atLeast"/>
        </w:trPr>
        <w:tc>
          <w:tcPr>
            <w:tcW w:w="638"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Lodo</w:t>
            </w:r>
          </w:p>
        </w:tc>
        <w:tc>
          <w:tcPr>
            <w:tcW w:w="1326" w:type="dxa"/>
            <w:tcBorders>
              <w:top w:val="nil"/>
              <w:left w:val="nil"/>
              <w:bottom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BPS, BPF, BPB y BPAF</w:t>
            </w:r>
          </w:p>
        </w:tc>
        <w:tc>
          <w:tcPr>
            <w:tcW w:w="126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QuEChERS asistido con ultrasonido, MeOH:H</w:t>
            </w:r>
            <w:r>
              <w:rPr>
                <w:rFonts w:eastAsia="Calibri" w:cs="Times New Roman" w:ascii="Times New Roman" w:hAnsi="Times New Roman"/>
                <w:color w:val="000000"/>
                <w:kern w:val="0"/>
                <w:sz w:val="12"/>
                <w:szCs w:val="12"/>
                <w:vertAlign w:val="subscript"/>
                <w:lang w:val="es-MX" w:eastAsia="en-US" w:bidi="ar-SA"/>
              </w:rPr>
              <w:t>2</w:t>
            </w:r>
            <w:r>
              <w:rPr>
                <w:rFonts w:eastAsia="Calibri" w:cs="Times New Roman" w:ascii="Times New Roman" w:hAnsi="Times New Roman"/>
                <w:color w:val="000000"/>
                <w:kern w:val="0"/>
                <w:sz w:val="12"/>
                <w:szCs w:val="12"/>
                <w:lang w:val="es-MX" w:eastAsia="en-US" w:bidi="ar-SA"/>
              </w:rPr>
              <w:t>O (1:1), 20 min</w:t>
            </w:r>
          </w:p>
        </w:tc>
        <w:tc>
          <w:tcPr>
            <w:tcW w:w="1422"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DSPE con montmorilonita magnética</w:t>
            </w:r>
          </w:p>
        </w:tc>
        <w:tc>
          <w:tcPr>
            <w:tcW w:w="115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LC-DAD</w:t>
            </w:r>
          </w:p>
        </w:tc>
        <w:tc>
          <w:tcPr>
            <w:tcW w:w="79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5.1 - 8.6 ng/g</w:t>
            </w:r>
          </w:p>
        </w:tc>
        <w:tc>
          <w:tcPr>
            <w:tcW w:w="917" w:type="dxa"/>
            <w:tcBorders>
              <w:top w:val="nil"/>
              <w:left w:val="nil"/>
              <w:bottom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Peng et al., 2020</w:t>
            </w:r>
          </w:p>
        </w:tc>
      </w:tr>
      <w:tr>
        <w:trPr>
          <w:trHeight w:val="1218" w:hRule="atLeast"/>
        </w:trPr>
        <w:tc>
          <w:tcPr>
            <w:tcW w:w="638" w:type="dxa"/>
            <w:tcBorders>
              <w:top w:val="nil"/>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Suelo</w:t>
            </w:r>
          </w:p>
        </w:tc>
        <w:tc>
          <w:tcPr>
            <w:tcW w:w="1326" w:type="dxa"/>
            <w:tcBorders>
              <w:top w:val="nil"/>
              <w:left w:val="nil"/>
              <w:right w:val="nil"/>
            </w:tcBorders>
          </w:tcPr>
          <w:p>
            <w:pPr>
              <w:pStyle w:val="Normal"/>
              <w:widowControl/>
              <w:spacing w:lineRule="auto" w:line="240" w:before="0" w:after="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BPA y disruptores endócrinos</w:t>
            </w:r>
          </w:p>
        </w:tc>
        <w:tc>
          <w:tcPr>
            <w:tcW w:w="1267" w:type="dxa"/>
            <w:tcBorders>
              <w:top w:val="nil"/>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QuEChERS asistido con vortex; ACN, MgSO</w:t>
            </w:r>
            <w:r>
              <w:rPr>
                <w:rFonts w:eastAsia="Calibri" w:cs="Times New Roman" w:ascii="Times New Roman" w:hAnsi="Times New Roman"/>
                <w:color w:val="000000"/>
                <w:kern w:val="0"/>
                <w:sz w:val="12"/>
                <w:szCs w:val="12"/>
                <w:vertAlign w:val="subscript"/>
                <w:lang w:val="es-MX" w:eastAsia="en-US" w:bidi="ar-SA"/>
              </w:rPr>
              <w:t>4</w:t>
            </w:r>
            <w:r>
              <w:rPr>
                <w:rFonts w:eastAsia="Calibri" w:cs="Times New Roman" w:ascii="Times New Roman" w:hAnsi="Times New Roman"/>
                <w:color w:val="000000"/>
                <w:kern w:val="0"/>
                <w:sz w:val="12"/>
                <w:szCs w:val="12"/>
                <w:lang w:val="es-MX" w:eastAsia="en-US" w:bidi="ar-SA"/>
              </w:rPr>
              <w:t xml:space="preserve"> y NaCl</w:t>
            </w:r>
          </w:p>
        </w:tc>
        <w:tc>
          <w:tcPr>
            <w:tcW w:w="1422" w:type="dxa"/>
            <w:tcBorders>
              <w:top w:val="nil"/>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DSPE con MgSO</w:t>
            </w:r>
            <w:r>
              <w:rPr>
                <w:rFonts w:eastAsia="Calibri" w:cs="Times New Roman" w:ascii="Times New Roman" w:hAnsi="Times New Roman"/>
                <w:color w:val="000000"/>
                <w:kern w:val="0"/>
                <w:sz w:val="12"/>
                <w:szCs w:val="12"/>
                <w:vertAlign w:val="subscript"/>
                <w:lang w:val="es-MX" w:eastAsia="en-US" w:bidi="ar-SA"/>
              </w:rPr>
              <w:t>4</w:t>
            </w:r>
            <w:r>
              <w:rPr>
                <w:rFonts w:eastAsia="Calibri" w:cs="Times New Roman" w:ascii="Times New Roman" w:hAnsi="Times New Roman"/>
                <w:color w:val="000000"/>
                <w:kern w:val="0"/>
                <w:sz w:val="12"/>
                <w:szCs w:val="12"/>
                <w:lang w:val="es-MX" w:eastAsia="en-US" w:bidi="ar-SA"/>
              </w:rPr>
              <w:t xml:space="preserve"> y PSA</w:t>
            </w:r>
          </w:p>
        </w:tc>
        <w:tc>
          <w:tcPr>
            <w:tcW w:w="1157" w:type="dxa"/>
            <w:tcBorders>
              <w:top w:val="nil"/>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LC-MS/MS</w:t>
            </w:r>
          </w:p>
        </w:tc>
        <w:tc>
          <w:tcPr>
            <w:tcW w:w="797" w:type="dxa"/>
            <w:tcBorders>
              <w:top w:val="nil"/>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0.001 - 0.005 µg/l</w:t>
            </w:r>
          </w:p>
        </w:tc>
        <w:tc>
          <w:tcPr>
            <w:tcW w:w="917" w:type="dxa"/>
            <w:tcBorders>
              <w:top w:val="nil"/>
              <w:left w:val="nil"/>
              <w:right w:val="nil"/>
            </w:tcBorders>
          </w:tcPr>
          <w:p>
            <w:pPr>
              <w:pStyle w:val="ListParagraph"/>
              <w:widowControl/>
              <w:spacing w:lineRule="auto" w:line="240" w:before="0" w:after="0"/>
              <w:ind w:left="0" w:hanging="0"/>
              <w:contextualSpacing/>
              <w:jc w:val="center"/>
              <w:rPr>
                <w:rFonts w:ascii="Times New Roman" w:hAnsi="Times New Roman" w:eastAsia="Calibri" w:cs="Times New Roman"/>
                <w:kern w:val="0"/>
                <w:sz w:val="12"/>
                <w:szCs w:val="12"/>
                <w:lang w:val="es-MX" w:eastAsia="en-US" w:bidi="ar-SA"/>
              </w:rPr>
            </w:pPr>
            <w:r>
              <w:rPr>
                <w:rFonts w:eastAsia="Calibri" w:cs="Times New Roman" w:ascii="Times New Roman" w:hAnsi="Times New Roman"/>
                <w:kern w:val="0"/>
                <w:sz w:val="12"/>
                <w:szCs w:val="12"/>
                <w:lang w:val="es-MX" w:eastAsia="en-US" w:bidi="ar-SA"/>
              </w:rPr>
              <w:t>Saha et al., 2021</w:t>
            </w:r>
          </w:p>
        </w:tc>
      </w:tr>
    </w:tbl>
    <w:p>
      <w:pPr>
        <w:pStyle w:val="Caption"/>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color w:val="000000"/>
          <w:sz w:val="20"/>
          <w:szCs w:val="20"/>
        </w:rPr>
        <w:t>NOTAS: Ace (acetona), ACN (acetonitrilo), BPAF (bisfenol AF), BPB (bisfenol B), BPF (bisfenol F), BPS (bisfenol S), C</w:t>
      </w:r>
      <w:r>
        <w:rPr>
          <w:rFonts w:cs="Times New Roman" w:ascii="Times New Roman" w:hAnsi="Times New Roman"/>
          <w:color w:val="000000"/>
          <w:sz w:val="20"/>
          <w:szCs w:val="20"/>
          <w:vertAlign w:val="subscript"/>
        </w:rPr>
        <w:t>18</w:t>
      </w:r>
      <w:r>
        <w:rPr>
          <w:rFonts w:cs="Times New Roman" w:ascii="Times New Roman" w:hAnsi="Times New Roman"/>
          <w:color w:val="000000"/>
          <w:sz w:val="20"/>
          <w:szCs w:val="20"/>
        </w:rPr>
        <w:t xml:space="preserve"> (octadecilsílice), DSPE (extracción en fase sólida dispersa), GCB (carbón negro grafito), </w:t>
      </w:r>
      <w:r>
        <w:rPr>
          <w:rFonts w:cs="Times New Roman" w:ascii="Times New Roman" w:hAnsi="Times New Roman"/>
          <w:color w:val="000000"/>
          <w:sz w:val="20"/>
          <w:szCs w:val="20"/>
        </w:rPr>
        <w:t>GC-MS</w:t>
      </w:r>
      <w:r>
        <w:rPr>
          <w:rFonts w:cs="Times New Roman" w:ascii="Times New Roman" w:hAnsi="Times New Roman"/>
          <w:color w:val="000000"/>
          <w:sz w:val="20"/>
          <w:szCs w:val="20"/>
        </w:rPr>
        <w:t xml:space="preserve"> (cromatografía de gases-espectrometría de masas), Hex (hexano), HLB (polímero base estireno), LC-DAD (cromatografía de líquidos-detector de diodos en fila), LC-FL (cromatografía de líquidos con detector fluorimétrico), LC-MS (cromatografía de líquidos-espectrometría de masas), LC-MS/MS (cromatografía de líquidos-espectrometría de masas en tándem), LC-UV (cromatografía de líquidos con detector fotométrico), LOD (límite de detección), LOQ (límite de cuantificación), MAE (extracción asistida por microondas), MeOH (metanol), NaOAC (acetato de sodio), PLE (extracción con líquidos presurizados), PSA (intercambio iónico con amina secundaria), SAX (intercambio aniónico), SPE (extracción en fase sólida), UAE (extracción asistida por ultrasonido), v/v (volumen/volumen).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sectPr>
          <w:headerReference w:type="default" r:id="rId12"/>
          <w:headerReference w:type="first" r:id="rId13"/>
          <w:footerReference w:type="default" r:id="rId14"/>
          <w:footerReference w:type="first" r:id="rId15"/>
          <w:type w:val="continuous"/>
          <w:pgSz w:w="12240" w:h="15840"/>
          <w:pgMar w:left="1417" w:right="1417" w:header="1417" w:top="1983" w:footer="1417" w:bottom="2092" w:gutter="0"/>
          <w:pgNumType w:fmt="decimal"/>
          <w:formProt w:val="false"/>
          <w:titlePg/>
          <w:textDirection w:val="lrTb"/>
          <w:docGrid w:type="default" w:linePitch="299" w:charSpace="4096"/>
        </w:sectPr>
      </w:pP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la Figura 2 se muestra el esquema general del proceso analítico, en el cual se destacan las dos grandes etapas asociadas al tratamiento de muestra: obtención del extracto y su purificación posterior, antes del análisis cromatográfico. Aunque el muestreo forma parte del proceso analítico, queda fuera de la discusión de estos trabajos, por tratarse del desarrollo de nuevos métodos analíticos y no de la aplicación de tales métodos con fines de diagnóstico o monitoreo ambiental. </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2788920" cy="113284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16"/>
                    <a:stretch>
                      <a:fillRect/>
                    </a:stretch>
                  </pic:blipFill>
                  <pic:spPr bwMode="auto">
                    <a:xfrm>
                      <a:off x="0" y="0"/>
                      <a:ext cx="2788920" cy="1132840"/>
                    </a:xfrm>
                    <a:prstGeom prst="rect">
                      <a:avLst/>
                    </a:prstGeom>
                  </pic:spPr>
                </pic:pic>
              </a:graphicData>
            </a:graphic>
          </wp:anchor>
        </w:drawing>
      </w:r>
    </w:p>
    <w:p>
      <w:pPr>
        <w:pStyle w:val="Caption"/>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Cs/>
          <w:color w:val="000000" w:themeColor="text1"/>
          <w:sz w:val="20"/>
          <w:szCs w:val="20"/>
        </w:rPr>
        <w:t>Figura 2.</w:t>
      </w:r>
      <w:r>
        <w:rPr>
          <w:rFonts w:cs="Times New Roman" w:ascii="Times New Roman" w:hAnsi="Times New Roman"/>
          <w:color w:val="000000" w:themeColor="text1"/>
          <w:sz w:val="20"/>
          <w:szCs w:val="20"/>
        </w:rPr>
        <w:t xml:space="preserve"> Etapas del tratamiento de muestra, como parte del proceso analítico. </w:t>
      </w:r>
      <w:r>
        <w:rPr>
          <w:rFonts w:cs="Times New Roman" w:ascii="Times New Roman" w:hAnsi="Times New Roman"/>
          <w:i/>
          <w:iCs/>
          <w:color w:val="000000" w:themeColor="text1"/>
          <w:sz w:val="20"/>
          <w:szCs w:val="20"/>
        </w:rPr>
        <w:t>Fuente: Elaboración propia.</w:t>
      </w:r>
    </w:p>
    <w:p>
      <w:pPr>
        <w:pStyle w:val="Normal"/>
        <w:spacing w:lineRule="auto" w:line="240" w:before="0" w:after="0"/>
        <w:ind w:left="0" w:right="0" w:hanging="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pacing w:lineRule="auto" w:line="240" w:before="0" w:after="0"/>
        <w:ind w:left="-1419" w:right="0" w:hanging="0"/>
        <w:rPr>
          <w:rFonts w:cs="Times New Roman"/>
          <w:b/>
          <w:b/>
          <w:bCs/>
        </w:rPr>
      </w:pPr>
      <w:r>
        <w:rPr>
          <w:rFonts w:ascii="Times New Roman" w:hAnsi="Times New Roman"/>
          <w:color w:val="000000"/>
          <w:sz w:val="20"/>
          <w:szCs w:val="20"/>
        </w:rPr>
      </w:r>
    </w:p>
    <w:p>
      <w:pPr>
        <w:pStyle w:val="ListParagraph"/>
        <w:numPr>
          <w:ilvl w:val="0"/>
          <w:numId w:val="0"/>
        </w:numPr>
        <w:spacing w:lineRule="auto" w:line="240" w:before="0" w:after="0"/>
        <w:ind w:left="-1419" w:right="0" w:hanging="0"/>
        <w:rPr>
          <w:rFonts w:ascii="Times New Roman" w:hAnsi="Times New Roman"/>
          <w:color w:val="000000"/>
          <w:sz w:val="20"/>
          <w:szCs w:val="20"/>
        </w:rPr>
      </w:pPr>
      <w:r>
        <w:rPr>
          <w:rFonts w:cs="Times New Roman" w:ascii="Times New Roman" w:hAnsi="Times New Roman"/>
          <w:b/>
          <w:bCs/>
          <w:color w:val="000000"/>
          <w:sz w:val="20"/>
          <w:szCs w:val="20"/>
        </w:rPr>
        <w:t xml:space="preserve">III. </w:t>
      </w:r>
      <w:r>
        <w:rPr>
          <w:rFonts w:cs="Times New Roman" w:ascii="Times New Roman" w:hAnsi="Times New Roman"/>
          <w:b/>
          <w:bCs/>
          <w:color w:val="000000"/>
          <w:sz w:val="20"/>
          <w:szCs w:val="20"/>
        </w:rPr>
        <w:t>TÉCNICAS DE EXTRACCIÓN</w:t>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Cs/>
          <w:color w:val="000000"/>
          <w:sz w:val="20"/>
          <w:szCs w:val="20"/>
        </w:rPr>
        <w:t>Al tratarse de muestras sólidas, es imprescindible considerar técnicas de separación que permitan transferir los analitos hacia una fase líquida, la cual será introducida después en el instrumento de análisis. A través de los últimos años se ha promovido el uso de técnicas de extracción cada vez más eficientes en términos de transferencia de masa para que el proceso sea cuantitativo, que utilicen una cantidad pequeña de muestra y extractante para generar menos residuos químicos por análisis, además de que el tiempo de procesamiento sea relativamente corto.</w:t>
      </w:r>
    </w:p>
    <w:p>
      <w:pPr>
        <w:pStyle w:val="ListParagraph"/>
        <w:spacing w:lineRule="auto" w:line="240" w:before="0" w:after="0"/>
        <w:ind w:left="0" w:right="0" w:hanging="0"/>
        <w:jc w:val="both"/>
        <w:rPr>
          <w:rFonts w:cs="Times New Roman"/>
          <w:bCs/>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cuanto a la determinación de BP y otros compuestos en muestras sólidas de interés ambiental, puede apreciarse en la Tabla 1 que UAE es la técnica más recurrente, seguida de QuEChERS con agitación por vortex y MAE. En cualquier caso, la muestra se pone en contacto directo con el disolvente orgánico que actúa como extractante, para su separación. </w:t>
      </w:r>
      <w:r>
        <w:rPr>
          <w:rFonts w:cs="Times New Roman" w:ascii="Times New Roman" w:hAnsi="Times New Roman"/>
          <w:bCs/>
          <w:color w:val="000000"/>
          <w:sz w:val="20"/>
          <w:szCs w:val="20"/>
        </w:rPr>
        <w:t>Por otro lado, al ser los BP compuestos polares, se ha priorizado el uso de disolventes polares no halogenados como alcoholes, de menor toxicidad que disolventes orgánicos como el benceno, cloroformo o tetracloruro de carbono.</w:t>
      </w:r>
    </w:p>
    <w:p>
      <w:pPr>
        <w:pStyle w:val="Normal"/>
        <w:tabs>
          <w:tab w:val="clear" w:pos="708"/>
          <w:tab w:val="left" w:pos="6035" w:leader="none"/>
        </w:tabs>
        <w:spacing w:lineRule="auto" w:line="240" w:before="0" w:after="0"/>
        <w:ind w:left="0" w:right="0" w:hanging="0"/>
        <w:jc w:val="both"/>
        <w:rPr>
          <w:rFonts w:cs="Times New Roman"/>
          <w:bCs/>
        </w:rPr>
      </w:pPr>
      <w:r>
        <w:rPr>
          <w:rFonts w:ascii="Times New Roman" w:hAnsi="Times New Roman"/>
          <w:color w:val="000000"/>
          <w:sz w:val="20"/>
          <w:szCs w:val="20"/>
        </w:rPr>
      </w:r>
    </w:p>
    <w:p>
      <w:pPr>
        <w:pStyle w:val="ListParagraph"/>
        <w:numPr>
          <w:ilvl w:val="0"/>
          <w:numId w:val="0"/>
        </w:numPr>
        <w:spacing w:lineRule="auto" w:line="240" w:before="0" w:after="0"/>
        <w:ind w:left="1440" w:right="0" w:hanging="0"/>
        <w:jc w:val="both"/>
        <w:rPr>
          <w:rFonts w:ascii="Times New Roman" w:hAnsi="Times New Roman"/>
          <w:color w:val="000000"/>
          <w:sz w:val="20"/>
          <w:szCs w:val="20"/>
        </w:rPr>
      </w:pPr>
      <w:r>
        <w:rPr>
          <w:rFonts w:cs="Times New Roman" w:ascii="Times New Roman" w:hAnsi="Times New Roman"/>
          <w:bCs/>
          <w:i/>
          <w:color w:val="000000"/>
          <w:sz w:val="20"/>
          <w:szCs w:val="20"/>
        </w:rPr>
        <w:t xml:space="preserve">A. </w:t>
      </w:r>
      <w:r>
        <w:rPr>
          <w:rFonts w:cs="Times New Roman" w:ascii="Times New Roman" w:hAnsi="Times New Roman"/>
          <w:bCs/>
          <w:i/>
          <w:color w:val="000000"/>
          <w:sz w:val="20"/>
          <w:szCs w:val="20"/>
        </w:rPr>
        <w:t>Extración asistida por ultrasonido (UAE)</w:t>
      </w:r>
    </w:p>
    <w:p>
      <w:pPr>
        <w:pStyle w:val="Normal"/>
        <w:tabs>
          <w:tab w:val="clear" w:pos="708"/>
          <w:tab w:val="left" w:pos="6035" w:leader="none"/>
        </w:tabs>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La técnica consiste en la lixiviación de componentes de una muestra sólida hacia disolventes -puros o en mezcla- y en presencia de ultrasonido. El ultrasonido corresponde a ondas de sonido con frecuencias en el intervalo de 16 kHz a 10 MHz. En el disolvente, tales ondas dan origen al fenómeno de cavitación por la formación, crecimiento y el colapso de microburbujas, cuyo tiempo de vida es de microsegundos, con microzonas de elevadas temperaturas (5000 K) y presiones (50-100 atm). La implosión de estas burbujas genera corrientes y ondas de choque que propician la fragmentación de materiales sólidos y su erosión focalizada, favoreciendo la desorción de analitos y mezclado de la muestra (Rodríguez-Riera et al., 2014).</w:t>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La extracción con disolventes orgánicos asistida por ultrasonido suele realizarse en baño ultrasónico o con sistema focalizado (Figura 3). Es innegable que los baños ultrasónicos están disponibles en la mayoría de los laboratorios químicos, lo que facilita su adopción con fines de extracción; sin embargo, la energía suministrada es menor que en un sistema focalizado, por lo que el tiempo de separación suele ser mayor que en el sistema focalizado. En contraste, el sistema focalizado suele dar paso a microextracciones, por la reducción tanto del tamaño de muestra y volumen del extractante, alcanzándose la separación en apenas algunos minutos. </w:t>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drawing>
          <wp:anchor behindDoc="0" distT="0" distB="0" distL="0" distR="0" simplePos="0" locked="0" layoutInCell="0" allowOverlap="1" relativeHeight="6">
            <wp:simplePos x="0" y="0"/>
            <wp:positionH relativeFrom="column">
              <wp:posOffset>321310</wp:posOffset>
            </wp:positionH>
            <wp:positionV relativeFrom="paragraph">
              <wp:posOffset>99060</wp:posOffset>
            </wp:positionV>
            <wp:extent cx="2691765" cy="928370"/>
            <wp:effectExtent l="0" t="0" r="0" b="0"/>
            <wp:wrapSquare wrapText="largest"/>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17"/>
                    <a:stretch>
                      <a:fillRect/>
                    </a:stretch>
                  </pic:blipFill>
                  <pic:spPr bwMode="auto">
                    <a:xfrm>
                      <a:off x="0" y="0"/>
                      <a:ext cx="2691765" cy="928370"/>
                    </a:xfrm>
                    <a:prstGeom prst="rect">
                      <a:avLst/>
                    </a:prstGeom>
                  </pic:spPr>
                </pic:pic>
              </a:graphicData>
            </a:graphic>
          </wp:anchor>
        </w:drawing>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center"/>
        <w:rPr>
          <w:rFonts w:cs="Times New Roman"/>
          <w:bCs/>
          <w:i/>
          <w:i/>
          <w:iCs/>
          <w:color w:themeColor="text1"/>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Cs/>
          <w:i/>
          <w:iCs/>
          <w:color w:val="000000" w:themeColor="text1"/>
          <w:sz w:val="20"/>
          <w:szCs w:val="20"/>
        </w:rPr>
        <w:t>Figura 3.</w:t>
      </w:r>
      <w:r>
        <w:rPr>
          <w:rFonts w:cs="Times New Roman" w:ascii="Times New Roman" w:hAnsi="Times New Roman"/>
          <w:b/>
          <w:bCs/>
          <w:i/>
          <w:iCs/>
          <w:color w:val="000000" w:themeColor="text1"/>
          <w:sz w:val="20"/>
          <w:szCs w:val="20"/>
        </w:rPr>
        <w:t xml:space="preserve"> </w:t>
      </w:r>
      <w:r>
        <w:rPr>
          <w:rFonts w:cs="Times New Roman" w:ascii="Times New Roman" w:hAnsi="Times New Roman"/>
          <w:i/>
          <w:iCs/>
          <w:color w:val="000000" w:themeColor="text1"/>
          <w:sz w:val="20"/>
          <w:szCs w:val="20"/>
        </w:rPr>
        <w:t xml:space="preserve">Extracción asistida por ultrasonido por A) sistema focalizado y B) baño ultrasónico. </w:t>
      </w:r>
      <w:r>
        <w:rPr>
          <w:rFonts w:cs="Times New Roman" w:ascii="Times New Roman" w:hAnsi="Times New Roman"/>
          <w:i/>
          <w:iCs/>
          <w:color w:val="000000" w:themeColor="text1"/>
          <w:sz w:val="20"/>
          <w:szCs w:val="20"/>
        </w:rPr>
        <w:t>Fuente: Elaboración propia.</w:t>
      </w:r>
    </w:p>
    <w:p>
      <w:pPr>
        <w:pStyle w:val="ListParagraph"/>
        <w:spacing w:lineRule="auto" w:line="240" w:before="0" w:after="0"/>
        <w:ind w:left="0" w:right="0" w:hanging="0"/>
        <w:jc w:val="both"/>
        <w:rPr>
          <w:rFonts w:cs="Times New Roman"/>
          <w:bCs/>
        </w:rPr>
      </w:pPr>
      <w:r>
        <w:rPr>
          <w:rFonts w:ascii="Times New Roman" w:hAnsi="Times New Roman"/>
          <w:color w:val="000000"/>
          <w:sz w:val="20"/>
          <w:szCs w:val="20"/>
        </w:rPr>
      </w:r>
    </w:p>
    <w:p>
      <w:pPr>
        <w:pStyle w:val="ListParagraph"/>
        <w:spacing w:lineRule="auto" w:line="240" w:before="0" w:after="0"/>
        <w:ind w:left="0" w:right="0" w:hanging="0"/>
        <w:jc w:val="both"/>
        <w:rPr>
          <w:rFonts w:cs="Times New Roman"/>
          <w:bCs/>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Cs/>
          <w:color w:val="000000"/>
          <w:sz w:val="20"/>
          <w:szCs w:val="20"/>
        </w:rPr>
        <w:t>Respecto a sus múltiples aplicaciones, la técnica ha sido empleada en muy diversas áreas. Por ejemplo, en el análisis de frutas se han determinado antioxidantes (Aguilar-Villalva et al., 2021), compuestos fenólicos (Ahmed et al., 2022) y plaguicidas (Du et al., 2022), por ejemplo. En otro contexto, trazas de metales se han estimado en vegetales y agua (Nyaba y Nomngongo, 2020). Suelos y lodos han sido analizados para cuantificar fármacos (Kumirska et al., 2019), herbicidas (Ueno et al., 2009) y metales pesados (Wang et al., 2015), entre otros.</w:t>
      </w:r>
    </w:p>
    <w:p>
      <w:pPr>
        <w:pStyle w:val="ListParagraph"/>
        <w:spacing w:lineRule="auto" w:line="240" w:before="0" w:after="0"/>
        <w:ind w:left="0" w:right="0" w:hanging="0"/>
        <w:jc w:val="both"/>
        <w:rPr>
          <w:rFonts w:cs="Times New Roman"/>
          <w:bCs/>
        </w:rPr>
      </w:pPr>
      <w:r>
        <w:rPr>
          <w:rFonts w:ascii="Times New Roman" w:hAnsi="Times New Roman"/>
          <w:color w:val="000000"/>
          <w:sz w:val="20"/>
          <w:szCs w:val="20"/>
        </w:rPr>
      </w:r>
    </w:p>
    <w:p>
      <w:pPr>
        <w:pStyle w:val="Normal"/>
        <w:tabs>
          <w:tab w:val="clear" w:pos="708"/>
          <w:tab w:val="left" w:pos="6035" w:leader="none"/>
        </w:tabs>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Algunas de las ventajas de esta técnica son la simplicidad en la operabilidad, bajo costo, menor tiempo de procesamiento que Soxhlet y volúmenes bajos de disolvente (&lt; 25 mL, comúnmente). Por otro lado, su eficiencia de extracción es significativa (Albero et al., 2019). Por ello, es la técnica elegida para la separación de analitos de la matriz sólida a la que se recurre en más del 50 % de los métodos analíticos descritos en la Tabla 1. En éstos, destaca el uso de MeOH como extractante, solo o en mezcla con agua o acetona; en la mayoría de los casos, se utiliza el baño ultrasónico, aunque el tiempo de separación es mayor que el reportado con sistemas focalizados. Además, es reiterada la purificación del extracto por SPE, con adsorbentes elegidos de acuerdo al tipo de matriz y sus interferentes potenciales.</w:t>
      </w:r>
    </w:p>
    <w:p>
      <w:pPr>
        <w:pStyle w:val="Normal"/>
        <w:tabs>
          <w:tab w:val="clear" w:pos="708"/>
          <w:tab w:val="left" w:pos="6035" w:leader="none"/>
        </w:tabs>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numPr>
          <w:ilvl w:val="0"/>
          <w:numId w:val="0"/>
        </w:numPr>
        <w:spacing w:lineRule="auto" w:line="240" w:before="0" w:after="0"/>
        <w:ind w:left="1440" w:right="0" w:hanging="0"/>
        <w:jc w:val="both"/>
        <w:rPr>
          <w:rFonts w:ascii="Times New Roman" w:hAnsi="Times New Roman"/>
          <w:color w:val="000000"/>
          <w:sz w:val="20"/>
          <w:szCs w:val="20"/>
        </w:rPr>
      </w:pPr>
      <w:r>
        <w:rPr>
          <w:rFonts w:cs="Times New Roman" w:ascii="Times New Roman" w:hAnsi="Times New Roman"/>
          <w:i/>
          <w:color w:val="000000"/>
          <w:sz w:val="20"/>
          <w:szCs w:val="20"/>
        </w:rPr>
        <w:t xml:space="preserve">B. </w:t>
      </w:r>
      <w:r>
        <w:rPr>
          <w:rFonts w:cs="Times New Roman" w:ascii="Times New Roman" w:hAnsi="Times New Roman"/>
          <w:i/>
          <w:color w:val="000000"/>
          <w:sz w:val="20"/>
          <w:szCs w:val="20"/>
        </w:rPr>
        <w:t>QuEChERS</w:t>
      </w:r>
      <w:r>
        <w:rPr>
          <w:rFonts w:cs="Times New Roman" w:ascii="Times New Roman" w:hAnsi="Times New Roman"/>
          <w:bCs/>
          <w:i/>
          <w:color w:val="000000"/>
          <w:sz w:val="20"/>
          <w:szCs w:val="20"/>
        </w:rPr>
        <w:t xml:space="preserve"> con agitación por vortex</w:t>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La técnica recibe este nombre -QuEChERS- por su acrónimo en inglés, construido a partir de las características que lo definen: rápido, fácil, barato, eficaz, robusto y seguro (Lehotay et al.</w:t>
      </w:r>
      <w:r>
        <w:rPr>
          <w:rFonts w:cs="Times New Roman" w:ascii="Times New Roman" w:hAnsi="Times New Roman"/>
          <w:i/>
          <w:iCs/>
          <w:color w:val="000000"/>
          <w:sz w:val="20"/>
          <w:szCs w:val="20"/>
        </w:rPr>
        <w:t xml:space="preserve">, </w:t>
      </w:r>
      <w:r>
        <w:rPr>
          <w:rFonts w:cs="Times New Roman" w:ascii="Times New Roman" w:hAnsi="Times New Roman"/>
          <w:color w:val="000000"/>
          <w:sz w:val="20"/>
          <w:szCs w:val="20"/>
        </w:rPr>
        <w:t>2005). Fue introducida como una alternativa en el tratamiento de muestra de métodos cromatográficos multiresiduo en la determinación de plaguicidas en frutas y verduras (Anastassiades et al., 2003). Desde sus orígenes, la hoy técnica fue concebida en dos etapas. Inicialmente, se realiza la extracción de analitos de la matriz de muestra a partir de disolventes polares (ACN, MeOH) y la adición característica de cantidades significativas de sales inorgánicas (MgSO</w:t>
      </w:r>
      <w:r>
        <w:rPr>
          <w:rFonts w:cs="Times New Roman" w:ascii="Times New Roman" w:hAnsi="Times New Roman"/>
          <w:color w:val="000000"/>
          <w:sz w:val="20"/>
          <w:szCs w:val="20"/>
          <w:vertAlign w:val="subscript"/>
        </w:rPr>
        <w:t>4</w:t>
      </w:r>
      <w:r>
        <w:rPr>
          <w:rFonts w:cs="Times New Roman" w:ascii="Times New Roman" w:hAnsi="Times New Roman"/>
          <w:color w:val="000000"/>
          <w:sz w:val="20"/>
          <w:szCs w:val="20"/>
        </w:rPr>
        <w:t>, NaCl, en gramos) para favorecer la partición de analitos hacia fase orgánica. Dado que el proceso no es selectivo, se recurre a una segunda etapa de limpieza del extracto a través de SPE, comúnmente en su modalidad dispersiva (véase Figura 4); la fase estacionaria suele ser PSA, C</w:t>
      </w:r>
      <w:r>
        <w:rPr>
          <w:rFonts w:cs="Times New Roman" w:ascii="Times New Roman" w:hAnsi="Times New Roman"/>
          <w:color w:val="000000"/>
          <w:sz w:val="20"/>
          <w:szCs w:val="20"/>
          <w:vertAlign w:val="subscript"/>
        </w:rPr>
        <w:t xml:space="preserve">18 </w:t>
      </w:r>
      <w:r>
        <w:rPr>
          <w:rFonts w:cs="Times New Roman" w:ascii="Times New Roman" w:hAnsi="Times New Roman"/>
          <w:color w:val="000000"/>
          <w:sz w:val="20"/>
          <w:szCs w:val="20"/>
        </w:rPr>
        <w:t>y GCB, solos o en mezcla, para la retención de componentes de la matriz como clorofila, antocianinas, ácidos grasos, etc. (Lehotay, 2011).</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Entre las principales ventajas de la técnica destacan la baja manipulación de la muestra, ya que el ensayo se suele realizar en dos tubos de ensayo -uno para cada etapa-, evitando así pérdidas de analito o contaminación de la muestra. El volumen de disolvente es bajo (comúnmente 10 a 15 mL), al igual que el tamaño de muestra (no mayor a 15 gramos); además de simplificarse el tratamiento de muestra, se reduce el tiempo de ejecución y costo. </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Por otro lado, se suelen alcanzar eficiencias de extracción altas para compuestos de muy diversa polaridad (&gt; 80%). Así, QuEChERS ha sido incluido en un método de la Asociación Internacional de Químicos Analíticos (AOAC) para la determinación de plaguicidas en alimentos (AOAC, 2007), al igual que en la Unión Europea (EU) en un método para cuantificar residuos de plaguicidas en alimentos vegetales (EU, 2018).</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Finalmente, en esta técnica es frecuente la agitación con vortex, el cual consiste en un dispositivo sencillo con un motor eléctrico, donde el eje de impulsión está orientado verticalmente y unido a una pieza de goma. Al encender el motor la goma oscila con movimientos circulares; al presionar un recipiente apropiado sobre la goma, el movimiento se transmite al líquido y crea un vórtice, homogenizando el contenido.</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Actualmente, QuEChERS ha trascendido del análisis de alimentos vegetales a muy diversas aplicaciones, como técnica de gran versatilidad en el tratamiento de muestra. Así, se ha utilizado en la determinación de fármacos de uso veterinario en tejido animal y leche (Kinsella et al., 2009; Keegan et al., 2009; Stubbings y Bisgwood, 2009). En contraste, Paíga et al. (2012) han determinado micotoxinas en pan. En formulaciones farmacéuticas de origen herbolario, Klinsunthorn, et al. (2011) han estudiado esteroides adulterados. En suelos, se han cuantificado analitos tan diversos como subproductos de desinfectantes (Martín et al., 2010) y fármacos (Bragança et al., 2012), entre otros. Igualmente, la determinación de plaguicidas continúa siendo un tema recurrente en matrices tan diversas como leche (Keegan et al., 2009), pimientos (Morales et al., 2007) y alimentos infantiles (Georgakopoulos et al., 2011), por mencionar algunos ejemplos.</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cuanto al análisis de muestras sólidas de interés ambiental mostradas en la Tabla 1, QuEChERS se desarrolla con ACN como extractante, acompañado de otras sales como NaOAc, MgSO</w:t>
      </w:r>
      <w:r>
        <w:rPr>
          <w:rFonts w:cs="Times New Roman" w:ascii="Times New Roman" w:hAnsi="Times New Roman"/>
          <w:color w:val="000000"/>
          <w:sz w:val="20"/>
          <w:szCs w:val="20"/>
          <w:vertAlign w:val="subscript"/>
        </w:rPr>
        <w:t>4</w:t>
      </w:r>
      <w:r>
        <w:rPr>
          <w:rFonts w:cs="Times New Roman" w:ascii="Times New Roman" w:hAnsi="Times New Roman"/>
          <w:color w:val="000000"/>
          <w:sz w:val="20"/>
          <w:szCs w:val="20"/>
        </w:rPr>
        <w:t xml:space="preserve"> y NaCl. Por otro lado, el extracto se purifica principalmente por SPE en la modalidad dispersiva, utilizando absorbentes variados.</w:t>
      </w:r>
    </w:p>
    <w:p>
      <w:pPr>
        <w:pStyle w:val="ListParagraph"/>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ListParagraph"/>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2453005" cy="727710"/>
            <wp:effectExtent l="0" t="0" r="0" b="0"/>
            <wp:wrapSquare wrapText="largest"/>
            <wp:docPr id="6"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 descr=""/>
                    <pic:cNvPicPr>
                      <a:picLocks noChangeAspect="1" noChangeArrowheads="1"/>
                    </pic:cNvPicPr>
                  </pic:nvPicPr>
                  <pic:blipFill>
                    <a:blip r:embed="rId18"/>
                    <a:stretch>
                      <a:fillRect/>
                    </a:stretch>
                  </pic:blipFill>
                  <pic:spPr bwMode="auto">
                    <a:xfrm>
                      <a:off x="0" y="0"/>
                      <a:ext cx="2453005" cy="727710"/>
                    </a:xfrm>
                    <a:prstGeom prst="rect">
                      <a:avLst/>
                    </a:prstGeom>
                  </pic:spPr>
                </pic:pic>
              </a:graphicData>
            </a:graphic>
          </wp:anchor>
        </w:drawing>
      </w:r>
    </w:p>
    <w:p>
      <w:pPr>
        <w:pStyle w:val="ListParagraph"/>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ListParagraph"/>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ListParagraph"/>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ListParagraph"/>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ListParagraph"/>
        <w:spacing w:lineRule="auto" w:line="240" w:before="0" w:after="0"/>
        <w:ind w:left="0" w:right="0" w:hanging="0"/>
        <w:jc w:val="center"/>
        <w:rPr>
          <w:rFonts w:ascii="Times New Roman" w:hAnsi="Times New Roman" w:cs="Times New Roman"/>
          <w:b/>
          <w:b/>
          <w:bCs/>
          <w:iCs/>
          <w:color w:val="000000" w:themeColor="text1"/>
          <w:sz w:val="20"/>
          <w:szCs w:val="20"/>
        </w:rPr>
      </w:pPr>
      <w:r>
        <w:rPr>
          <w:rFonts w:cs="Times New Roman" w:ascii="Times New Roman" w:hAnsi="Times New Roman"/>
          <w:b/>
          <w:bCs/>
          <w:iCs/>
          <w:color w:val="000000" w:themeColor="text1"/>
          <w:sz w:val="20"/>
          <w:szCs w:val="20"/>
        </w:rPr>
      </w:r>
    </w:p>
    <w:p>
      <w:pPr>
        <w:pStyle w:val="ListParagraph"/>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Cs/>
          <w:i/>
          <w:iCs/>
          <w:color w:val="000000" w:themeColor="text1"/>
          <w:sz w:val="20"/>
          <w:szCs w:val="20"/>
        </w:rPr>
        <w:t>Figura 4.</w:t>
      </w:r>
      <w:r>
        <w:rPr>
          <w:rFonts w:cs="Times New Roman" w:ascii="Times New Roman" w:hAnsi="Times New Roman"/>
          <w:b/>
          <w:bCs/>
          <w:i/>
          <w:iCs/>
          <w:color w:val="000000" w:themeColor="text1"/>
          <w:sz w:val="20"/>
          <w:szCs w:val="20"/>
        </w:rPr>
        <w:t xml:space="preserve"> </w:t>
      </w:r>
      <w:r>
        <w:rPr>
          <w:rFonts w:cs="Times New Roman" w:ascii="Times New Roman" w:hAnsi="Times New Roman"/>
          <w:i/>
          <w:iCs/>
          <w:color w:val="000000" w:themeColor="text1"/>
          <w:sz w:val="20"/>
          <w:szCs w:val="20"/>
        </w:rPr>
        <w:t>QuEChERS como técnica de extracción en muestras sólidas</w:t>
      </w:r>
      <w:r>
        <w:rPr>
          <w:rFonts w:cs="Times New Roman" w:ascii="Times New Roman" w:hAnsi="Times New Roman"/>
          <w:color w:val="000000" w:themeColor="text1"/>
          <w:sz w:val="20"/>
          <w:szCs w:val="20"/>
        </w:rPr>
        <w:t xml:space="preserve">. </w:t>
      </w:r>
      <w:r>
        <w:rPr>
          <w:rFonts w:cs="Times New Roman" w:ascii="Times New Roman" w:hAnsi="Times New Roman"/>
          <w:i/>
          <w:iCs/>
          <w:color w:val="000000" w:themeColor="text1"/>
          <w:sz w:val="20"/>
          <w:szCs w:val="20"/>
        </w:rPr>
        <w:t>Fuente: Elaboración propia.</w:t>
      </w:r>
    </w:p>
    <w:p>
      <w:pPr>
        <w:pStyle w:val="ListParagraph"/>
        <w:spacing w:lineRule="auto" w:line="240" w:before="0" w:after="0"/>
        <w:ind w:left="0" w:right="0" w:hanging="0"/>
        <w:jc w:val="center"/>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r>
    </w:p>
    <w:p>
      <w:pPr>
        <w:pStyle w:val="ListParagraph"/>
        <w:numPr>
          <w:ilvl w:val="0"/>
          <w:numId w:val="0"/>
        </w:numPr>
        <w:spacing w:lineRule="auto" w:line="240" w:before="0" w:after="0"/>
        <w:ind w:left="1440" w:right="0" w:hanging="0"/>
        <w:jc w:val="both"/>
        <w:rPr>
          <w:rFonts w:ascii="Times New Roman" w:hAnsi="Times New Roman"/>
          <w:color w:val="000000"/>
          <w:sz w:val="20"/>
          <w:szCs w:val="20"/>
        </w:rPr>
      </w:pPr>
      <w:r>
        <w:rPr>
          <w:rFonts w:cs="Times New Roman" w:ascii="Times New Roman" w:hAnsi="Times New Roman"/>
          <w:bCs/>
          <w:i/>
          <w:color w:val="000000"/>
          <w:sz w:val="20"/>
          <w:szCs w:val="20"/>
        </w:rPr>
        <w:t xml:space="preserve">C. </w:t>
      </w:r>
      <w:r>
        <w:rPr>
          <w:rFonts w:cs="Times New Roman" w:ascii="Times New Roman" w:hAnsi="Times New Roman"/>
          <w:bCs/>
          <w:i/>
          <w:color w:val="000000"/>
          <w:sz w:val="20"/>
          <w:szCs w:val="20"/>
        </w:rPr>
        <w:t>Extracción asistida por microondas (MAE)</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general, las microondas son ondas electromagnéticas que oscilan entre 300 y 300 000 MHz de frecuencia, si bien se utilizan con múltiples aplicaciones a 2 450 MHz que corresponden a una energía de 0.23 cal/mol y sólo pueden provocar rotación en las moléculas, no su ionización. Tal energía es absorbida por múltiples materiales compuestos por moléculas polares y electrolitos, para convertirla en calor.</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calentamiento por microondas se sustenta en dos mecanismos: conducción iónica y rotación dipolar. En el primer caso, la disolución ofrece resistencia a la migración de iones cuando se impone el campo electromagnético, por lo que se calienta por fricción; además del calentamiento, se promueve la penetración del disolvente en la matriz de la muestra, lo que facilita la solvatación de los compuestos. Simultáneamente, ocurre rotación alternada de las moléculas que tienen momento dipolar, alineándose y desalineándose al campo eléctrico alrededor de 4.9x10</w:t>
      </w:r>
      <w:r>
        <w:rPr>
          <w:rFonts w:cs="Times New Roman" w:ascii="Times New Roman" w:hAnsi="Times New Roman"/>
          <w:color w:val="000000"/>
          <w:sz w:val="20"/>
          <w:szCs w:val="20"/>
          <w:vertAlign w:val="superscript"/>
        </w:rPr>
        <w:t>9</w:t>
      </w:r>
      <w:r>
        <w:rPr>
          <w:rFonts w:cs="Times New Roman" w:ascii="Times New Roman" w:hAnsi="Times New Roman"/>
          <w:color w:val="000000"/>
          <w:sz w:val="20"/>
          <w:szCs w:val="20"/>
        </w:rPr>
        <w:t xml:space="preserve"> veces, lo que conduce al calentamiento de la muestra.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Operativamente, en la extracción con disolventes se debe tener ciertas consideraciones al calentarse con microondas, tales como la naturaleza del disolvente y el tipo de muestra, el material del contenedor de extracción, potencia y tiempo de aplicación. Los disolventes ideales como extractantes son aquéllos que tienen un alto factor de disipación, el cual es directamente proporcional a su constante dieléctrica, como H</w:t>
      </w:r>
      <w:r>
        <w:rPr>
          <w:rFonts w:cs="Times New Roman" w:ascii="Times New Roman" w:hAnsi="Times New Roman"/>
          <w:color w:val="000000"/>
          <w:sz w:val="20"/>
          <w:szCs w:val="20"/>
          <w:vertAlign w:val="subscript"/>
        </w:rPr>
        <w:t>2</w:t>
      </w:r>
      <w:r>
        <w:rPr>
          <w:rFonts w:cs="Times New Roman" w:ascii="Times New Roman" w:hAnsi="Times New Roman"/>
          <w:color w:val="000000"/>
          <w:sz w:val="20"/>
          <w:szCs w:val="20"/>
        </w:rPr>
        <w:t>0 y MeOH; en contraste, Hex y diclorometano no lo son. Esto se debe a que, a mayor factor de disipación, mayor la energía térmica generada. Por otro lado, sólo las moléculas polares pueden calentarse con microondas. En cuanto a la relación volumen de disolvente/muestra, el primero debe cubrir toda la muestra, pero ser suficientemente bajo para calentarse al menor tiempo y potencia posible. En general, la extracción suele desarrollarse en recipientes de vidrio o polieterimida, con tiempos de extracción entre 5 y 30 min y potencias de 600 a 1 000 W para sistemas cerrados, o de 250 W para sistemas abiertos (Destandau et al., 2013).</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Así, además de tasas de recuperación altas en la extracción debido a un calentamiento homogéneo de la muestra y solvatación eficiente de los analitos, las principales ventajas de la técnica recaen en su simplicidad, corto tiempo de operación, ahorro de energía, volúmenes bajos de disolventes como H</w:t>
      </w:r>
      <w:r>
        <w:rPr>
          <w:rFonts w:cs="Times New Roman" w:ascii="Times New Roman" w:hAnsi="Times New Roman"/>
          <w:color w:val="000000"/>
          <w:sz w:val="20"/>
          <w:szCs w:val="20"/>
          <w:vertAlign w:val="subscript"/>
        </w:rPr>
        <w:t>2</w:t>
      </w:r>
      <w:r>
        <w:rPr>
          <w:rFonts w:cs="Times New Roman" w:ascii="Times New Roman" w:hAnsi="Times New Roman"/>
          <w:color w:val="000000"/>
          <w:sz w:val="20"/>
          <w:szCs w:val="20"/>
        </w:rPr>
        <w:t>O y MeOH, lo cual se refleja en residuos químicos de menor toxicidad y volumen y menor costo de análisis por muestra.</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Actualmente, existen múltiples aplicaciones de este tipo de extracción en la determinación de compuestos orgánicos en muestras sólidas. Sólo en el último año, destaca su aplicación en el estudio de metabolitos en productos naturales, como es la identificación de </w:t>
      </w:r>
      <w:r>
        <w:rPr>
          <w:rFonts w:eastAsia="Symbol" w:cs="Symbol" w:ascii="Times New Roman" w:hAnsi="Times New Roman"/>
          <w:color w:val="000000"/>
          <w:sz w:val="20"/>
          <w:szCs w:val="20"/>
        </w:rPr>
        <w:t></w:t>
      </w:r>
      <w:r>
        <w:rPr>
          <w:rFonts w:cs="Times New Roman" w:ascii="Times New Roman" w:hAnsi="Times New Roman"/>
          <w:color w:val="000000"/>
          <w:sz w:val="20"/>
          <w:szCs w:val="20"/>
        </w:rPr>
        <w:t xml:space="preserve">-ficoeritrina en la microalga </w:t>
      </w:r>
      <w:r>
        <w:rPr>
          <w:rFonts w:cs="Times New Roman" w:ascii="Times New Roman" w:hAnsi="Times New Roman"/>
          <w:i/>
          <w:color w:val="000000"/>
          <w:sz w:val="20"/>
          <w:szCs w:val="20"/>
        </w:rPr>
        <w:t>Porphyridium purpureum</w:t>
      </w:r>
      <w:r>
        <w:rPr>
          <w:rFonts w:cs="Times New Roman" w:ascii="Times New Roman" w:hAnsi="Times New Roman"/>
          <w:color w:val="000000"/>
          <w:sz w:val="20"/>
          <w:szCs w:val="20"/>
        </w:rPr>
        <w:t xml:space="preserve"> (Huschek et al., 2022), de antocianinas en frutos de </w:t>
      </w:r>
      <w:r>
        <w:rPr>
          <w:rFonts w:cs="Times New Roman" w:ascii="Times New Roman" w:hAnsi="Times New Roman"/>
          <w:i/>
          <w:color w:val="000000"/>
          <w:sz w:val="20"/>
          <w:szCs w:val="20"/>
        </w:rPr>
        <w:t>Aronia melanocarpa</w:t>
      </w:r>
      <w:r>
        <w:rPr>
          <w:rFonts w:cs="Times New Roman" w:ascii="Times New Roman" w:hAnsi="Times New Roman"/>
          <w:color w:val="000000"/>
          <w:sz w:val="20"/>
          <w:szCs w:val="20"/>
        </w:rPr>
        <w:t xml:space="preserve"> (Lin et al., 2022), así como varios fitoquímicos en </w:t>
      </w:r>
      <w:r>
        <w:rPr>
          <w:rFonts w:cs="Times New Roman" w:ascii="Times New Roman" w:hAnsi="Times New Roman"/>
          <w:i/>
          <w:color w:val="000000"/>
          <w:sz w:val="20"/>
          <w:szCs w:val="20"/>
        </w:rPr>
        <w:t>Acanthopanax senticosus</w:t>
      </w:r>
      <w:r>
        <w:rPr>
          <w:rFonts w:cs="Times New Roman" w:ascii="Times New Roman" w:hAnsi="Times New Roman"/>
          <w:color w:val="000000"/>
          <w:sz w:val="20"/>
          <w:szCs w:val="20"/>
        </w:rPr>
        <w:t>, usado en la medicina tradicional china (Wang et al., 2022). En el ámbito ambiental, se ha usado exitosamente en la determinación de 30 microcontaminantes en residuos sólidos municipales para reciclaje (Ingrando et al., 2022), o bien en la eliminación de bromo en residuos electrónicos poliméricos que contienen retardantes de flama bromados (Charitopoulou et al., 2022), por mencionar algunos ejemplos. En relación al análisis de suelos y muestras relacionadas para determinar BP, se utilizan extractantes polares de diversa naturaleza, con tiempos de separación menores que en el caso de UAE, además de que se recurre a la purificación del extracto con SPE en su modalidad convencional, en cartucho.</w:t>
      </w:r>
    </w:p>
    <w:p>
      <w:pPr>
        <w:pStyle w:val="ListParagraph"/>
        <w:spacing w:lineRule="auto" w:line="240" w:before="0" w:after="0"/>
        <w:ind w:left="0" w:right="0" w:hanging="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pacing w:lineRule="auto" w:line="240" w:before="0" w:after="0"/>
        <w:ind w:left="1440" w:right="0" w:hanging="0"/>
        <w:jc w:val="both"/>
        <w:rPr>
          <w:rFonts w:ascii="Times New Roman" w:hAnsi="Times New Roman"/>
          <w:color w:val="000000"/>
          <w:sz w:val="20"/>
          <w:szCs w:val="20"/>
        </w:rPr>
      </w:pPr>
      <w:r>
        <w:rPr>
          <w:rFonts w:cs="Times New Roman" w:ascii="Times New Roman" w:hAnsi="Times New Roman"/>
          <w:bCs/>
          <w:i/>
          <w:color w:val="000000"/>
          <w:sz w:val="20"/>
          <w:szCs w:val="20"/>
        </w:rPr>
        <w:t xml:space="preserve">D. </w:t>
      </w:r>
      <w:r>
        <w:rPr>
          <w:rFonts w:cs="Times New Roman" w:ascii="Times New Roman" w:hAnsi="Times New Roman"/>
          <w:bCs/>
          <w:i/>
          <w:color w:val="000000"/>
          <w:sz w:val="20"/>
          <w:szCs w:val="20"/>
        </w:rPr>
        <w:t>Extracción con líquidos presurizados (PLE)</w:t>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También llamada extracción acelerada con disolventes o extracción con disolventes subcríticos, es una técnica sumamente versátil en cuanto al tipo de disolvente ya que puede ser de cualquier polaridad -incluso agua-, además de que pueden extraerse analitos tanto hidrofóbicos como hidrofílicos, incluyendo metales. La extracción se lleva a cabo en un instrumento que esencialmente integra i) bomba de alta presión, ii) horno, iii) celda de acero inoxidable para contener la muestra, además de iv) colector del extracto; otros elementos comunes son válvulas neumáticas, sensores, tubería de acero inoxidable y conectores a prueba de pérdidas.</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esta técnica, la separación se desarrolla a presión y temperatura alta, pero por debajo del punto crítico del disolvente (generalmente menor de los 200 psi y 200°C), por lo que éste se mantiene siempre en estado líquido. Tales condiciones de operación favorecen la transferencia de masa del analito de la matriz de la muestra al extractante, debido a que la tensión superficial y viscosidad del disolvente disminuyen y aumenta su infiltración hacia la muestra, además de que se incrementa la solubilidad del analito. Sin duda, el factor más importante es la temperatura y debe controlarse cuidadosamente; si bien el rendimiento de extracción se incrementa conforme aumenta ésta, los compuestos termolábiles pueden descomponerse (Álvarez-Rivera et al., 2020). </w:t>
        <w:tab/>
        <w:t>Otra variable a tenerse en cuenta es la naturaleza del disolvente (solo o en mezcla), cuya elección reside tanto en la polaridad de los analitos como en la técnica de cuantificación. Así, es común que disolventes como acetato de etilo se usen para extraer compuestos de polaridad media, o diclorometano, hexano, tolueno, para la lixiviación de compuestos no polares, cuyos extractos serán analizados por GC. En el caso de compuestos hidrofílicos, es común el uso de MeOH, ACN, H</w:t>
      </w:r>
      <w:r>
        <w:rPr>
          <w:rFonts w:cs="Times New Roman" w:ascii="Times New Roman" w:hAnsi="Times New Roman"/>
          <w:color w:val="000000"/>
          <w:sz w:val="20"/>
          <w:szCs w:val="20"/>
          <w:vertAlign w:val="subscript"/>
        </w:rPr>
        <w:t>2</w:t>
      </w:r>
      <w:r>
        <w:rPr>
          <w:rFonts w:cs="Times New Roman" w:ascii="Times New Roman" w:hAnsi="Times New Roman"/>
          <w:color w:val="000000"/>
          <w:sz w:val="20"/>
          <w:szCs w:val="20"/>
        </w:rPr>
        <w:t>0, para después analizarse por LC.</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También importante es la preparación previa de la muestra, ya sea sólida o líquida. En muestras sólidas, es común que éstas se mezclen con materiales inertes como arena o tierra de diatomeas para evitar su aglomeración; igualmente importante es la eliminación de humedad de la matriz si se busca extraer analitos lipofílicos. En el caso de muestras líquidas, es altamente recomendable su liofilización previa, o bien su impregnación en sorbentes inertes al extractante. Por otro lado, la separación puede desarrollarse en dos modalidades: a) dinámica, donde el disolvente fluye continuamente a través de la muestra, y b) estática, donde la muestra y cierta fracción de disolvente se mantienen en contacto a una temperatura y presión determinada durante cierto tiempo (Torrijos et al., 2019).</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Entre las ventajas de la técnica destacan que no hay limitaciones en la polaridad de analitos y extractantes, además de poder analizarse muestras sólidas sin previa digestión; no se requieren etapas adicionales de separación física -como filtración o centrifugación-; la eficiencia de la extracción también es alta. Su principal desventaja es que se requiere del instrumento apropiado para su ejecución, además de que el proceso de separación no es selectivo. Sin embargo, esta última característica se convierte en una gran ventaja en la identificación de compuestos bioactivos, como es la extracción de antioxidantes y minerales en </w:t>
      </w:r>
      <w:r>
        <w:rPr>
          <w:rFonts w:cs="Times New Roman" w:ascii="Times New Roman" w:hAnsi="Times New Roman"/>
          <w:i/>
          <w:color w:val="000000"/>
          <w:sz w:val="20"/>
          <w:szCs w:val="20"/>
        </w:rPr>
        <w:t>Spirulina</w:t>
      </w:r>
      <w:r>
        <w:rPr>
          <w:rFonts w:cs="Times New Roman" w:ascii="Times New Roman" w:hAnsi="Times New Roman"/>
          <w:color w:val="000000"/>
          <w:sz w:val="20"/>
          <w:szCs w:val="20"/>
        </w:rPr>
        <w:t xml:space="preserve">, </w:t>
      </w:r>
      <w:r>
        <w:rPr>
          <w:rFonts w:cs="Times New Roman" w:ascii="Times New Roman" w:hAnsi="Times New Roman"/>
          <w:i/>
          <w:color w:val="000000"/>
          <w:sz w:val="20"/>
          <w:szCs w:val="20"/>
        </w:rPr>
        <w:t>Chlorella</w:t>
      </w:r>
      <w:r>
        <w:rPr>
          <w:rFonts w:cs="Times New Roman" w:ascii="Times New Roman" w:hAnsi="Times New Roman"/>
          <w:color w:val="000000"/>
          <w:sz w:val="20"/>
          <w:szCs w:val="20"/>
        </w:rPr>
        <w:t xml:space="preserve"> y </w:t>
      </w:r>
      <w:r>
        <w:rPr>
          <w:rFonts w:cs="Times New Roman" w:ascii="Times New Roman" w:hAnsi="Times New Roman"/>
          <w:i/>
          <w:color w:val="000000"/>
          <w:sz w:val="20"/>
          <w:szCs w:val="20"/>
        </w:rPr>
        <w:t>Phaeodactylum tricornutum</w:t>
      </w:r>
      <w:r>
        <w:rPr>
          <w:rFonts w:cs="Times New Roman" w:ascii="Times New Roman" w:hAnsi="Times New Roman"/>
          <w:color w:val="000000"/>
          <w:sz w:val="20"/>
          <w:szCs w:val="20"/>
        </w:rPr>
        <w:t xml:space="preserve"> (Wang et al., 2022), de betalaínas y compuestos fenólicos presentes en frutos de </w:t>
      </w:r>
      <w:r>
        <w:rPr>
          <w:rFonts w:cs="Times New Roman" w:ascii="Times New Roman" w:hAnsi="Times New Roman"/>
          <w:i/>
          <w:color w:val="000000"/>
          <w:sz w:val="20"/>
          <w:szCs w:val="20"/>
        </w:rPr>
        <w:t>Opuntia stricta var. Dillenii</w:t>
      </w:r>
      <w:r>
        <w:rPr>
          <w:rFonts w:cs="Times New Roman" w:ascii="Times New Roman" w:hAnsi="Times New Roman"/>
          <w:color w:val="000000"/>
          <w:sz w:val="20"/>
          <w:szCs w:val="20"/>
        </w:rPr>
        <w:t xml:space="preserve"> (Gómez-López et al., 2022), o bien de terpenoides en jugo de naranja (Sánchez-Martínez et al., 2022). En cuanto a las aplicaciones mostradas en la Tabla 1, puede observarse que los disolventes utilizados varían extensamente en relación a su polaridad, desde MeOH hasta Hex; los tiempos de separación son del mismo orden que las aplicaciones con MAE, mientras que la limpieza del extracto se realiza con adsorbentes en polvo (DSPE) o contenidos en cartuchos (SPE).</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pacing w:lineRule="auto" w:line="240" w:before="0" w:after="0"/>
        <w:ind w:left="-1419" w:right="0" w:hanging="0"/>
        <w:rPr>
          <w:rFonts w:ascii="Times New Roman" w:hAnsi="Times New Roman"/>
          <w:color w:val="000000"/>
          <w:sz w:val="20"/>
          <w:szCs w:val="20"/>
        </w:rPr>
      </w:pPr>
      <w:r>
        <w:rPr>
          <w:rFonts w:cs="Times New Roman" w:ascii="Times New Roman" w:hAnsi="Times New Roman"/>
          <w:b/>
          <w:bCs/>
          <w:color w:val="000000"/>
          <w:sz w:val="20"/>
          <w:szCs w:val="20"/>
        </w:rPr>
        <w:t xml:space="preserve">IV. </w:t>
      </w:r>
      <w:r>
        <w:rPr>
          <w:rFonts w:cs="Times New Roman" w:ascii="Times New Roman" w:hAnsi="Times New Roman"/>
          <w:b/>
          <w:bCs/>
          <w:color w:val="000000"/>
          <w:sz w:val="20"/>
          <w:szCs w:val="20"/>
        </w:rPr>
        <w:t>TÉCNICAS DE PURIFICACIÓN</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Ninguna de las técnicas de extracción antes discutida es selectiva, lo que implica que en el extracto se recuperen múltiples analitos al igual que gran cantidad de interferentes. Esto constituye un gran problema, especialmente cuando será analizado por cromatografía, ocasionando inconvenientes tan diversos como distorsión de línea base y/o picos cromatográficos, coelución de interferentes con analitos, retención irreversible de sustancias en columna, entre otros. Por ello, es necesario recurrir a etapas posteriores de purificación que sean versátiles, eficientes en la recuperación de analitos y fáciles de implementar (Torrijos et al</w:t>
      </w:r>
      <w:r>
        <w:rPr>
          <w:rFonts w:cs="Times New Roman" w:ascii="Times New Roman" w:hAnsi="Times New Roman"/>
          <w:i/>
          <w:iCs/>
          <w:color w:val="000000"/>
          <w:sz w:val="20"/>
          <w:szCs w:val="20"/>
        </w:rPr>
        <w:t>.</w:t>
      </w:r>
      <w:r>
        <w:rPr>
          <w:rFonts w:cs="Times New Roman" w:ascii="Times New Roman" w:hAnsi="Times New Roman"/>
          <w:color w:val="000000"/>
          <w:sz w:val="20"/>
          <w:szCs w:val="20"/>
        </w:rPr>
        <w:t>, 2006).</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Las técnicas más utilizadas se basan en la adsorción, ya sea de los analitos, o bien de los interferentes.  En la adsorción, una sustancia (en estado sólido, líquido o gaseoso) se adhiere a una superficie sólida, lo cual depende de la naturaleza y estructura de adsorbente, las propiedades fisicoquímicas del absorbato y el medio en el que se efectúa la adsorción (García-Rojas et al., 2012). Algunos parámetros que se deben tener en cuenta en estas técnicas es el pH, el tiempo de equilibrio, cantidad de adsorbente y superficie activa, entre otros (Rajendran, et al., 2022).</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pacing w:lineRule="auto" w:line="240" w:before="0" w:after="0"/>
        <w:ind w:left="1440" w:right="0" w:hanging="0"/>
        <w:rPr>
          <w:rFonts w:ascii="Times New Roman" w:hAnsi="Times New Roman"/>
          <w:color w:val="000000"/>
          <w:sz w:val="20"/>
          <w:szCs w:val="20"/>
        </w:rPr>
      </w:pPr>
      <w:r>
        <w:rPr>
          <w:rFonts w:cs="Times New Roman" w:ascii="Times New Roman" w:hAnsi="Times New Roman"/>
          <w:bCs/>
          <w:i/>
          <w:color w:val="000000"/>
          <w:sz w:val="20"/>
          <w:szCs w:val="20"/>
        </w:rPr>
        <w:t xml:space="preserve">A. </w:t>
      </w:r>
      <w:r>
        <w:rPr>
          <w:rFonts w:cs="Times New Roman" w:ascii="Times New Roman" w:hAnsi="Times New Roman"/>
          <w:bCs/>
          <w:i/>
          <w:color w:val="000000"/>
          <w:sz w:val="20"/>
          <w:szCs w:val="20"/>
        </w:rPr>
        <w:t>Extracción en fase sólida (SPE)</w:t>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Hoy en día, es una de las técnicas más utilizadas para la preconcentración de analitos en muestras líquidas, así como para la purificación de extractos. Se considera una técnica exhaustiva, ya que las eficiencias de recuperación son muy altas, así como selectiva, al estar disponibles múltiples adsorbentes de muy diversa polaridad, dependiendo de los analitos. La técnica se basa en retener selectivamente analitos en una fase adsorbente, una vez que ésta ha sido acondicionada adecuadamente; posteriormente, se eliminan interferencias retenidas a través de una etapa de lavado, para finalmente realizar la elución de analitos con un disolvente adecuado (Figura 5). La fase sólida -constituida por el adsorbente- se caracteriza por tener una mayor atracción por el analito que la matriz de la muestra, por lo que, al pasar por el lecho adsorbente, los analitos se retienen mientras que los demás componentes pasan a través de éste; por ello es considerada una técnica de limpieza (Viera-Santana y Santana-Rodríguez, 2013). Dado que el tamaño de partícula del adsorbente es pequeño, los líquidos no descienden por gravedad y el proceso se realiza al vacío.</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La técnica puede llevarse a cabo en dos modalidades. En fase normal, la fase sólida es polar, típicamente sílica gel, mientras que el eluyente más común es el hexano, no polar. En fase reversa, se intercambian las polaridades, siendo C</w:t>
      </w:r>
      <w:r>
        <w:rPr>
          <w:rFonts w:cs="Times New Roman" w:ascii="Times New Roman" w:hAnsi="Times New Roman"/>
          <w:color w:val="000000"/>
          <w:sz w:val="20"/>
          <w:szCs w:val="20"/>
          <w:vertAlign w:val="subscript"/>
        </w:rPr>
        <w:t>18</w:t>
      </w:r>
      <w:r>
        <w:rPr>
          <w:rFonts w:cs="Times New Roman" w:ascii="Times New Roman" w:hAnsi="Times New Roman"/>
          <w:color w:val="000000"/>
          <w:sz w:val="20"/>
          <w:szCs w:val="20"/>
        </w:rPr>
        <w:t xml:space="preserve"> el adsorbente más difundido, en tanto que el MeOH o el ACN son los eluyentes comunes. Sin embargo, actualmente existen gran diversidad de materiales funcionalizados que hacen el proceso de retención altamente selectivo. Por otro lado, esta técnica se desarrolla en cartuchos comerciales disponibles en muy diversas presentaciones en cuanto a volumen a contener y peso de adsorbente. </w:t>
      </w:r>
    </w:p>
    <w:p>
      <w:pPr>
        <w:pStyle w:val="ListParagraph"/>
        <w:spacing w:lineRule="auto" w:line="240" w:before="0" w:after="0"/>
        <w:ind w:left="0" w:right="0" w:hanging="0"/>
        <w:jc w:val="both"/>
        <w:rPr>
          <w:rFonts w:cs="Times New Roman"/>
        </w:rPr>
      </w:pPr>
      <w:r>
        <w:rPr>
          <w:rFonts w:ascii="Times New Roman" w:hAnsi="Times New Roman"/>
          <w:color w:val="000000"/>
          <w:sz w:val="20"/>
          <w:szCs w:val="20"/>
        </w:rPr>
      </w:r>
    </w:p>
    <w:p>
      <w:pPr>
        <w:pStyle w:val="ListParagraph"/>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Entre las principales ventajas que ofrece esta técnica pueden destacarse su versatilidad para separar compuestos de cualquier polaridad, un factor de preconcentración significativo (relación volumen de muestra/volumen de extracto), rapidez y costo moderado, además de la facilidad de su implementación (Zhang, et al., 2022).</w:t>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2762885" cy="1739265"/>
            <wp:effectExtent l="0" t="0" r="0" b="0"/>
            <wp:wrapSquare wrapText="largest"/>
            <wp:docPr id="7"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4" descr=""/>
                    <pic:cNvPicPr>
                      <a:picLocks noChangeAspect="1" noChangeArrowheads="1"/>
                    </pic:cNvPicPr>
                  </pic:nvPicPr>
                  <pic:blipFill>
                    <a:blip r:embed="rId19"/>
                    <a:stretch>
                      <a:fillRect/>
                    </a:stretch>
                  </pic:blipFill>
                  <pic:spPr bwMode="auto">
                    <a:xfrm>
                      <a:off x="0" y="0"/>
                      <a:ext cx="2762885" cy="1739265"/>
                    </a:xfrm>
                    <a:prstGeom prst="rect">
                      <a:avLst/>
                    </a:prstGeom>
                  </pic:spPr>
                </pic:pic>
              </a:graphicData>
            </a:graphic>
          </wp:anchor>
        </w:drawing>
      </w:r>
    </w:p>
    <w:p>
      <w:pPr>
        <w:pStyle w:val="Caption"/>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Cs/>
          <w:color w:val="000000" w:themeColor="text1"/>
          <w:sz w:val="20"/>
          <w:szCs w:val="20"/>
        </w:rPr>
        <w:t>Figura 5.</w:t>
      </w:r>
      <w:r>
        <w:rPr>
          <w:rFonts w:cs="Times New Roman" w:ascii="Times New Roman" w:hAnsi="Times New Roman"/>
          <w:color w:val="000000" w:themeColor="text1"/>
          <w:sz w:val="20"/>
          <w:szCs w:val="20"/>
        </w:rPr>
        <w:t xml:space="preserve"> Etapas de SPE. </w:t>
      </w:r>
      <w:r>
        <w:rPr>
          <w:rFonts w:cs="Times New Roman" w:ascii="Times New Roman" w:hAnsi="Times New Roman"/>
          <w:i/>
          <w:iCs/>
          <w:color w:val="000000" w:themeColor="text1"/>
          <w:sz w:val="20"/>
          <w:szCs w:val="20"/>
        </w:rPr>
        <w:t>Fuente: Elaboración propia.</w:t>
      </w:r>
    </w:p>
    <w:p>
      <w:pPr>
        <w:pStyle w:val="ListParagraph"/>
        <w:numPr>
          <w:ilvl w:val="0"/>
          <w:numId w:val="0"/>
        </w:numPr>
        <w:spacing w:lineRule="auto" w:line="240" w:before="0" w:after="0"/>
        <w:ind w:left="1440" w:right="0" w:hanging="0"/>
        <w:rPr>
          <w:rFonts w:cs="Times New Roman"/>
          <w:bCs/>
          <w:i/>
          <w:i/>
        </w:rPr>
      </w:pPr>
      <w:r>
        <w:rPr>
          <w:rFonts w:ascii="Times New Roman" w:hAnsi="Times New Roman"/>
          <w:color w:val="000000"/>
          <w:sz w:val="20"/>
          <w:szCs w:val="20"/>
        </w:rPr>
      </w:r>
    </w:p>
    <w:p>
      <w:pPr>
        <w:pStyle w:val="ListParagraph"/>
        <w:numPr>
          <w:ilvl w:val="0"/>
          <w:numId w:val="0"/>
        </w:numPr>
        <w:spacing w:lineRule="auto" w:line="240" w:before="0" w:after="0"/>
        <w:ind w:left="1440" w:right="0" w:hanging="0"/>
        <w:rPr>
          <w:rFonts w:ascii="Times New Roman" w:hAnsi="Times New Roman"/>
          <w:color w:val="000000"/>
          <w:sz w:val="20"/>
          <w:szCs w:val="20"/>
        </w:rPr>
      </w:pPr>
      <w:r>
        <w:rPr>
          <w:rFonts w:cs="Times New Roman" w:ascii="Times New Roman" w:hAnsi="Times New Roman"/>
          <w:bCs/>
          <w:i/>
          <w:color w:val="000000"/>
          <w:sz w:val="20"/>
          <w:szCs w:val="20"/>
        </w:rPr>
        <w:t xml:space="preserve">B. </w:t>
      </w:r>
      <w:r>
        <w:rPr>
          <w:rFonts w:cs="Times New Roman" w:ascii="Times New Roman" w:hAnsi="Times New Roman"/>
          <w:bCs/>
          <w:i/>
          <w:color w:val="000000"/>
          <w:sz w:val="20"/>
          <w:szCs w:val="20"/>
        </w:rPr>
        <w:t xml:space="preserve">Extracción en fase sólida dispersiva (DSPE). </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Si bien tiene su origen en SPE, a diferencia de ésta el adsorbente se dispersa en la muestra líquida (Figura 6); el contacto inmediato genera una extracción más eficaz sin la necesidad del preacondicionamiento de los cartuchos, ni el tiempo de percolación de grandes volúmenes de muestra. Posteriormente, la separación del adsorbente y la muestra se puede realizar mediante centrifugación, filtración o separación magnética (Da Silva et al</w:t>
      </w:r>
      <w:r>
        <w:rPr>
          <w:rFonts w:cs="Times New Roman" w:ascii="Times New Roman" w:hAnsi="Times New Roman"/>
          <w:i/>
          <w:iCs/>
          <w:color w:val="000000"/>
          <w:sz w:val="20"/>
          <w:szCs w:val="20"/>
        </w:rPr>
        <w:t>.</w:t>
      </w:r>
      <w:r>
        <w:rPr>
          <w:rFonts w:cs="Times New Roman" w:ascii="Times New Roman" w:hAnsi="Times New Roman"/>
          <w:color w:val="000000"/>
          <w:sz w:val="20"/>
          <w:szCs w:val="20"/>
        </w:rPr>
        <w:t>, 2016). Es una técnica efectiva en matrices complejas, ya que reduce el tiempo de separación y simplifica el proceso de extracción (Büyüktiryaki et al</w:t>
      </w:r>
      <w:r>
        <w:rPr>
          <w:rFonts w:cs="Times New Roman" w:ascii="Times New Roman" w:hAnsi="Times New Roman"/>
          <w:i/>
          <w:iCs/>
          <w:color w:val="000000"/>
          <w:sz w:val="20"/>
          <w:szCs w:val="20"/>
        </w:rPr>
        <w:t>.</w:t>
      </w:r>
      <w:r>
        <w:rPr>
          <w:rFonts w:cs="Times New Roman" w:ascii="Times New Roman" w:hAnsi="Times New Roman"/>
          <w:color w:val="000000"/>
          <w:sz w:val="20"/>
          <w:szCs w:val="20"/>
        </w:rPr>
        <w:t>, 2020). Sin embargo, entre sus desventajas se reconoce el diseño del adsorbente (si son magnéticos), el volumen de muestra, la cantidad de sorbente, el tiempo de extracción y desorción (Sajid et al., 2020).</w:t>
      </w:r>
    </w:p>
    <w:p>
      <w:pPr>
        <w:pStyle w:val="ListParagraph"/>
        <w:spacing w:lineRule="auto" w:line="240" w:before="0" w:after="0"/>
        <w:ind w:left="0" w:right="0" w:hanging="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drawing>
          <wp:anchor behindDoc="0" distT="0" distB="0" distL="0" distR="0" simplePos="0" locked="0" layoutInCell="0" allowOverlap="1" relativeHeight="3">
            <wp:simplePos x="0" y="0"/>
            <wp:positionH relativeFrom="column">
              <wp:posOffset>90170</wp:posOffset>
            </wp:positionH>
            <wp:positionV relativeFrom="paragraph">
              <wp:posOffset>43815</wp:posOffset>
            </wp:positionV>
            <wp:extent cx="2505710" cy="1659890"/>
            <wp:effectExtent l="0" t="0" r="0" b="0"/>
            <wp:wrapSquare wrapText="largest"/>
            <wp:docPr id="8"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5" descr=""/>
                    <pic:cNvPicPr>
                      <a:picLocks noChangeAspect="1" noChangeArrowheads="1"/>
                    </pic:cNvPicPr>
                  </pic:nvPicPr>
                  <pic:blipFill>
                    <a:blip r:embed="rId20"/>
                    <a:stretch>
                      <a:fillRect/>
                    </a:stretch>
                  </pic:blipFill>
                  <pic:spPr bwMode="auto">
                    <a:xfrm>
                      <a:off x="0" y="0"/>
                      <a:ext cx="2505710" cy="1659890"/>
                    </a:xfrm>
                    <a:prstGeom prst="rect">
                      <a:avLst/>
                    </a:prstGeom>
                  </pic:spPr>
                </pic:pic>
              </a:graphicData>
            </a:graphic>
          </wp:anchor>
        </w:drawing>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color w:val="000000" w:themeColor="text1"/>
          <w:sz w:val="20"/>
          <w:szCs w:val="20"/>
        </w:rPr>
      </w:pPr>
      <w:r>
        <w:rPr>
          <w:rFonts w:cs="Times New Roman" w:ascii="Times New Roman" w:hAnsi="Times New Roman"/>
          <w:b/>
          <w:bCs/>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i w:val="false"/>
          <w:i w:val="false"/>
          <w:color w:val="000000" w:themeColor="text1"/>
          <w:sz w:val="20"/>
          <w:szCs w:val="20"/>
        </w:rPr>
      </w:pPr>
      <w:r>
        <w:rPr>
          <w:rFonts w:cs="Times New Roman" w:ascii="Times New Roman" w:hAnsi="Times New Roman"/>
          <w:b/>
          <w:bCs/>
          <w:i w:val="false"/>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i w:val="false"/>
          <w:i w:val="false"/>
          <w:color w:val="000000" w:themeColor="text1"/>
          <w:sz w:val="20"/>
          <w:szCs w:val="20"/>
        </w:rPr>
      </w:pPr>
      <w:r>
        <w:rPr>
          <w:rFonts w:cs="Times New Roman" w:ascii="Times New Roman" w:hAnsi="Times New Roman"/>
          <w:b/>
          <w:bCs/>
          <w:i w:val="false"/>
          <w:color w:val="000000" w:themeColor="text1"/>
          <w:sz w:val="20"/>
          <w:szCs w:val="20"/>
        </w:rPr>
      </w:r>
    </w:p>
    <w:p>
      <w:pPr>
        <w:pStyle w:val="Caption"/>
        <w:spacing w:lineRule="auto" w:line="240" w:before="0" w:after="0"/>
        <w:ind w:left="0" w:right="0" w:hanging="0"/>
        <w:jc w:val="center"/>
        <w:rPr>
          <w:rFonts w:ascii="Times New Roman" w:hAnsi="Times New Roman" w:cs="Times New Roman"/>
          <w:b/>
          <w:b/>
          <w:bCs/>
          <w:i w:val="false"/>
          <w:i w:val="false"/>
          <w:color w:val="000000" w:themeColor="text1"/>
          <w:sz w:val="20"/>
          <w:szCs w:val="20"/>
        </w:rPr>
      </w:pPr>
      <w:r>
        <w:rPr>
          <w:rFonts w:cs="Times New Roman" w:ascii="Times New Roman" w:hAnsi="Times New Roman"/>
          <w:b/>
          <w:bCs/>
          <w:i w:val="false"/>
          <w:color w:val="000000" w:themeColor="text1"/>
          <w:sz w:val="20"/>
          <w:szCs w:val="20"/>
        </w:rPr>
      </w:r>
    </w:p>
    <w:p>
      <w:pPr>
        <w:pStyle w:val="Caption"/>
        <w:spacing w:lineRule="auto" w:line="240" w:before="0" w:after="0"/>
        <w:ind w:left="0" w:right="0" w:hanging="0"/>
        <w:jc w:val="center"/>
        <w:rPr>
          <w:rFonts w:cs="Times New Roman"/>
          <w:bCs/>
          <w:color w:themeColor="text1"/>
        </w:rPr>
      </w:pPr>
      <w:r>
        <w:rPr>
          <w:rFonts w:ascii="Times New Roman" w:hAnsi="Times New Roman"/>
          <w:color w:val="000000"/>
          <w:sz w:val="20"/>
          <w:szCs w:val="20"/>
        </w:rPr>
      </w:r>
    </w:p>
    <w:p>
      <w:pPr>
        <w:pStyle w:val="Caption"/>
        <w:spacing w:lineRule="auto" w:line="240" w:before="0" w:after="0"/>
        <w:ind w:left="0" w:right="0" w:hanging="0"/>
        <w:jc w:val="center"/>
        <w:rPr>
          <w:rFonts w:cs="Times New Roman"/>
          <w:bCs/>
          <w:color w:themeColor="text1"/>
        </w:rPr>
      </w:pPr>
      <w:r>
        <w:rPr>
          <w:rFonts w:ascii="Times New Roman" w:hAnsi="Times New Roman"/>
          <w:color w:val="000000"/>
          <w:sz w:val="20"/>
          <w:szCs w:val="20"/>
        </w:rPr>
      </w:r>
    </w:p>
    <w:p>
      <w:pPr>
        <w:pStyle w:val="Caption"/>
        <w:spacing w:lineRule="auto" w:line="240" w:before="0" w:after="0"/>
        <w:ind w:left="0" w:right="0" w:hanging="0"/>
        <w:jc w:val="center"/>
        <w:rPr>
          <w:rFonts w:cs="Times New Roman"/>
          <w:bCs/>
          <w:color w:themeColor="text1"/>
        </w:rPr>
      </w:pPr>
      <w:r>
        <w:rPr>
          <w:rFonts w:ascii="Times New Roman" w:hAnsi="Times New Roman"/>
          <w:color w:val="000000"/>
          <w:sz w:val="20"/>
          <w:szCs w:val="20"/>
        </w:rPr>
      </w:r>
    </w:p>
    <w:p>
      <w:pPr>
        <w:pStyle w:val="Caption"/>
        <w:spacing w:lineRule="auto" w:line="240" w:before="0" w:after="0"/>
        <w:ind w:left="0" w:right="0" w:hanging="0"/>
        <w:jc w:val="center"/>
        <w:rPr>
          <w:rFonts w:cs="Times New Roman"/>
          <w:bCs/>
          <w:color w:themeColor="text1"/>
        </w:rPr>
      </w:pPr>
      <w:r>
        <w:rPr>
          <w:rFonts w:ascii="Times New Roman" w:hAnsi="Times New Roman"/>
          <w:color w:val="000000"/>
          <w:sz w:val="20"/>
          <w:szCs w:val="20"/>
        </w:rPr>
      </w:r>
    </w:p>
    <w:p>
      <w:pPr>
        <w:pStyle w:val="Caption"/>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Cs/>
          <w:color w:val="000000" w:themeColor="text1"/>
          <w:sz w:val="20"/>
          <w:szCs w:val="20"/>
        </w:rPr>
        <w:t>Figura 6.</w:t>
      </w:r>
      <w:r>
        <w:rPr>
          <w:rFonts w:cs="Times New Roman" w:ascii="Times New Roman" w:hAnsi="Times New Roman"/>
          <w:color w:val="000000" w:themeColor="text1"/>
          <w:sz w:val="20"/>
          <w:szCs w:val="20"/>
        </w:rPr>
        <w:t xml:space="preserve"> Etapas de DSPE. </w:t>
      </w:r>
      <w:r>
        <w:rPr>
          <w:rFonts w:cs="Times New Roman" w:ascii="Times New Roman" w:hAnsi="Times New Roman"/>
          <w:i/>
          <w:iCs/>
          <w:color w:val="000000" w:themeColor="text1"/>
          <w:sz w:val="20"/>
          <w:szCs w:val="20"/>
        </w:rPr>
        <w:t>Fuente: Elaboración propia.</w:t>
      </w:r>
    </w:p>
    <w:p>
      <w:pPr>
        <w:pStyle w:val="Normal"/>
        <w:spacing w:lineRule="auto" w:line="240" w:before="0" w:after="0"/>
        <w:ind w:left="0" w:right="0" w:hanging="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pacing w:lineRule="auto" w:line="240" w:before="0" w:after="0"/>
        <w:ind w:left="1440" w:right="0" w:hanging="0"/>
        <w:rPr>
          <w:rFonts w:ascii="Times New Roman" w:hAnsi="Times New Roman"/>
          <w:color w:val="000000"/>
          <w:sz w:val="20"/>
          <w:szCs w:val="20"/>
        </w:rPr>
      </w:pPr>
      <w:r>
        <w:rPr>
          <w:rFonts w:cs="Times New Roman" w:ascii="Times New Roman" w:hAnsi="Times New Roman"/>
          <w:bCs/>
          <w:i/>
          <w:color w:val="000000"/>
          <w:sz w:val="20"/>
          <w:szCs w:val="20"/>
        </w:rPr>
        <w:t xml:space="preserve">C. </w:t>
      </w:r>
      <w:r>
        <w:rPr>
          <w:rFonts w:cs="Times New Roman" w:ascii="Times New Roman" w:hAnsi="Times New Roman"/>
          <w:bCs/>
          <w:i/>
          <w:color w:val="000000"/>
          <w:sz w:val="20"/>
          <w:szCs w:val="20"/>
        </w:rPr>
        <w:t>Adsorción en barra de agitación</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Es una técnica de microextracción que consiste en la agitación de una barra magnética, la cual tiene un recubrimiento polimérico funcionalizado donde son adsorbidos analitos, para posteriormente ser liberados mediante un tratamiento químico o térmico (Figura 7). Existen diferentes modelos con distintas longitudes (10 a 20 mm) y grosores (0.5 a 1 mm), lo que influye en la superficie activa y por lo tanto su capacidad de retención. Una de las ventajas de esta técnica es que facilita el transporte de la muestra, porque se puede realizar la extracción </w:t>
      </w:r>
      <w:r>
        <w:rPr>
          <w:rFonts w:cs="Times New Roman" w:ascii="Times New Roman" w:hAnsi="Times New Roman"/>
          <w:i/>
          <w:color w:val="000000"/>
          <w:sz w:val="20"/>
          <w:szCs w:val="20"/>
        </w:rPr>
        <w:t>in situ</w:t>
      </w:r>
      <w:r>
        <w:rPr>
          <w:rFonts w:cs="Times New Roman" w:ascii="Times New Roman" w:hAnsi="Times New Roman"/>
          <w:color w:val="000000"/>
          <w:sz w:val="20"/>
          <w:szCs w:val="20"/>
        </w:rPr>
        <w:t xml:space="preserve"> y transportar las barras con los analitos adsorbidos a otro sitio, además de que se pueden almacenar por días a 4°C, sin pérdidas (Viera-Santana y Santana-Rodríguez, 2013).</w:t>
      </w:r>
    </w:p>
    <w:p>
      <w:pPr>
        <w:pStyle w:val="Normal"/>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mc:AlternateContent>
          <mc:Choice Requires="wpg">
            <w:drawing>
              <wp:anchor behindDoc="1" distT="0" distB="0" distL="114300" distR="114300" simplePos="0" locked="0" layoutInCell="0" allowOverlap="1" relativeHeight="2" wp14:anchorId="762F9DF4">
                <wp:simplePos x="0" y="0"/>
                <wp:positionH relativeFrom="column">
                  <wp:align>center</wp:align>
                </wp:positionH>
                <wp:positionV relativeFrom="paragraph">
                  <wp:posOffset>82550</wp:posOffset>
                </wp:positionV>
                <wp:extent cx="1851660" cy="1757045"/>
                <wp:effectExtent l="0" t="0" r="0" b="26670"/>
                <wp:wrapTight wrapText="bothSides">
                  <wp:wrapPolygon edited="0">
                    <wp:start x="0" y="0"/>
                    <wp:lineTo x="0" y="2686"/>
                    <wp:lineTo x="2548" y="3069"/>
                    <wp:lineTo x="2730" y="21485"/>
                    <wp:lineTo x="3094" y="21677"/>
                    <wp:lineTo x="8919" y="21677"/>
                    <wp:lineTo x="12013" y="19950"/>
                    <wp:lineTo x="12013" y="19183"/>
                    <wp:lineTo x="9465" y="18416"/>
                    <wp:lineTo x="13834" y="16497"/>
                    <wp:lineTo x="13834" y="15922"/>
                    <wp:lineTo x="9465" y="15346"/>
                    <wp:lineTo x="9465" y="12277"/>
                    <wp:lineTo x="12196" y="12277"/>
                    <wp:lineTo x="12196" y="11510"/>
                    <wp:lineTo x="9465" y="9208"/>
                    <wp:lineTo x="9465" y="3069"/>
                    <wp:lineTo x="16564" y="1726"/>
                    <wp:lineTo x="16746" y="767"/>
                    <wp:lineTo x="12196" y="0"/>
                    <wp:lineTo x="0" y="0"/>
                  </wp:wrapPolygon>
                </wp:wrapTight>
                <wp:docPr id="9" name="Grupo 30"/>
                <a:graphic xmlns:a="http://schemas.openxmlformats.org/drawingml/2006/main">
                  <a:graphicData uri="http://schemas.microsoft.com/office/word/2010/wordprocessingGroup">
                    <wpg:wgp>
                      <wpg:cNvGrpSpPr/>
                      <wpg:grpSpPr>
                        <a:xfrm>
                          <a:off x="0" y="0"/>
                          <a:ext cx="1851120" cy="1756440"/>
                        </a:xfrm>
                      </wpg:grpSpPr>
                      <wpg:grpSp>
                        <wpg:cNvGrpSpPr/>
                        <wpg:grpSpPr>
                          <a:xfrm>
                            <a:off x="0" y="0"/>
                            <a:ext cx="1851120" cy="1756440"/>
                          </a:xfrm>
                        </wpg:grpSpPr>
                        <wpg:grpSp>
                          <wpg:cNvGrpSpPr/>
                          <wpg:grpSpPr>
                            <a:xfrm>
                              <a:off x="0" y="0"/>
                              <a:ext cx="1014120" cy="1756440"/>
                            </a:xfrm>
                          </wpg:grpSpPr>
                          <wps:wsp>
                            <wps:cNvSpPr/>
                            <wps:spPr>
                              <a:xfrm>
                                <a:off x="257040" y="122400"/>
                                <a:ext cx="519480" cy="1633680"/>
                              </a:xfrm>
                              <a:prstGeom prst="roundRect">
                                <a:avLst>
                                  <a:gd name="adj"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0" y="0"/>
                                <a:ext cx="1014120" cy="198000"/>
                              </a:xfrm>
                              <a:prstGeom prst="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wps:style>
                            <wps:bodyPr/>
                          </wps:wsp>
                          <wpg:grpSp>
                            <wpg:cNvGrpSpPr/>
                            <wpg:grpSpPr>
                              <a:xfrm>
                                <a:off x="259200" y="387360"/>
                                <a:ext cx="517680" cy="1369080"/>
                              </a:xfrm>
                            </wpg:grpSpPr>
                            <wps:wsp>
                              <wps:cNvSpPr/>
                              <wps:spPr>
                                <a:xfrm>
                                  <a:off x="0" y="0"/>
                                  <a:ext cx="517680" cy="1369080"/>
                                </a:xfrm>
                                <a:prstGeom prst="roundRect">
                                  <a:avLst>
                                    <a:gd name="adj"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123120" y="1181160"/>
                                  <a:ext cx="293400" cy="111240"/>
                                </a:xfrm>
                                <a:prstGeom prst="roundRect">
                                  <a:avLst>
                                    <a:gd name="adj" fmla="val 16667"/>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wps:wsp>
                              <wps:cNvSpPr/>
                              <wps:spPr>
                                <a:xfrm rot="16200000">
                                  <a:off x="35280" y="1181880"/>
                                  <a:ext cx="111240" cy="102960"/>
                                </a:xfrm>
                                <a:prstGeom prst="triangle">
                                  <a:avLst>
                                    <a:gd name="adj" fmla="val 50000"/>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wpg:grpSp>
                        </wpg:grpSp>
                        <wps:wsp>
                          <wps:cNvSpPr/>
                          <wps:spPr>
                            <a:xfrm>
                              <a:off x="1096560" y="94680"/>
                              <a:ext cx="325080" cy="7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SpPr/>
                          <wps:spPr>
                            <a:xfrm>
                              <a:off x="1355040" y="0"/>
                              <a:ext cx="496080" cy="25416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Tapón</w:t>
                                </w:r>
                              </w:p>
                            </w:txbxContent>
                          </wps:txbx>
                          <wps:bodyPr lIns="90000" rIns="90000" tIns="45000" bIns="45000">
                            <a:noAutofit/>
                          </wps:bodyPr>
                        </wps:wsp>
                        <wps:wsp>
                          <wps:cNvSpPr/>
                          <wps:spPr>
                            <a:xfrm>
                              <a:off x="676440" y="946080"/>
                              <a:ext cx="363240" cy="7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SpPr/>
                          <wps:spPr>
                            <a:xfrm>
                              <a:off x="1014120" y="849600"/>
                              <a:ext cx="514440" cy="2005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Muestra</w:t>
                                </w:r>
                              </w:p>
                            </w:txbxContent>
                          </wps:txbx>
                          <wps:bodyPr lIns="90000" rIns="90000" tIns="45000" bIns="45000">
                            <a:noAutofit/>
                          </wps:bodyPr>
                        </wps:wsp>
                        <wps:wsp>
                          <wps:cNvSpPr/>
                          <wps:spPr>
                            <a:xfrm>
                              <a:off x="776520" y="1322640"/>
                              <a:ext cx="382320" cy="7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SpPr/>
                          <wps:spPr>
                            <a:xfrm>
                              <a:off x="1138680" y="1221840"/>
                              <a:ext cx="416520" cy="16308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Vial</w:t>
                                </w:r>
                              </w:p>
                            </w:txbxContent>
                          </wps:txbx>
                          <wps:bodyPr lIns="90000" rIns="90000" tIns="45000" bIns="45000">
                            <a:noAutofit/>
                          </wps:bodyPr>
                        </wps:wsp>
                        <wps:wsp>
                          <wps:cNvSpPr/>
                          <wps:spPr>
                            <a:xfrm>
                              <a:off x="956880" y="1535400"/>
                              <a:ext cx="539280" cy="2210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Twister</w:t>
                                </w:r>
                              </w:p>
                            </w:txbxContent>
                          </wps:txbx>
                          <wps:bodyPr lIns="90000" rIns="90000" tIns="45000" bIns="45000">
                            <a:noAutofit/>
                          </wps:bodyPr>
                        </wps:wsp>
                      </wpg:grpSp>
                      <wps:wsp>
                        <wps:cNvSpPr/>
                        <wps:spPr>
                          <a:xfrm rot="5400000">
                            <a:off x="662400" y="1567080"/>
                            <a:ext cx="111240" cy="101520"/>
                          </a:xfrm>
                          <a:prstGeom prst="triangle">
                            <a:avLst>
                              <a:gd name="adj" fmla="val 50000"/>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wps:wsp>
                        <wps:cNvSpPr/>
                        <wps:spPr>
                          <a:xfrm>
                            <a:off x="712440" y="1594440"/>
                            <a:ext cx="301680" cy="7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g:wgp>
                  </a:graphicData>
                </a:graphic>
              </wp:anchor>
            </w:drawing>
          </mc:Choice>
          <mc:Fallback>
            <w:pict>
              <v:group id="shape_0" alt="Grupo 30" style="position:absolute;margin-left:41.15pt;margin-top:6.5pt;width:145.75pt;height:138.3pt" coordorigin="823,130" coordsize="2915,2766">
                <v:group id="shape_0" alt="Grupo 11" style="position:absolute;left:823;top:130;width:2915;height:2766">
                  <v:group id="shape_0" alt="Grupo 26" style="position:absolute;left:823;top:130;width:1597;height:2766">
                    <v:rect id="shape_0" ID="Rectángulo 69" fillcolor="#f4b183" stroked="t" style="position:absolute;left:823;top:130;width:1596;height:311;mso-wrap-style:none;v-text-anchor:middle;mso-position-horizontal:center">
                      <v:fill o:detectmouseclick="t" type="solid" color2="#0b4e7c"/>
                      <v:stroke color="#843c0b" weight="12600" joinstyle="miter" endcap="flat"/>
                      <w10:wrap type="square"/>
                    </v:rect>
                    <v:group id="shape_0" alt="Grupo 70" style="position:absolute;left:1231;top:740;width:815;height:2156">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Triángulo isósceles 73" fillcolor="#4472c4" stroked="t" style="position:absolute;left:1281;top:2607;width:174;height:161;mso-wrap-style:none;v-text-anchor:middle;rotation:270;mso-position-horizontal:center" type="shapetype_5">
                        <v:fill o:detectmouseclick="t" type="solid" color2="#bb8d3b"/>
                        <v:stroke color="#325490" weight="12600" joinstyle="miter" endcap="flat"/>
                      </v:shape>
                    </v:group>
                  </v:group>
                  <v:shapetype id="shapetype_32" coordsize="21600,21600" o:spt="32" path="m,l21600,21600nfe">
                    <v:stroke joinstyle="miter"/>
                    <v:path gradientshapeok="t" o:connecttype="rect" textboxrect="0,0,21600,21600"/>
                  </v:shapetype>
                  <v:shape id="shape_0" ID="Conector recto de flecha 74" stroked="t" style="position:absolute;left:2550;top:279;width:511;height:0;mso-wrap-style:none;v-text-anchor:middle;mso-position-horizontal:center" type="shapetype_32">
                    <v:fill o:detectmouseclick="t" on="false"/>
                    <v:stroke color="black" weight="6480" endarrow="block" endarrowwidth="medium" endarrowlength="medium" joinstyle="miter" endcap="flat"/>
                  </v:shape>
                  <v:rect id="shape_0" ID="CuadroTexto 13" stroked="f" style="position:absolute;left:2957;top:130;width:780;height:399;mso-wrap-style:square;v-text-anchor:top;mso-position-horizontal:center">
                    <v:textbo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Tapón</w:t>
                          </w:r>
                        </w:p>
                      </w:txbxContent>
                    </v:textbox>
                    <v:fill o:detectmouseclick="t" on="false"/>
                    <v:stroke color="#3465a4" joinstyle="round" endcap="flat"/>
                  </v:rect>
                  <v:shape id="shape_0" ID="Conector recto de flecha 76" stroked="t" style="position:absolute;left:1888;top:1620;width:571;height:0;mso-wrap-style:none;v-text-anchor:middle;mso-position-horizontal:center" type="shapetype_32">
                    <v:fill o:detectmouseclick="t" on="false"/>
                    <v:stroke color="black" weight="6480" endarrow="block" endarrowwidth="medium" endarrowlength="medium" joinstyle="miter" endcap="flat"/>
                  </v:shape>
                  <v:rect id="shape_0" ID="CuadroTexto 17" stroked="f" style="position:absolute;left:2420;top:1468;width:809;height:315;mso-wrap-style:square;v-text-anchor:top;mso-position-horizontal:center">
                    <v:textbo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Muestra</w:t>
                          </w:r>
                        </w:p>
                      </w:txbxContent>
                    </v:textbox>
                    <v:fill o:detectmouseclick="t" on="false"/>
                    <v:stroke color="#3465a4" joinstyle="round" endcap="flat"/>
                  </v:rect>
                  <v:shape id="shape_0" ID="Conector recto de flecha 78" stroked="t" style="position:absolute;left:2046;top:2213;width:601;height:0;mso-wrap-style:none;v-text-anchor:middle;mso-position-horizontal:center" type="shapetype_32">
                    <v:fill o:detectmouseclick="t" on="false"/>
                    <v:stroke color="black" weight="6480" endarrow="block" endarrowwidth="medium" endarrowlength="medium" joinstyle="miter" endcap="flat"/>
                  </v:shape>
                  <v:rect id="shape_0" ID="CuadroTexto 20" stroked="f" style="position:absolute;left:2616;top:2054;width:655;height:256;mso-wrap-style:square;v-text-anchor:top;mso-position-horizontal:center">
                    <v:textbo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Vial</w:t>
                          </w:r>
                        </w:p>
                      </w:txbxContent>
                    </v:textbox>
                    <v:fill o:detectmouseclick="t" on="false"/>
                    <v:stroke color="#3465a4" joinstyle="round" endcap="flat"/>
                  </v:rect>
                  <v:rect id="shape_0" ID="CuadroTexto 24" stroked="f" style="position:absolute;left:2330;top:2548;width:848;height:347;mso-wrap-style:square;v-text-anchor:top;mso-position-horizontal:center">
                    <v:textbox>
                      <w:txbxContent>
                        <w:p>
                          <w:pPr>
                            <w:overflowPunct w:val="false"/>
                            <w:spacing w:before="0" w:after="0" w:lineRule="auto" w:line="240"/>
                            <w:jc w:val="left"/>
                            <w:rPr/>
                          </w:pPr>
                          <w:r>
                            <w:rPr>
                              <w:spacing w:val="0"/>
                              <w:smallCaps w:val="false"/>
                              <w:caps w:val="false"/>
                              <w:iCs w:val="false"/>
                              <w:bCs w:val="false"/>
                              <w:vertAlign w:val="baseline"/>
                              <w:position w:val="0"/>
                              <w:sz w:val="12"/>
                              <w:i w:val="false"/>
                              <w:dstrike w:val="false"/>
                              <w:strike w:val="false"/>
                              <w:u w:val="none"/>
                              <w:b w:val="false"/>
                              <w:sz w:val="12"/>
                              <w:szCs w:val="12"/>
                              <w:rFonts w:cs="Arial" w:ascii="Arial" w:hAnsi="Arial"/>
                              <w:color w:val="000000"/>
                            </w:rPr>
                            <w:t>Twister</w:t>
                          </w:r>
                        </w:p>
                      </w:txbxContent>
                    </v:textbox>
                    <v:fill o:detectmouseclick="t" on="false"/>
                    <v:stroke color="#3465a4" joinstyle="round" endcap="flat"/>
                  </v:rect>
                </v:group>
                <v:shape id="shape_0" ID="Triángulo isósceles 81" fillcolor="#4472c4" stroked="t" style="position:absolute;left:1859;top:2605;width:174;height:159;mso-wrap-style:none;v-text-anchor:middle;rotation:90;mso-position-horizontal:center" type="shapetype_5">
                  <v:fill o:detectmouseclick="t" type="solid" color2="#bb8d3b"/>
                  <v:stroke color="#325490" weight="12600" joinstyle="miter" endcap="flat"/>
                </v:shape>
                <v:shape id="shape_0" ID="Conector recto de flecha 82" stroked="t" style="position:absolute;left:1945;top:2641;width:474;height:0;mso-wrap-style:none;v-text-anchor:middle;mso-position-horizontal:center" type="shapetype_32">
                  <v:fill o:detectmouseclick="t" on="false"/>
                  <v:stroke color="black" weight="6480" endarrow="block" endarrowwidth="medium" endarrowlength="medium" joinstyle="miter" endcap="flat"/>
                </v:shape>
              </v:group>
            </w:pict>
          </mc:Fallback>
        </mc:AlternateContent>
      </w:r>
    </w:p>
    <w:p>
      <w:pPr>
        <w:pStyle w:val="Normal"/>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
          <w:i/>
          <w:iCs/>
          <w:color w:val="000000" w:themeColor="text1"/>
          <w:sz w:val="20"/>
          <w:szCs w:val="20"/>
        </w:rPr>
      </w:pPr>
      <w:r>
        <w:rPr>
          <w:rFonts w:cs="Times New Roman" w:ascii="Times New Roman" w:hAnsi="Times New Roman"/>
          <w:b/>
          <w:bCs/>
          <w:i/>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Cs/>
          <w:color w:val="000000" w:themeColor="text1"/>
          <w:sz w:val="20"/>
          <w:szCs w:val="20"/>
        </w:rPr>
      </w:pPr>
      <w:r>
        <w:rPr>
          <w:rFonts w:cs="Times New Roman" w:ascii="Times New Roman" w:hAnsi="Times New Roman"/>
          <w:b/>
          <w:bCs/>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Cs/>
          <w:color w:val="000000" w:themeColor="text1"/>
          <w:sz w:val="20"/>
          <w:szCs w:val="20"/>
        </w:rPr>
      </w:pPr>
      <w:r>
        <w:rPr>
          <w:rFonts w:cs="Times New Roman" w:ascii="Times New Roman" w:hAnsi="Times New Roman"/>
          <w:b/>
          <w:bCs/>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Cs/>
          <w:color w:val="000000" w:themeColor="text1"/>
          <w:sz w:val="20"/>
          <w:szCs w:val="20"/>
        </w:rPr>
      </w:pPr>
      <w:r>
        <w:rPr>
          <w:rFonts w:cs="Times New Roman" w:ascii="Times New Roman" w:hAnsi="Times New Roman"/>
          <w:b/>
          <w:bCs/>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Cs/>
          <w:color w:val="000000" w:themeColor="text1"/>
          <w:sz w:val="20"/>
          <w:szCs w:val="20"/>
        </w:rPr>
      </w:pPr>
      <w:r>
        <w:rPr>
          <w:rFonts w:cs="Times New Roman" w:ascii="Times New Roman" w:hAnsi="Times New Roman"/>
          <w:b/>
          <w:bCs/>
          <w:iCs/>
          <w:color w:val="000000" w:themeColor="text1"/>
          <w:sz w:val="20"/>
          <w:szCs w:val="20"/>
        </w:rPr>
      </w:r>
    </w:p>
    <w:p>
      <w:pPr>
        <w:pStyle w:val="Normal"/>
        <w:spacing w:lineRule="auto" w:line="240" w:before="0" w:after="0"/>
        <w:ind w:left="0" w:right="0" w:hanging="0"/>
        <w:jc w:val="center"/>
        <w:rPr>
          <w:rFonts w:ascii="Times New Roman" w:hAnsi="Times New Roman" w:cs="Times New Roman"/>
          <w:b/>
          <w:b/>
          <w:bCs/>
          <w:iCs/>
          <w:color w:val="000000" w:themeColor="text1"/>
          <w:sz w:val="20"/>
          <w:szCs w:val="20"/>
        </w:rPr>
      </w:pPr>
      <w:r>
        <w:rPr>
          <w:rFonts w:cs="Times New Roman" w:ascii="Times New Roman" w:hAnsi="Times New Roman"/>
          <w:b/>
          <w:bCs/>
          <w:iCs/>
          <w:color w:val="000000" w:themeColor="text1"/>
          <w:sz w:val="20"/>
          <w:szCs w:val="20"/>
        </w:rPr>
      </w:r>
    </w:p>
    <w:p>
      <w:pPr>
        <w:pStyle w:val="Normal"/>
        <w:spacing w:lineRule="auto" w:line="240" w:before="0" w:after="0"/>
        <w:ind w:left="0" w:right="0" w:hanging="0"/>
        <w:jc w:val="center"/>
        <w:rPr>
          <w:rFonts w:cs="Times New Roman"/>
          <w:bCs/>
          <w:i/>
          <w:i/>
          <w:iCs/>
          <w:color w:themeColor="text1"/>
        </w:rPr>
      </w:pPr>
      <w:r>
        <w:rPr>
          <w:rFonts w:ascii="Times New Roman" w:hAnsi="Times New Roman"/>
          <w:color w:val="000000"/>
          <w:sz w:val="20"/>
          <w:szCs w:val="20"/>
        </w:rPr>
      </w:r>
    </w:p>
    <w:p>
      <w:pPr>
        <w:pStyle w:val="Normal"/>
        <w:spacing w:lineRule="auto" w:line="240" w:before="0" w:after="0"/>
        <w:ind w:left="0" w:right="0" w:hanging="0"/>
        <w:jc w:val="center"/>
        <w:rPr>
          <w:rFonts w:cs="Times New Roman"/>
          <w:bCs/>
          <w:i/>
          <w:i/>
          <w:iCs/>
          <w:color w:themeColor="text1"/>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color w:val="000000"/>
          <w:sz w:val="20"/>
          <w:szCs w:val="20"/>
        </w:rPr>
      </w:pPr>
      <w:r>
        <w:rPr>
          <w:rFonts w:cs="Times New Roman" w:ascii="Times New Roman" w:hAnsi="Times New Roman"/>
          <w:bCs/>
          <w:i/>
          <w:iCs/>
          <w:color w:val="000000" w:themeColor="text1"/>
          <w:sz w:val="20"/>
          <w:szCs w:val="20"/>
        </w:rPr>
        <w:t>Figura 7</w:t>
      </w:r>
      <w:r>
        <w:rPr>
          <w:rFonts w:cs="Times New Roman" w:ascii="Times New Roman" w:hAnsi="Times New Roman"/>
          <w:i/>
          <w:iCs/>
          <w:color w:val="000000" w:themeColor="text1"/>
          <w:sz w:val="20"/>
          <w:szCs w:val="20"/>
        </w:rPr>
        <w:t xml:space="preserve">. Diagrama de la técnica de extracción en barra de agitación. </w:t>
      </w:r>
      <w:r>
        <w:rPr>
          <w:rFonts w:cs="Times New Roman" w:ascii="Times New Roman" w:hAnsi="Times New Roman"/>
          <w:i/>
          <w:iCs/>
          <w:color w:val="000000" w:themeColor="text1"/>
          <w:sz w:val="20"/>
          <w:szCs w:val="20"/>
        </w:rPr>
        <w:t>Fuente: Elaboración propia.</w:t>
      </w:r>
    </w:p>
    <w:p>
      <w:pPr>
        <w:pStyle w:val="Normal"/>
        <w:spacing w:lineRule="auto" w:line="240" w:before="0" w:after="0"/>
        <w:ind w:left="0" w:right="0" w:hanging="0"/>
        <w:jc w:val="center"/>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r>
    </w:p>
    <w:p>
      <w:pPr>
        <w:pStyle w:val="ListParagraph"/>
        <w:numPr>
          <w:ilvl w:val="0"/>
          <w:numId w:val="0"/>
        </w:numPr>
        <w:spacing w:lineRule="auto" w:line="240" w:before="0" w:after="0"/>
        <w:ind w:left="-1419" w:right="0" w:hanging="0"/>
        <w:rPr>
          <w:rFonts w:ascii="Times New Roman" w:hAnsi="Times New Roman"/>
          <w:color w:val="000000"/>
          <w:sz w:val="20"/>
          <w:szCs w:val="20"/>
        </w:rPr>
      </w:pPr>
      <w:r>
        <w:rPr>
          <w:rFonts w:cs="Times New Roman" w:ascii="Times New Roman" w:hAnsi="Times New Roman"/>
          <w:b/>
          <w:bCs/>
          <w:color w:val="000000"/>
          <w:sz w:val="20"/>
          <w:szCs w:val="20"/>
        </w:rPr>
        <w:t xml:space="preserve">V. </w:t>
      </w:r>
      <w:r>
        <w:rPr>
          <w:rFonts w:cs="Times New Roman" w:ascii="Times New Roman" w:hAnsi="Times New Roman"/>
          <w:b/>
          <w:bCs/>
          <w:color w:val="000000"/>
          <w:sz w:val="20"/>
          <w:szCs w:val="20"/>
        </w:rPr>
        <w:t>CONCLUSIONES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la determinación de BP en muestras sólidas de interés ambiental, destacan suelos y sedimentos como muestras analizadas, siendo el material particulado atmosférico el menos estudiado. Por otro lado, el BPA es el analito recurrente, mientras que los compuestos congéneres son cuantificados en menor proporción.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En relación al tratamiento de muestra, predomina UAE como técnica extractiva ejecutada en baños ultrasónicos, los cuales son asequibles a cualquier laboratorio. En tales casos, se usan disolventes polares como extractantes, sustituyéndose así disolventes halogenados o hidrofóbicos; sin embargo, los tiempos requeridos para la separación son en general mayores que con el resto de las técnicas. Por otro lado, el uso de QuEChERS se incrementa significativamente en la última década, ante las múltiples ventajas que ofrece la técnica como generación de menor cantidad de residuos, uso de reactivos menos tóxicos, mayor rapidez y menor costo de operación, sin menosprecio de la eficiencia de la extracción. En relación a la aplicación de técnicas como MAE o PLE, ésta se ve limitada probablemente por la infraestructura física requerida, cuyo costo no es despreciable. </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cualquier caso, se distingue reiteradamente la utilización de una etapa en el proceso analítico para la purificación del extracto, dado que las técnicas antes mencionadas no son selectivas; es decir, se extraen múltiples compuestos, deseables o no. Para ello, SPE es la herramienta seleccionada, ya sea con el adsorbente retenido en cartucho o disperso en la muestra. Finalmente, debe mencionarse que la cuantificación de analitos se realiza en todos los casos por técnicas cromatográficas debido a su selectividad, un aspecto de gran importancia en métodos multianalito.</w:t>
      </w:r>
    </w:p>
    <w:p>
      <w:pPr>
        <w:pStyle w:val="Normal"/>
        <w:spacing w:lineRule="auto" w:line="240" w:before="0" w:after="0"/>
        <w:ind w:left="0" w:right="0" w:hanging="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istParagraph"/>
        <w:numPr>
          <w:ilvl w:val="0"/>
          <w:numId w:val="0"/>
        </w:numPr>
        <w:spacing w:lineRule="auto" w:line="240" w:before="0" w:after="0"/>
        <w:ind w:left="-1419" w:right="0" w:hanging="0"/>
        <w:rPr>
          <w:rFonts w:ascii="Times New Roman" w:hAnsi="Times New Roman"/>
          <w:color w:val="000000"/>
          <w:sz w:val="20"/>
          <w:szCs w:val="20"/>
        </w:rPr>
      </w:pPr>
      <w:r>
        <w:rPr>
          <w:rFonts w:cs="Times New Roman" w:ascii="Times New Roman" w:hAnsi="Times New Roman"/>
          <w:b/>
          <w:bCs/>
          <w:color w:val="000000"/>
          <w:sz w:val="20"/>
          <w:szCs w:val="20"/>
        </w:rPr>
        <w:t>AGRADECIMIENTOS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Los autores agradecen al Consejo Estatal de Ciencia y Tecnología del Estado de Coahuila (COECyT) el apoyo financiero brindado a través del proyecto COAH-2022-C19-C080. KHC agradece al Consejo Nacional de Ciencia y Tecnología (CONACyT) la beca otorgada para estudios de posgrado (1063510).</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pacing w:lineRule="auto" w:line="240" w:before="0" w:after="0"/>
        <w:ind w:left="-1419" w:right="0" w:hanging="0"/>
        <w:rPr>
          <w:rFonts w:ascii="Times New Roman" w:hAnsi="Times New Roman"/>
          <w:color w:val="000000"/>
          <w:sz w:val="20"/>
          <w:szCs w:val="20"/>
        </w:rPr>
      </w:pPr>
      <w:r>
        <w:rPr>
          <w:rFonts w:cs="Times New Roman" w:ascii="Times New Roman" w:hAnsi="Times New Roman"/>
          <w:b/>
          <w:bCs/>
          <w:color w:val="000000"/>
          <w:sz w:val="20"/>
          <w:szCs w:val="20"/>
        </w:rPr>
        <w:t>REFERENCIAS</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Abril, C., Sanltos, J. L., Malvar, J. L., Martín, J., Aparicio, I., y Alonso, E. (2018). </w:t>
      </w:r>
      <w:r>
        <w:rPr>
          <w:rFonts w:cs="Times New Roman" w:ascii="Times New Roman" w:hAnsi="Times New Roman"/>
          <w:color w:val="000000"/>
          <w:sz w:val="20"/>
          <w:szCs w:val="20"/>
          <w:lang w:val="en-US"/>
        </w:rPr>
        <w:t xml:space="preserve">Determination of perfluorinated compounds, bisphenol A, anionic surfactants and personal care products in digested sludge, compost and oil by liquid-chromatography-tadem mass spectrometry. </w:t>
      </w:r>
      <w:r>
        <w:rPr>
          <w:rFonts w:cs="Times New Roman" w:ascii="Times New Roman" w:hAnsi="Times New Roman"/>
          <w:i/>
          <w:iCs/>
          <w:color w:val="000000"/>
          <w:sz w:val="20"/>
          <w:szCs w:val="20"/>
          <w:lang w:val="es-ES"/>
        </w:rPr>
        <w:t>Journal of Chromatography A</w:t>
      </w:r>
      <w:r>
        <w:rPr>
          <w:rFonts w:cs="Times New Roman" w:ascii="Times New Roman" w:hAnsi="Times New Roman"/>
          <w:color w:val="000000"/>
          <w:sz w:val="20"/>
          <w:szCs w:val="20"/>
          <w:lang w:val="es-ES"/>
        </w:rPr>
        <w:t>. doi:10.1016/j.chroma.2018.09.028.</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Aguilar-Villalva, R., Molina, G. A., España-Sánchez, B. L., Díaz-Peña, L. F., Elizalde-Mata, A., Valerio, E., Aranza-Ricardo, C., Estevez, M. (2021). </w:t>
      </w:r>
      <w:r>
        <w:rPr>
          <w:rFonts w:cs="Times New Roman" w:ascii="Times New Roman" w:hAnsi="Times New Roman"/>
          <w:color w:val="000000"/>
          <w:sz w:val="20"/>
          <w:szCs w:val="20"/>
          <w:lang w:val="en-US"/>
        </w:rPr>
        <w:t xml:space="preserve">Antioxidant capacity and antibacterial activity from Annona cherimola phytochemicals by ultrasound-assisted extraction and its comparison to conventional methods. </w:t>
      </w:r>
      <w:r>
        <w:rPr>
          <w:rFonts w:cs="Times New Roman" w:ascii="Times New Roman" w:hAnsi="Times New Roman"/>
          <w:i/>
          <w:color w:val="000000"/>
          <w:sz w:val="20"/>
          <w:szCs w:val="20"/>
          <w:lang w:val="en-US"/>
        </w:rPr>
        <w:t>Arabian Journal of Chemistry</w:t>
      </w:r>
      <w:r>
        <w:rPr>
          <w:rFonts w:cs="Times New Roman" w:ascii="Times New Roman" w:hAnsi="Times New Roman"/>
          <w:color w:val="000000"/>
          <w:sz w:val="20"/>
          <w:szCs w:val="20"/>
          <w:lang w:val="en-US"/>
        </w:rPr>
        <w:t xml:space="preserve">, </w:t>
      </w:r>
      <w:r>
        <w:rPr>
          <w:rFonts w:cs="Times New Roman" w:ascii="Times New Roman" w:hAnsi="Times New Roman"/>
          <w:i/>
          <w:iCs/>
          <w:color w:val="000000"/>
          <w:sz w:val="20"/>
          <w:szCs w:val="20"/>
          <w:lang w:val="en-US"/>
        </w:rPr>
        <w:t>14</w:t>
      </w:r>
      <w:r>
        <w:rPr>
          <w:rFonts w:cs="Times New Roman" w:ascii="Times New Roman" w:hAnsi="Times New Roman"/>
          <w:color w:val="000000"/>
          <w:sz w:val="20"/>
          <w:szCs w:val="20"/>
          <w:lang w:val="en-US"/>
        </w:rPr>
        <w:t>(7), 103239. doi:10.1016/j.arabjc.2021.103239.</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Ahmed, T., Rana, M. R., Maisha, M. R., Sayem, A., Rahman, M., y Ara, R. (2022). Optimization of ultrasound-assisted extraction of phenolic content &amp; antioxidant activity of hog plum </w:t>
      </w:r>
      <w:r>
        <w:rPr>
          <w:rFonts w:cs="Times New Roman" w:ascii="Times New Roman" w:hAnsi="Times New Roman"/>
          <w:i/>
          <w:iCs/>
          <w:color w:val="000000"/>
          <w:sz w:val="20"/>
          <w:szCs w:val="20"/>
          <w:lang w:val="en-US"/>
        </w:rPr>
        <w:t>(Spondias pinnata L. f. kurz)</w:t>
      </w:r>
      <w:r>
        <w:rPr>
          <w:rFonts w:cs="Times New Roman" w:ascii="Times New Roman" w:hAnsi="Times New Roman"/>
          <w:color w:val="000000"/>
          <w:sz w:val="20"/>
          <w:szCs w:val="20"/>
          <w:lang w:val="en-US"/>
        </w:rPr>
        <w:t xml:space="preserve"> pulp by response surface methodology. </w:t>
      </w:r>
      <w:r>
        <w:rPr>
          <w:rFonts w:cs="Times New Roman" w:ascii="Times New Roman" w:hAnsi="Times New Roman"/>
          <w:i/>
          <w:iCs/>
          <w:color w:val="000000"/>
          <w:sz w:val="20"/>
          <w:szCs w:val="20"/>
          <w:lang w:val="es-ES"/>
        </w:rPr>
        <w:t>Heliyon</w:t>
      </w:r>
      <w:r>
        <w:rPr>
          <w:rFonts w:cs="Times New Roman" w:ascii="Times New Roman" w:hAnsi="Times New Roman"/>
          <w:color w:val="000000"/>
          <w:sz w:val="20"/>
          <w:szCs w:val="20"/>
          <w:lang w:val="es-ES"/>
        </w:rPr>
        <w:t xml:space="preserve">, </w:t>
      </w:r>
      <w:r>
        <w:rPr>
          <w:rFonts w:cs="Times New Roman" w:ascii="Times New Roman" w:hAnsi="Times New Roman"/>
          <w:i/>
          <w:iCs/>
          <w:color w:val="000000"/>
          <w:sz w:val="20"/>
          <w:szCs w:val="20"/>
          <w:lang w:val="es-ES"/>
        </w:rPr>
        <w:t>8</w:t>
      </w:r>
      <w:r>
        <w:rPr>
          <w:rFonts w:cs="Times New Roman" w:ascii="Times New Roman" w:hAnsi="Times New Roman"/>
          <w:color w:val="000000"/>
          <w:sz w:val="20"/>
          <w:szCs w:val="20"/>
          <w:lang w:val="es-ES"/>
        </w:rPr>
        <w:t>(10), e11109. doi:10.1016/j.heliyon.2022.e11109</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Albero, B., Tadeo, J. L., y Pérez, R. A. (2019). </w:t>
      </w:r>
      <w:r>
        <w:rPr>
          <w:rFonts w:cs="Times New Roman" w:ascii="Times New Roman" w:hAnsi="Times New Roman"/>
          <w:color w:val="000000"/>
          <w:sz w:val="20"/>
          <w:szCs w:val="20"/>
          <w:lang w:val="en-US"/>
        </w:rPr>
        <w:t xml:space="preserve">Ultrasound-assisted extraction of organic contaminants. </w:t>
      </w:r>
      <w:r>
        <w:rPr>
          <w:rFonts w:cs="Times New Roman" w:ascii="Times New Roman" w:hAnsi="Times New Roman"/>
          <w:i/>
          <w:iCs/>
          <w:color w:val="000000"/>
          <w:sz w:val="20"/>
          <w:szCs w:val="20"/>
          <w:lang w:val="en-US"/>
        </w:rPr>
        <w:t>TrAC Trends in Analytical Chemistry</w:t>
      </w:r>
      <w:r>
        <w:rPr>
          <w:rFonts w:cs="Times New Roman" w:ascii="Times New Roman" w:hAnsi="Times New Roman"/>
          <w:color w:val="000000"/>
          <w:sz w:val="20"/>
          <w:szCs w:val="20"/>
          <w:lang w:val="en-US"/>
        </w:rPr>
        <w:t xml:space="preserve">, </w:t>
      </w:r>
      <w:r>
        <w:rPr>
          <w:rFonts w:cs="Times New Roman" w:ascii="Times New Roman" w:hAnsi="Times New Roman"/>
          <w:i/>
          <w:iCs/>
          <w:color w:val="000000"/>
          <w:sz w:val="20"/>
          <w:szCs w:val="20"/>
          <w:lang w:val="en-US"/>
        </w:rPr>
        <w:t>118</w:t>
      </w:r>
      <w:r>
        <w:rPr>
          <w:rFonts w:cs="Times New Roman" w:ascii="Times New Roman" w:hAnsi="Times New Roman"/>
          <w:color w:val="000000"/>
          <w:sz w:val="20"/>
          <w:szCs w:val="20"/>
          <w:lang w:val="en-US"/>
        </w:rPr>
        <w:t>, 739-750. doi:10.1016/j.trac.2019.07.007</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Álvarez-Rivera, G., Bueno, M., Ballesteros-Vivas, D., Mendiola, J. A., Ibañez, E. (2020). Pressurized Liquid Extraction. En Colin F. Poole (Ed.), </w:t>
      </w:r>
      <w:r>
        <w:rPr>
          <w:rFonts w:cs="Times New Roman" w:ascii="Times New Roman" w:hAnsi="Times New Roman"/>
          <w:i/>
          <w:iCs/>
          <w:color w:val="000000"/>
          <w:sz w:val="20"/>
          <w:szCs w:val="20"/>
          <w:lang w:val="en-US"/>
        </w:rPr>
        <w:t>Liquid-Phase Extraction</w:t>
      </w:r>
      <w:r>
        <w:rPr>
          <w:rFonts w:cs="Times New Roman" w:ascii="Times New Roman" w:hAnsi="Times New Roman"/>
          <w:color w:val="000000"/>
          <w:sz w:val="20"/>
          <w:szCs w:val="20"/>
          <w:lang w:val="en-US"/>
        </w:rPr>
        <w:t xml:space="preserve"> ( 375-398). Elsevier.</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Anastassiadhes M, Lehotay S. J., Stajnbaher D., Schenck F. J. (2003). Fast and easy multiresidue method employing acetonitrile extraction/partitioning and "dispersive solid-phase extraction" for the determination of pesticide residues in produce. </w:t>
      </w:r>
      <w:r>
        <w:rPr>
          <w:rFonts w:cs="Times New Roman" w:ascii="Times New Roman" w:hAnsi="Times New Roman"/>
          <w:i/>
          <w:iCs/>
          <w:color w:val="000000"/>
          <w:sz w:val="20"/>
          <w:szCs w:val="20"/>
          <w:lang w:val="en-US"/>
        </w:rPr>
        <w:t>Journal of AOAC International, 86</w:t>
      </w:r>
      <w:r>
        <w:rPr>
          <w:rFonts w:cs="Times New Roman" w:ascii="Times New Roman" w:hAnsi="Times New Roman"/>
          <w:color w:val="000000"/>
          <w:sz w:val="20"/>
          <w:szCs w:val="20"/>
          <w:lang w:val="en-US"/>
        </w:rPr>
        <w:t xml:space="preserve">(2), 412-31. </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AOAC. (2007). Official Method 2007.01: Pesticide residues in foods by acetonitrile extraction and partitioning with magnesium sulphate. </w:t>
      </w:r>
      <w:r>
        <w:rPr>
          <w:rFonts w:cs="Times New Roman" w:ascii="Times New Roman" w:hAnsi="Times New Roman"/>
          <w:i/>
          <w:iCs/>
          <w:color w:val="000000"/>
          <w:sz w:val="20"/>
          <w:szCs w:val="20"/>
          <w:lang w:val="en-US"/>
        </w:rPr>
        <w:t>Journal of AOAC International, 90</w:t>
      </w:r>
      <w:r>
        <w:rPr>
          <w:rFonts w:cs="Times New Roman" w:ascii="Times New Roman" w:hAnsi="Times New Roman"/>
          <w:color w:val="000000"/>
          <w:sz w:val="20"/>
          <w:szCs w:val="20"/>
          <w:lang w:val="en-US"/>
        </w:rPr>
        <w:t>, 485-520.</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Banihashemi, B., y Droste, R. L. (2013). Trace level determination of bisphenol-A in wastewater and sewage sludge by high-perfomance liquid chromatography and UV detection. </w:t>
      </w:r>
      <w:r>
        <w:rPr>
          <w:rFonts w:cs="Times New Roman" w:ascii="Times New Roman" w:hAnsi="Times New Roman"/>
          <w:i/>
          <w:iCs/>
          <w:color w:val="000000"/>
          <w:sz w:val="20"/>
          <w:szCs w:val="20"/>
          <w:lang w:val="en-US"/>
        </w:rPr>
        <w:t>Water Quality</w:t>
      </w:r>
      <w:r>
        <w:rPr>
          <w:rFonts w:cs="Times New Roman" w:ascii="Times New Roman" w:hAnsi="Times New Roman"/>
          <w:color w:val="000000"/>
          <w:sz w:val="20"/>
          <w:szCs w:val="20"/>
          <w:lang w:val="en-US"/>
        </w:rPr>
        <w:t xml:space="preserve"> </w:t>
      </w:r>
      <w:r>
        <w:rPr>
          <w:rFonts w:cs="Times New Roman" w:ascii="Times New Roman" w:hAnsi="Times New Roman"/>
          <w:i/>
          <w:iCs/>
          <w:color w:val="000000"/>
          <w:sz w:val="20"/>
          <w:szCs w:val="20"/>
          <w:lang w:val="en-US"/>
        </w:rPr>
        <w:t>Research Journal of Canada 48</w:t>
      </w:r>
      <w:r>
        <w:rPr>
          <w:rFonts w:cs="Times New Roman" w:ascii="Times New Roman" w:hAnsi="Times New Roman"/>
          <w:color w:val="000000"/>
          <w:sz w:val="20"/>
          <w:szCs w:val="20"/>
          <w:lang w:val="en-US"/>
        </w:rPr>
        <w:t>(2), 133-144. doi:10.2166/wqrjc.2013.037.</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Berlioz-Barbier, A., Vauchez, A., Wiest, L., Baudot, R., Vulliet, E., y Cren-Olivé, C. (2014). Multi-residue analysis of emerging pollutants in sediment using QuEChERS-based extraction followed by LC-MS/MS analysis. </w:t>
      </w:r>
      <w:r>
        <w:rPr>
          <w:rFonts w:cs="Times New Roman" w:ascii="Times New Roman" w:hAnsi="Times New Roman"/>
          <w:i/>
          <w:iCs/>
          <w:color w:val="000000"/>
          <w:sz w:val="20"/>
          <w:szCs w:val="20"/>
          <w:lang w:val="en-US"/>
        </w:rPr>
        <w:t>Analytical and Bioanalytical Chemistry, 406</w:t>
      </w:r>
      <w:r>
        <w:rPr>
          <w:rFonts w:cs="Times New Roman" w:ascii="Times New Roman" w:hAnsi="Times New Roman"/>
          <w:color w:val="000000"/>
          <w:sz w:val="20"/>
          <w:szCs w:val="20"/>
          <w:lang w:val="en-US"/>
        </w:rPr>
        <w:t>(21), 1259-1266.</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Bossio, J. P., Harry, J., y Kinney, C. A. (2008). Application of ulltrasonic assisted extraction of chemically diverse organic compounds from soil and sediments. </w:t>
      </w:r>
      <w:r>
        <w:rPr>
          <w:rFonts w:cs="Times New Roman" w:ascii="Times New Roman" w:hAnsi="Times New Roman"/>
          <w:i/>
          <w:iCs/>
          <w:color w:val="000000"/>
          <w:sz w:val="20"/>
          <w:szCs w:val="20"/>
          <w:lang w:val="es-ES"/>
        </w:rPr>
        <w:t>Chemosphere</w:t>
      </w:r>
      <w:r>
        <w:rPr>
          <w:rFonts w:cs="Times New Roman" w:ascii="Times New Roman" w:hAnsi="Times New Roman"/>
          <w:color w:val="000000"/>
          <w:sz w:val="20"/>
          <w:szCs w:val="20"/>
          <w:lang w:val="es-ES"/>
        </w:rPr>
        <w:t xml:space="preserve">, </w:t>
      </w:r>
      <w:r>
        <w:rPr>
          <w:rFonts w:cs="Times New Roman" w:ascii="Times New Roman" w:hAnsi="Times New Roman"/>
          <w:i/>
          <w:iCs/>
          <w:color w:val="000000"/>
          <w:sz w:val="20"/>
          <w:szCs w:val="20"/>
          <w:lang w:val="es-ES"/>
        </w:rPr>
        <w:t>70</w:t>
      </w:r>
      <w:r>
        <w:rPr>
          <w:rFonts w:cs="Times New Roman" w:ascii="Times New Roman" w:hAnsi="Times New Roman"/>
          <w:color w:val="000000"/>
          <w:sz w:val="20"/>
          <w:szCs w:val="20"/>
          <w:lang w:val="es-ES"/>
        </w:rPr>
        <w:t>(5), 858-864. doi:10.1016/j.chemosphere.2007.06.088.</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Bragança, I., Plácido, A., Paíga, P., Domingues, V. F., y Delerue-Matos, C. (2012). </w:t>
      </w:r>
      <w:r>
        <w:rPr>
          <w:rFonts w:cs="Times New Roman" w:ascii="Times New Roman" w:hAnsi="Times New Roman"/>
          <w:color w:val="000000"/>
          <w:sz w:val="20"/>
          <w:szCs w:val="20"/>
          <w:lang w:val="en-US"/>
        </w:rPr>
        <w:t xml:space="preserve">QuEChERS: A new samples preparation approach for the determination of ibuprofen and its matabolites in soils. </w:t>
      </w:r>
      <w:r>
        <w:rPr>
          <w:rFonts w:cs="Times New Roman" w:ascii="Times New Roman" w:hAnsi="Times New Roman"/>
          <w:i/>
          <w:iCs/>
          <w:color w:val="000000"/>
          <w:sz w:val="20"/>
          <w:szCs w:val="20"/>
          <w:lang w:val="en-US"/>
        </w:rPr>
        <w:t>Science of the Total Environment</w:t>
      </w:r>
      <w:r>
        <w:rPr>
          <w:rFonts w:cs="Times New Roman" w:ascii="Times New Roman" w:hAnsi="Times New Roman"/>
          <w:color w:val="000000"/>
          <w:sz w:val="20"/>
          <w:szCs w:val="20"/>
          <w:lang w:val="en-US"/>
        </w:rPr>
        <w:t xml:space="preserve">, </w:t>
      </w:r>
      <w:r>
        <w:rPr>
          <w:rFonts w:cs="Times New Roman" w:ascii="Times New Roman" w:hAnsi="Times New Roman"/>
          <w:i/>
          <w:iCs/>
          <w:color w:val="000000"/>
          <w:sz w:val="20"/>
          <w:szCs w:val="20"/>
          <w:lang w:val="en-US"/>
        </w:rPr>
        <w:t>433,</w:t>
      </w:r>
      <w:r>
        <w:rPr>
          <w:rFonts w:cs="Times New Roman" w:ascii="Times New Roman" w:hAnsi="Times New Roman"/>
          <w:color w:val="000000"/>
          <w:sz w:val="20"/>
          <w:szCs w:val="20"/>
          <w:lang w:val="en-US"/>
        </w:rPr>
        <w:t xml:space="preserve"> 281-289. doi:10.1016/j.scitotenv.2012.06.035.</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Büyüktiryaki, S., Keçili, R., y Hussain, C. M. (2020). Functionalized nanomaterials in dispersive solid phase extraction: Advances &amp; prospects.</w:t>
      </w:r>
      <w:r>
        <w:rPr>
          <w:rFonts w:cs="Times New Roman" w:ascii="Times New Roman" w:hAnsi="Times New Roman"/>
          <w:i/>
          <w:iCs/>
          <w:color w:val="000000"/>
          <w:sz w:val="20"/>
          <w:szCs w:val="20"/>
          <w:lang w:val="en-US"/>
        </w:rPr>
        <w:t>TrAC Trends in Analytical Chemistry, 127</w:t>
      </w:r>
      <w:r>
        <w:rPr>
          <w:rFonts w:cs="Times New Roman" w:ascii="Times New Roman" w:hAnsi="Times New Roman"/>
          <w:color w:val="000000"/>
          <w:sz w:val="20"/>
          <w:szCs w:val="20"/>
          <w:lang w:val="en-US"/>
        </w:rPr>
        <w:t>, 115893. doi:10.1016/j.trac.2020.115893.</w:t>
      </w:r>
    </w:p>
    <w:p>
      <w:pPr>
        <w:pStyle w:val="Normal"/>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Catenza, C. J., Farooq, A., Shubear, N. S., Donkor, K. K. (2021). </w:t>
      </w:r>
      <w:r>
        <w:rPr>
          <w:rFonts w:cs="Times New Roman" w:ascii="Times New Roman" w:hAnsi="Times New Roman"/>
          <w:color w:val="000000"/>
          <w:sz w:val="20"/>
          <w:szCs w:val="20"/>
          <w:lang w:val="en-US"/>
        </w:rPr>
        <w:t xml:space="preserve">A targeted review on fate, occurrence, risk and health implications of bisphenol analogues. </w:t>
      </w:r>
      <w:r>
        <w:rPr>
          <w:rFonts w:cs="Times New Roman" w:ascii="Times New Roman" w:hAnsi="Times New Roman"/>
          <w:i/>
          <w:iCs/>
          <w:color w:val="000000"/>
          <w:sz w:val="20"/>
          <w:szCs w:val="20"/>
          <w:lang w:val="es-ES"/>
        </w:rPr>
        <w:t>Chemosphere, 268</w:t>
      </w:r>
      <w:r>
        <w:rPr>
          <w:rFonts w:cs="Times New Roman" w:ascii="Times New Roman" w:hAnsi="Times New Roman"/>
          <w:color w:val="000000"/>
          <w:sz w:val="20"/>
          <w:szCs w:val="20"/>
          <w:lang w:val="es-ES"/>
        </w:rPr>
        <w:t>, 129273. doi:0.1016/j.chemosphere.2020.129273.</w:t>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Cavaliere, C., Capriotti, A. L., Ferraris, F., Foglia, P., Samperi, R., Ventura, S., y Laganá, A. (2016). </w:t>
      </w:r>
      <w:r>
        <w:rPr>
          <w:rFonts w:cs="Times New Roman" w:ascii="Times New Roman" w:hAnsi="Times New Roman"/>
          <w:color w:val="000000"/>
          <w:sz w:val="20"/>
          <w:szCs w:val="20"/>
          <w:lang w:val="en-US"/>
        </w:rPr>
        <w:t xml:space="preserve">Multiresidue analysis of endocrine-disrupting compounds and perfluorinated sulfates and carboxylic acids in sediments by ultra-high-performance liquid chromatography-tandem mass spectrometry. </w:t>
      </w:r>
      <w:r>
        <w:rPr>
          <w:rFonts w:cs="Times New Roman" w:ascii="Times New Roman" w:hAnsi="Times New Roman"/>
          <w:i/>
          <w:iCs/>
          <w:color w:val="000000"/>
          <w:sz w:val="20"/>
          <w:szCs w:val="20"/>
          <w:lang w:val="en-US"/>
        </w:rPr>
        <w:t>Journal of Chromatography A, 1438</w:t>
      </w:r>
      <w:r>
        <w:rPr>
          <w:rFonts w:cs="Times New Roman" w:ascii="Times New Roman" w:hAnsi="Times New Roman"/>
          <w:color w:val="000000"/>
          <w:sz w:val="20"/>
          <w:szCs w:val="20"/>
          <w:lang w:val="en-US"/>
        </w:rPr>
        <w:t>, 133-142. doi:10.1016/j.chroma.2016.02.022.</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Charitopoulou, M. A., Papadopoulou, L., Achilias, D. S. (2022). Microwave-assisted extraction as an effective method for the debromination of brominated flame retarded polymeric blends with a composition that simulates the plastic part of waste electric and electronic equipment (WEEE). </w:t>
      </w:r>
      <w:r>
        <w:rPr>
          <w:rFonts w:cs="Times New Roman" w:ascii="Times New Roman" w:hAnsi="Times New Roman"/>
          <w:i/>
          <w:iCs/>
          <w:color w:val="000000"/>
          <w:sz w:val="20"/>
          <w:szCs w:val="20"/>
          <w:lang w:val="en-US"/>
        </w:rPr>
        <w:t>Sustainable Chemistry and Pharmacy, 29</w:t>
      </w:r>
      <w:r>
        <w:rPr>
          <w:rFonts w:cs="Times New Roman" w:ascii="Times New Roman" w:hAnsi="Times New Roman"/>
          <w:color w:val="000000"/>
          <w:sz w:val="20"/>
          <w:szCs w:val="20"/>
          <w:lang w:val="en-US"/>
        </w:rPr>
        <w:t>, 100790. doi:10.1016/j.scp.2022.100790.</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Da Silva, A. K., Sobieski, E., Viana, L. H., y Dominguez, C. E. (2016). </w:t>
      </w:r>
      <w:r>
        <w:rPr>
          <w:rFonts w:cs="Times New Roman" w:ascii="Times New Roman" w:hAnsi="Times New Roman"/>
          <w:color w:val="000000"/>
          <w:sz w:val="20"/>
          <w:szCs w:val="20"/>
          <w:lang w:val="es-ES"/>
        </w:rPr>
        <w:t xml:space="preserve">Extração em Fase Sólida Magnética (MSPE): Fundamentos e Aplicações. </w:t>
      </w:r>
      <w:r>
        <w:rPr>
          <w:rFonts w:cs="Times New Roman" w:ascii="Times New Roman" w:hAnsi="Times New Roman"/>
          <w:i/>
          <w:iCs/>
          <w:color w:val="000000"/>
          <w:sz w:val="20"/>
          <w:szCs w:val="20"/>
          <w:lang w:val="es-ES"/>
        </w:rPr>
        <w:t>Scientia Chromatographica</w:t>
      </w:r>
      <w:r>
        <w:rPr>
          <w:rFonts w:cs="Times New Roman" w:ascii="Times New Roman" w:hAnsi="Times New Roman"/>
          <w:color w:val="000000"/>
          <w:sz w:val="20"/>
          <w:szCs w:val="20"/>
          <w:lang w:val="es-ES"/>
        </w:rPr>
        <w:t xml:space="preserve">, </w:t>
      </w:r>
      <w:r>
        <w:rPr>
          <w:rFonts w:cs="Times New Roman" w:ascii="Times New Roman" w:hAnsi="Times New Roman"/>
          <w:i/>
          <w:iCs/>
          <w:color w:val="000000"/>
          <w:sz w:val="20"/>
          <w:szCs w:val="20"/>
          <w:lang w:val="es-ES"/>
        </w:rPr>
        <w:t>8,</w:t>
      </w:r>
      <w:r>
        <w:rPr>
          <w:rFonts w:cs="Times New Roman" w:ascii="Times New Roman" w:hAnsi="Times New Roman"/>
          <w:color w:val="000000"/>
          <w:sz w:val="20"/>
          <w:szCs w:val="20"/>
          <w:lang w:val="es-ES"/>
        </w:rPr>
        <w:t xml:space="preserve"> 239-256. doi:10.4322/sc.2016.036.</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Delgado, B., Pino, V., Ayala, J. H., Afonso, A. M., y González, V. (2012). </w:t>
      </w:r>
      <w:r>
        <w:rPr>
          <w:rFonts w:cs="Times New Roman" w:ascii="Times New Roman" w:hAnsi="Times New Roman"/>
          <w:color w:val="000000"/>
          <w:sz w:val="20"/>
          <w:szCs w:val="20"/>
          <w:lang w:val="en-US"/>
        </w:rPr>
        <w:t xml:space="preserve">A novel preconcentration strategy for extraction methods based on common cationic surfactants: An alternative to classical coacervative extraction. </w:t>
      </w:r>
      <w:r>
        <w:rPr>
          <w:rFonts w:cs="Times New Roman" w:ascii="Times New Roman" w:hAnsi="Times New Roman"/>
          <w:i/>
          <w:iCs/>
          <w:color w:val="000000"/>
          <w:sz w:val="20"/>
          <w:szCs w:val="20"/>
          <w:lang w:val="en-US"/>
        </w:rPr>
        <w:t>Journal of Chromatography A, 1257</w:t>
      </w:r>
      <w:r>
        <w:rPr>
          <w:rFonts w:cs="Times New Roman" w:ascii="Times New Roman" w:hAnsi="Times New Roman"/>
          <w:color w:val="000000"/>
          <w:sz w:val="20"/>
          <w:szCs w:val="20"/>
          <w:lang w:val="en-US"/>
        </w:rPr>
        <w:t>, 9-18. doi:10.1016/j.chroma.2012.08.026.</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Destandau, E., Michel, T., Elfakir, C. (2013). Microwave-assisted Extraction. En M. A. Rostagno y J. M. Prado (Eds.), </w:t>
      </w:r>
      <w:r>
        <w:rPr>
          <w:rFonts w:cs="Times New Roman" w:ascii="Times New Roman" w:hAnsi="Times New Roman"/>
          <w:i/>
          <w:iCs/>
          <w:color w:val="000000"/>
          <w:sz w:val="20"/>
          <w:szCs w:val="20"/>
          <w:lang w:val="en-US"/>
        </w:rPr>
        <w:t>Natural Product Extraction: Principles and Applications</w:t>
      </w:r>
      <w:r>
        <w:rPr>
          <w:rFonts w:cs="Times New Roman" w:ascii="Times New Roman" w:hAnsi="Times New Roman"/>
          <w:color w:val="000000"/>
          <w:sz w:val="20"/>
          <w:szCs w:val="20"/>
          <w:lang w:val="en-US"/>
        </w:rPr>
        <w:t xml:space="preserve"> (113-156). Royal Society of Chemistry.</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Du, Y., Wang, Q., Yang, G., y Han, F. (2022). Determination of 43 pesticide residues in intact grape berries </w:t>
      </w:r>
      <w:r>
        <w:rPr>
          <w:rFonts w:cs="Times New Roman" w:ascii="Times New Roman" w:hAnsi="Times New Roman"/>
          <w:i/>
          <w:iCs/>
          <w:color w:val="000000"/>
          <w:sz w:val="20"/>
          <w:szCs w:val="20"/>
          <w:lang w:val="en-US"/>
        </w:rPr>
        <w:t>(Vitis Vinifera L.)</w:t>
      </w:r>
      <w:r>
        <w:rPr>
          <w:rFonts w:cs="Times New Roman" w:ascii="Times New Roman" w:hAnsi="Times New Roman"/>
          <w:color w:val="000000"/>
          <w:sz w:val="20"/>
          <w:szCs w:val="20"/>
          <w:lang w:val="en-US"/>
        </w:rPr>
        <w:t xml:space="preserve"> by using an ultrasound-assisted acetonitrile extraction method followed by LC–MS/MS. </w:t>
      </w:r>
      <w:r>
        <w:rPr>
          <w:rFonts w:cs="Times New Roman" w:ascii="Times New Roman" w:hAnsi="Times New Roman"/>
          <w:i/>
          <w:iCs/>
          <w:color w:val="000000"/>
          <w:sz w:val="20"/>
          <w:szCs w:val="20"/>
          <w:lang w:val="en-US"/>
        </w:rPr>
        <w:t>Food Control, 140</w:t>
      </w:r>
      <w:r>
        <w:rPr>
          <w:rFonts w:cs="Times New Roman" w:ascii="Times New Roman" w:hAnsi="Times New Roman"/>
          <w:color w:val="000000"/>
          <w:sz w:val="20"/>
          <w:szCs w:val="20"/>
          <w:lang w:val="en-US"/>
        </w:rPr>
        <w:t>, 109123. doi:10.1016/j.foodcont.2022.109123</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Ďurovcová, I., Kyzek, S., Fabová, J., Makuková, J., Gálová, E., Ševčovičová, A. (2022). Genotoxic potential of bisphenol A: A review. </w:t>
      </w:r>
      <w:r>
        <w:rPr>
          <w:rFonts w:cs="Times New Roman" w:ascii="Times New Roman" w:hAnsi="Times New Roman"/>
          <w:i/>
          <w:iCs/>
          <w:color w:val="000000"/>
          <w:sz w:val="20"/>
          <w:szCs w:val="20"/>
          <w:lang w:val="en-US"/>
        </w:rPr>
        <w:t>Environmental Pollution, 306</w:t>
      </w:r>
      <w:r>
        <w:rPr>
          <w:rFonts w:cs="Times New Roman" w:ascii="Times New Roman" w:hAnsi="Times New Roman"/>
          <w:color w:val="000000"/>
          <w:sz w:val="20"/>
          <w:szCs w:val="20"/>
          <w:lang w:val="en-US"/>
        </w:rPr>
        <w:t>, 119346. doi:0.1016/j.envpol.2022.119346.</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EU (2018). BS EN 15662:2018. </w:t>
      </w:r>
      <w:r>
        <w:rPr>
          <w:rFonts w:cs="Times New Roman" w:ascii="Times New Roman" w:hAnsi="Times New Roman"/>
          <w:i/>
          <w:color w:val="000000"/>
          <w:sz w:val="20"/>
          <w:szCs w:val="20"/>
          <w:lang w:val="en-US"/>
        </w:rPr>
        <w:t>Foods of plant origin. Multimethod for the determination of pesticide residues using GC- and LC-based analysis following acetonitrile extraction/partitioning and clean-up by dispersive SPE. Modular QuEChERS-method</w:t>
      </w:r>
      <w:r>
        <w:rPr>
          <w:rFonts w:cs="Times New Roman" w:ascii="Times New Roman" w:hAnsi="Times New Roman"/>
          <w:color w:val="000000"/>
          <w:sz w:val="20"/>
          <w:szCs w:val="20"/>
          <w:lang w:val="en-US"/>
        </w:rPr>
        <w:t>. European Standards, 1-86.</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Frankowski, R., Platkiewicz, J., Stanisz, E., Grzéskowiak, T., y Zgola-Grześkowiak, A. (2021). Biodegradation and photo-Fenton degradation of bisphenol A, bisphenol S and fluconazole in water. </w:t>
      </w:r>
      <w:r>
        <w:rPr>
          <w:rFonts w:cs="Times New Roman" w:ascii="Times New Roman" w:hAnsi="Times New Roman"/>
          <w:i/>
          <w:iCs/>
          <w:color w:val="000000"/>
          <w:sz w:val="20"/>
          <w:szCs w:val="20"/>
          <w:lang w:val="es-ES"/>
        </w:rPr>
        <w:t>Environmental Pollution, 289</w:t>
      </w:r>
      <w:r>
        <w:rPr>
          <w:rFonts w:cs="Times New Roman" w:ascii="Times New Roman" w:hAnsi="Times New Roman"/>
          <w:color w:val="000000"/>
          <w:sz w:val="20"/>
          <w:szCs w:val="20"/>
          <w:lang w:val="es-ES"/>
        </w:rPr>
        <w:t>, 117947. doi:10.1016/j.envpol.2021.117947.</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García-Rojas, N., Villanueva-Díaz, P., Campos-Medina, E., y Velázquez-Rodríguez, A. (2012). Análisis de la adsorción como método de pulimiento en el tratamiento de aguas residuales. </w:t>
      </w:r>
      <w:r>
        <w:rPr>
          <w:rFonts w:cs="Times New Roman" w:ascii="Times New Roman" w:hAnsi="Times New Roman"/>
          <w:i/>
          <w:iCs/>
          <w:color w:val="000000"/>
          <w:sz w:val="20"/>
          <w:szCs w:val="20"/>
          <w:lang w:val="es-ES"/>
        </w:rPr>
        <w:t>Quivera Revista de Estudios Territotiles, 14</w:t>
      </w:r>
      <w:r>
        <w:rPr>
          <w:rFonts w:cs="Times New Roman" w:ascii="Times New Roman" w:hAnsi="Times New Roman"/>
          <w:color w:val="000000"/>
          <w:sz w:val="20"/>
          <w:szCs w:val="20"/>
          <w:lang w:val="es-ES"/>
        </w:rPr>
        <w:t>(1), 109-129.</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Georgakopoulos, P., Zachari, R., Mataragas, M., Athanasopoulos, P., Drosinos, E. H., y Skandamis, P. N. (2011). </w:t>
      </w:r>
      <w:r>
        <w:rPr>
          <w:rFonts w:cs="Times New Roman" w:ascii="Times New Roman" w:hAnsi="Times New Roman"/>
          <w:color w:val="000000"/>
          <w:sz w:val="20"/>
          <w:szCs w:val="20"/>
          <w:lang w:val="en-US"/>
        </w:rPr>
        <w:t xml:space="preserve">Optimisation of octadecyl (C18) sorbent amount in QuEChERS analytical method for the accurate organophosphorus pesticide residues determination in low-fatty baby foods with response surface methodology. </w:t>
      </w:r>
      <w:r>
        <w:rPr>
          <w:rFonts w:cs="Times New Roman" w:ascii="Times New Roman" w:hAnsi="Times New Roman"/>
          <w:i/>
          <w:iCs/>
          <w:color w:val="000000"/>
          <w:sz w:val="20"/>
          <w:szCs w:val="20"/>
          <w:lang w:val="en-US"/>
        </w:rPr>
        <w:t>Food Chemistry, 128</w:t>
      </w:r>
      <w:r>
        <w:rPr>
          <w:rFonts w:cs="Times New Roman" w:ascii="Times New Roman" w:hAnsi="Times New Roman"/>
          <w:color w:val="000000"/>
          <w:sz w:val="20"/>
          <w:szCs w:val="20"/>
          <w:lang w:val="en-US"/>
        </w:rPr>
        <w:t>, 536-542. doi:10.1016/j.foodchem.2011.03.042</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Gómez-López, I., Mendiola, J. A., Portillo, M. P., Cano M. P. (2022). Pressurized green liquid extraction of betalains and phenolic compounds from Opuntia stricta var. Dillenii whole fruit: Process optimization and biological activities of green extracts. </w:t>
      </w:r>
      <w:r>
        <w:rPr>
          <w:rFonts w:cs="Times New Roman" w:ascii="Times New Roman" w:hAnsi="Times New Roman"/>
          <w:i/>
          <w:iCs/>
          <w:color w:val="000000"/>
          <w:sz w:val="20"/>
          <w:szCs w:val="20"/>
          <w:lang w:val="en-US"/>
        </w:rPr>
        <w:t>Innovative Food Science &amp; Emerging Technologies, 80</w:t>
      </w:r>
      <w:r>
        <w:rPr>
          <w:rFonts w:cs="Times New Roman" w:ascii="Times New Roman" w:hAnsi="Times New Roman"/>
          <w:color w:val="000000"/>
          <w:sz w:val="20"/>
          <w:szCs w:val="20"/>
          <w:lang w:val="en-US"/>
        </w:rPr>
        <w:t>, 103066. doi:10.1016/j.ifset.2022.103066.</w:t>
      </w:r>
    </w:p>
    <w:p>
      <w:pPr>
        <w:pStyle w:val="Normal"/>
        <w:spacing w:lineRule="auto" w:line="240" w:before="0" w:after="0"/>
        <w:ind w:left="0" w:right="0" w:hanging="0"/>
        <w:jc w:val="both"/>
        <w:rPr>
          <w:rFonts w:ascii="Times New Roman" w:hAnsi="Times New Roman" w:cs="Times New Roman"/>
          <w:color w:val="000000"/>
          <w:sz w:val="20"/>
          <w:szCs w:val="20"/>
          <w:lang w:val="en-US"/>
        </w:rPr>
      </w:pPr>
      <w:r>
        <w:rPr/>
      </w:r>
    </w:p>
    <w:p>
      <w:pPr>
        <w:pStyle w:val="Normal"/>
        <w:spacing w:lineRule="auto" w:line="240" w:before="0" w:after="0"/>
        <w:ind w:left="0" w:right="0" w:hanging="0"/>
        <w:jc w:val="both"/>
        <w:rPr/>
      </w:pPr>
      <w:r>
        <w:rPr>
          <w:rFonts w:cs="Times New Roman" w:ascii="Times New Roman" w:hAnsi="Times New Roman"/>
          <w:color w:val="000000"/>
          <w:sz w:val="20"/>
          <w:szCs w:val="20"/>
          <w:lang w:val="en-US"/>
        </w:rPr>
        <w:t xml:space="preserve">GVR (2015). </w:t>
      </w:r>
      <w:r>
        <w:rPr>
          <w:rFonts w:cs="Times New Roman" w:ascii="Times New Roman" w:hAnsi="Times New Roman"/>
          <w:i/>
          <w:iCs/>
          <w:color w:val="000000"/>
          <w:sz w:val="20"/>
          <w:szCs w:val="20"/>
          <w:lang w:val="en-US"/>
        </w:rPr>
        <w:t>Bisphenol A market size, share &amp; trends analysis report by application (polycarbonates, epoxy resins) by region, and segment forecasts</w:t>
      </w:r>
      <w:r>
        <w:rPr>
          <w:rFonts w:cs="Times New Roman" w:ascii="Times New Roman" w:hAnsi="Times New Roman"/>
          <w:color w:val="000000"/>
          <w:sz w:val="20"/>
          <w:szCs w:val="20"/>
          <w:lang w:val="en-US"/>
        </w:rPr>
        <w:t xml:space="preserve">, 2018 – 2025. San Francisco: Bulk Chemicals. </w:t>
      </w:r>
      <w:hyperlink r:id="rId21">
        <w:r>
          <w:rPr>
            <w:rStyle w:val="EnlacedeInternet"/>
            <w:rFonts w:cs="Times New Roman" w:ascii="Times New Roman" w:hAnsi="Times New Roman"/>
            <w:color w:val="000000" w:themeColor="text1"/>
            <w:sz w:val="20"/>
            <w:szCs w:val="20"/>
            <w:u w:val="none"/>
            <w:lang w:val="en-US"/>
          </w:rPr>
          <w:t>https://www.grandviewresearch.com/industry-analysis/bisphenol-a-bpa-market</w:t>
        </w:r>
      </w:hyperlink>
      <w:r>
        <w:rPr>
          <w:rFonts w:cs="Times New Roman" w:ascii="Times New Roman" w:hAnsi="Times New Roman"/>
          <w:color w:val="000000" w:themeColor="text1"/>
          <w:sz w:val="20"/>
          <w:szCs w:val="20"/>
          <w:lang w:val="en-US"/>
        </w:rPr>
        <w:t>.</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Huschek, G., Rawel, H. M., Schweikert, T., Henkel-Oberländer, J., Sagu, S. T. (2022). Characterization and optimization of microwave-assisted extraction of B-phycoerythrin from </w:t>
      </w:r>
      <w:r>
        <w:rPr>
          <w:rFonts w:cs="Times New Roman" w:ascii="Times New Roman" w:hAnsi="Times New Roman"/>
          <w:i/>
          <w:iCs/>
          <w:color w:val="000000"/>
          <w:sz w:val="20"/>
          <w:szCs w:val="20"/>
          <w:lang w:val="en-US"/>
        </w:rPr>
        <w:t>Porphyridium purpureum</w:t>
      </w:r>
      <w:r>
        <w:rPr>
          <w:rFonts w:cs="Times New Roman" w:ascii="Times New Roman" w:hAnsi="Times New Roman"/>
          <w:color w:val="000000"/>
          <w:sz w:val="20"/>
          <w:szCs w:val="20"/>
          <w:lang w:val="en-US"/>
        </w:rPr>
        <w:t xml:space="preserve"> using response surface methodology and Doehlert design. </w:t>
      </w:r>
      <w:r>
        <w:rPr>
          <w:rFonts w:cs="Times New Roman" w:ascii="Times New Roman" w:hAnsi="Times New Roman"/>
          <w:i/>
          <w:iCs/>
          <w:color w:val="000000"/>
          <w:sz w:val="20"/>
          <w:szCs w:val="20"/>
          <w:lang w:val="en-US"/>
        </w:rPr>
        <w:t>Bioresource Technology Reports, 19</w:t>
      </w:r>
      <w:r>
        <w:rPr>
          <w:rFonts w:cs="Times New Roman" w:ascii="Times New Roman" w:hAnsi="Times New Roman"/>
          <w:color w:val="000000"/>
          <w:sz w:val="20"/>
          <w:szCs w:val="20"/>
          <w:lang w:val="en-US"/>
        </w:rPr>
        <w:t>, 101212. doi:10.1016/j.biteb.2022.101212.</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Ingrando, I., Rivoira, L., Castiglioni, M., Tumiatti, V., Lenzi, F., Pagliano, A., Bruzzoniti, M. C. (2022). Microwave-assisted extraction and gas chromatographic determination of thirty priority micropollutants in biowaste fraction derived from municipal solid waste for material recovery in the circular-economy approach. </w:t>
      </w:r>
      <w:r>
        <w:rPr>
          <w:rFonts w:cs="Times New Roman" w:ascii="Times New Roman" w:hAnsi="Times New Roman"/>
          <w:i/>
          <w:iCs/>
          <w:color w:val="000000"/>
          <w:sz w:val="20"/>
          <w:szCs w:val="20"/>
          <w:lang w:val="es-ES"/>
        </w:rPr>
        <w:t>Talanta, 241</w:t>
      </w:r>
      <w:r>
        <w:rPr>
          <w:rFonts w:cs="Times New Roman" w:ascii="Times New Roman" w:hAnsi="Times New Roman"/>
          <w:color w:val="000000"/>
          <w:sz w:val="20"/>
          <w:szCs w:val="20"/>
          <w:lang w:val="es-ES"/>
        </w:rPr>
        <w:t>, 123268. doi:10.1016/j.talanta.2022.123268.</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Jiao, Z., Guo, Z., Zhang, S., Chen, H., Xie, H., y Zeng, S. (2015). </w:t>
      </w:r>
      <w:r>
        <w:rPr>
          <w:rFonts w:cs="Times New Roman" w:ascii="Times New Roman" w:hAnsi="Times New Roman"/>
          <w:color w:val="000000"/>
          <w:sz w:val="20"/>
          <w:szCs w:val="20"/>
          <w:lang w:val="en-US"/>
        </w:rPr>
        <w:t xml:space="preserve">Novel estraction for endocrine disruptors in atmospheric particulate matter. </w:t>
      </w:r>
      <w:r>
        <w:rPr>
          <w:rFonts w:cs="Times New Roman" w:ascii="Times New Roman" w:hAnsi="Times New Roman"/>
          <w:i/>
          <w:iCs/>
          <w:color w:val="000000"/>
          <w:sz w:val="20"/>
          <w:szCs w:val="20"/>
          <w:lang w:val="en-US"/>
        </w:rPr>
        <w:t>Analytical Letters, 48</w:t>
      </w:r>
      <w:r>
        <w:rPr>
          <w:rFonts w:cs="Times New Roman" w:ascii="Times New Roman" w:hAnsi="Times New Roman"/>
          <w:color w:val="000000"/>
          <w:sz w:val="20"/>
          <w:szCs w:val="20"/>
          <w:lang w:val="en-US"/>
        </w:rPr>
        <w:t>, 1355-1366. doi:10.1080/0003232719.2014.981821.</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Kawa, I. A., Masood, A., Fatima, Q., Mir, S. A., Jeelani, H., Manzoor, S., Rashida, F. (2021). Endocrine disrupting chemical bisphenol A and its potential effects on female health. </w:t>
      </w:r>
      <w:r>
        <w:rPr>
          <w:rFonts w:cs="Times New Roman" w:ascii="Times New Roman" w:hAnsi="Times New Roman"/>
          <w:i/>
          <w:iCs/>
          <w:color w:val="000000"/>
          <w:sz w:val="20"/>
          <w:szCs w:val="20"/>
          <w:lang w:val="en-US"/>
        </w:rPr>
        <w:t>Diabetes &amp; Metabolic Syndrome: Clinical Research &amp; Reviews, 15</w:t>
      </w:r>
      <w:r>
        <w:rPr>
          <w:rFonts w:cs="Times New Roman" w:ascii="Times New Roman" w:hAnsi="Times New Roman"/>
          <w:color w:val="000000"/>
          <w:sz w:val="20"/>
          <w:szCs w:val="20"/>
          <w:lang w:val="en-US"/>
        </w:rPr>
        <w:t xml:space="preserve">(3), 803-811. doi:10.1016/j.dsx.2021.03.031. </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Keegan, J., Whelan, M., Danaher, M., Crooks, S., Sayers, R., Anastasio, A., Elliott, C., Brandon, D., Furey, A., O´kennedy, R. (2009). Benzimidazole carbamate residues in milk: Detection by Surface Plasmon Resonance-biosensor, using a modified QuEChERS (Quick, Easy, Cheap, Effective, Rugged and Safe) method for extraction. </w:t>
      </w:r>
      <w:r>
        <w:rPr>
          <w:rFonts w:cs="Times New Roman" w:ascii="Times New Roman" w:hAnsi="Times New Roman"/>
          <w:i/>
          <w:iCs/>
          <w:color w:val="000000"/>
          <w:sz w:val="20"/>
          <w:szCs w:val="20"/>
          <w:lang w:val="en-US"/>
        </w:rPr>
        <w:t>Analytica Chimica Acta, 654</w:t>
      </w:r>
      <w:r>
        <w:rPr>
          <w:rFonts w:cs="Times New Roman" w:ascii="Times New Roman" w:hAnsi="Times New Roman"/>
          <w:color w:val="000000"/>
          <w:sz w:val="20"/>
          <w:szCs w:val="20"/>
          <w:lang w:val="en-US"/>
        </w:rPr>
        <w:t>(2), 111-119. doi:10.1016/j.aca.2009.09.028.</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Kinsella, B., Lehotay, S. J., Mastovka, K., Lightfield, A. R., Furey, A., y Danaher, M. (2009). New method for the analysis of flukicide and other anthelmintic residues in bovine milk and liver using liquid chromatography–tandem mass spectrometry. </w:t>
      </w:r>
      <w:r>
        <w:rPr>
          <w:rFonts w:cs="Times New Roman" w:ascii="Times New Roman" w:hAnsi="Times New Roman"/>
          <w:i/>
          <w:iCs/>
          <w:color w:val="000000"/>
          <w:sz w:val="20"/>
          <w:szCs w:val="20"/>
          <w:lang w:val="es-ES"/>
        </w:rPr>
        <w:t>Analytica Chimica Acta, 637</w:t>
      </w:r>
      <w:r>
        <w:rPr>
          <w:rFonts w:cs="Times New Roman" w:ascii="Times New Roman" w:hAnsi="Times New Roman"/>
          <w:color w:val="000000"/>
          <w:sz w:val="20"/>
          <w:szCs w:val="20"/>
          <w:lang w:val="es-ES"/>
        </w:rPr>
        <w:t>(1-2), 196-207. doi:10.1016/j.aca.2008.10.072</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Klinsunthorn, N., Petsom, A., y Nhujak, T. (2011). </w:t>
      </w:r>
      <w:r>
        <w:rPr>
          <w:rFonts w:cs="Times New Roman" w:ascii="Times New Roman" w:hAnsi="Times New Roman"/>
          <w:color w:val="000000"/>
          <w:sz w:val="20"/>
          <w:szCs w:val="20"/>
          <w:lang w:val="en-US"/>
        </w:rPr>
        <w:t xml:space="preserve">Determination of steroids adulterated in liquid herbal medicines using QuEChERS sample preparation and high-performance liquid chromatography. </w:t>
      </w:r>
      <w:r>
        <w:rPr>
          <w:rFonts w:cs="Times New Roman" w:ascii="Times New Roman" w:hAnsi="Times New Roman"/>
          <w:i/>
          <w:iCs/>
          <w:color w:val="000000"/>
          <w:sz w:val="20"/>
          <w:szCs w:val="20"/>
          <w:lang w:val="en-US"/>
        </w:rPr>
        <w:t>Journal of Pharmaceutical and Biomedical Analysis, 55</w:t>
      </w:r>
      <w:r>
        <w:rPr>
          <w:rFonts w:cs="Times New Roman" w:ascii="Times New Roman" w:hAnsi="Times New Roman"/>
          <w:color w:val="000000"/>
          <w:sz w:val="20"/>
          <w:szCs w:val="20"/>
          <w:lang w:val="en-US"/>
        </w:rPr>
        <w:t>, 1175-1178. doi:10.1016/j.jpba.2011.03.046</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Kumirska, J., Łukaszewicz, P., Caban, M., Migowska, N., Plenis, A., Białk-Bielińska, A., Piotr, S. (2019). Determination of twenty pharmaceutical contaminants in soil using ultrasound-assisted extraction with gas chromatography-mass spectrometric detection. </w:t>
      </w:r>
      <w:r>
        <w:rPr>
          <w:rFonts w:cs="Times New Roman" w:ascii="Times New Roman" w:hAnsi="Times New Roman"/>
          <w:i/>
          <w:iCs/>
          <w:color w:val="000000"/>
          <w:sz w:val="20"/>
          <w:szCs w:val="20"/>
          <w:lang w:val="en-US"/>
        </w:rPr>
        <w:t>Chemosphere, 232</w:t>
      </w:r>
      <w:r>
        <w:rPr>
          <w:rFonts w:cs="Times New Roman" w:ascii="Times New Roman" w:hAnsi="Times New Roman"/>
          <w:color w:val="000000"/>
          <w:sz w:val="20"/>
          <w:szCs w:val="20"/>
          <w:lang w:val="en-US"/>
        </w:rPr>
        <w:t>, 232-242. doi:10.1016/j.chemosphere.2019.05.164</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Lehotay, S. J. (2011). QuEChERS Sample Preparation Approach for Mass Spectrometric Analysis of Pesticide Residues in Foods. En J. Zweigenbaum (ed.), </w:t>
      </w:r>
      <w:r>
        <w:rPr>
          <w:rFonts w:cs="Times New Roman" w:ascii="Times New Roman" w:hAnsi="Times New Roman"/>
          <w:i/>
          <w:iCs/>
          <w:color w:val="000000"/>
          <w:sz w:val="20"/>
          <w:szCs w:val="20"/>
          <w:lang w:val="en-US"/>
        </w:rPr>
        <w:t>Mass Spectrometry in Food Safety: Methods and Protocols</w:t>
      </w:r>
      <w:r>
        <w:rPr>
          <w:rFonts w:cs="Times New Roman" w:ascii="Times New Roman" w:hAnsi="Times New Roman"/>
          <w:color w:val="000000"/>
          <w:sz w:val="20"/>
          <w:szCs w:val="20"/>
          <w:lang w:val="en-US"/>
        </w:rPr>
        <w:t xml:space="preserve"> (65-91), Springer. doi: 10.1007/978-1-61779-136-9_4</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Lehotay, S. J., Maštovská, K., y Lightfield, A. R. (2005). Use of buffering and other means to improve results of problematic pesticides in a fast and easy method for residue analysis of fruits and vegetables. </w:t>
      </w:r>
      <w:r>
        <w:rPr>
          <w:rFonts w:cs="Times New Roman" w:ascii="Times New Roman" w:hAnsi="Times New Roman"/>
          <w:i/>
          <w:iCs/>
          <w:color w:val="000000"/>
          <w:sz w:val="20"/>
          <w:szCs w:val="20"/>
          <w:lang w:val="en-US"/>
        </w:rPr>
        <w:t>Journalof AOAC International, 88</w:t>
      </w:r>
      <w:r>
        <w:rPr>
          <w:rFonts w:cs="Times New Roman" w:ascii="Times New Roman" w:hAnsi="Times New Roman"/>
          <w:color w:val="000000"/>
          <w:sz w:val="20"/>
          <w:szCs w:val="20"/>
          <w:lang w:val="en-US"/>
        </w:rPr>
        <w:t>(2), 615-629. doi:10.1093/jaoac/88.2.615.</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Li, D., Oh, J. R., y Park, J. (2003). Direct extraction of alkylphenols, chlorophenols and bisphenol A from acid-digested sediment suspension for simultaneous gas chromatographic-mas spectrometric analysis. </w:t>
      </w:r>
      <w:r>
        <w:rPr>
          <w:rFonts w:cs="Times New Roman" w:ascii="Times New Roman" w:hAnsi="Times New Roman"/>
          <w:i/>
          <w:iCs/>
          <w:color w:val="000000"/>
          <w:sz w:val="20"/>
          <w:szCs w:val="20"/>
          <w:lang w:val="en-US"/>
        </w:rPr>
        <w:t>Journal of Chromatography A, 1012</w:t>
      </w:r>
      <w:r>
        <w:rPr>
          <w:rFonts w:cs="Times New Roman" w:ascii="Times New Roman" w:hAnsi="Times New Roman"/>
          <w:color w:val="000000"/>
          <w:sz w:val="20"/>
          <w:szCs w:val="20"/>
          <w:lang w:val="en-US"/>
        </w:rPr>
        <w:t>, 207-214. doi:10.1016/S0021-9673(03)01174-9.</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Lin, J., Deng, L., Sun, M., Wang, Y., Lee, S., Choi, K., Liu, X. (2021). An in vitro investigation of endocrine disrupting potentials of ten bisphenol analogues. </w:t>
      </w:r>
      <w:r>
        <w:rPr>
          <w:rFonts w:cs="Times New Roman" w:ascii="Times New Roman" w:hAnsi="Times New Roman"/>
          <w:i/>
          <w:iCs/>
          <w:color w:val="000000"/>
          <w:sz w:val="20"/>
          <w:szCs w:val="20"/>
          <w:lang w:val="en-US"/>
        </w:rPr>
        <w:t>Steroids, 169</w:t>
      </w:r>
      <w:r>
        <w:rPr>
          <w:rFonts w:cs="Times New Roman" w:ascii="Times New Roman" w:hAnsi="Times New Roman"/>
          <w:color w:val="000000"/>
          <w:sz w:val="20"/>
          <w:szCs w:val="20"/>
          <w:lang w:val="en-US"/>
        </w:rPr>
        <w:t>, 108826. doi:10.1016/j.steroids.2021.108826.</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Lin, S., Meng, X., Tan, C., Tong, Y., Wan, M., Wang, M., Zhao, Y., Deng, H., Kong, Y., Ma, Y. (2022). Composition and antioxidant activity of anthocyanins from Aronia melanocarpa extracted using an ultrasonic-microwave-assisted natural deep eutectic solvent extraction method. </w:t>
      </w:r>
      <w:r>
        <w:rPr>
          <w:rFonts w:cs="Times New Roman" w:ascii="Times New Roman" w:hAnsi="Times New Roman"/>
          <w:i/>
          <w:iCs/>
          <w:color w:val="000000"/>
          <w:sz w:val="20"/>
          <w:szCs w:val="20"/>
          <w:lang w:val="es-ES"/>
        </w:rPr>
        <w:t>Ultrasonics Sonochemistry, 89</w:t>
      </w:r>
      <w:r>
        <w:rPr>
          <w:rFonts w:cs="Times New Roman" w:ascii="Times New Roman" w:hAnsi="Times New Roman"/>
          <w:color w:val="000000"/>
          <w:sz w:val="20"/>
          <w:szCs w:val="20"/>
          <w:lang w:val="es-ES"/>
        </w:rPr>
        <w:t>, 106102. doi: 10.1016/j.ultsonch.2022.106102.</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Llorca-Pórcel, J., Martínez-Parreño, M., Martínez-Soriano, E., y Valor, I. (2009). </w:t>
      </w:r>
      <w:r>
        <w:rPr>
          <w:rFonts w:cs="Times New Roman" w:ascii="Times New Roman" w:hAnsi="Times New Roman"/>
          <w:color w:val="000000"/>
          <w:sz w:val="20"/>
          <w:szCs w:val="20"/>
          <w:lang w:val="en-US"/>
        </w:rPr>
        <w:t xml:space="preserve">Analysis oof chlorophrnols, bisphenol-A, 4-tert-octyphenol and 4-nonylphenols in soil by means of ultrasonic solvent extraction and stir bar sorptive extractiion with in situ derivatisation. </w:t>
      </w:r>
      <w:r>
        <w:rPr>
          <w:rFonts w:cs="Times New Roman" w:ascii="Times New Roman" w:hAnsi="Times New Roman"/>
          <w:i/>
          <w:iCs/>
          <w:color w:val="000000"/>
          <w:sz w:val="20"/>
          <w:szCs w:val="20"/>
          <w:lang w:val="en-US"/>
        </w:rPr>
        <w:t>journal of Chromatography A, 1216</w:t>
      </w:r>
      <w:r>
        <w:rPr>
          <w:rFonts w:cs="Times New Roman" w:ascii="Times New Roman" w:hAnsi="Times New Roman"/>
          <w:color w:val="000000"/>
          <w:sz w:val="20"/>
          <w:szCs w:val="20"/>
          <w:lang w:val="en-US"/>
        </w:rPr>
        <w:t>, 5955-5961. doi:10.1016-j.chroma.2009.06.043.</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López-Jiménez, F. J., Rosales-Marcano, M., y Rubio, S. (2013). </w:t>
      </w:r>
      <w:r>
        <w:rPr>
          <w:rFonts w:cs="Times New Roman" w:ascii="Times New Roman" w:hAnsi="Times New Roman"/>
          <w:color w:val="000000"/>
          <w:sz w:val="20"/>
          <w:szCs w:val="20"/>
          <w:lang w:val="en-US"/>
        </w:rPr>
        <w:t xml:space="preserve">Restricted access property supramolecular solvents for combined microextraction of endocrine disruptors in sediment and sample cleanup prior to their quantification by liquid chrmatography-tadem mass spectrometry. </w:t>
      </w:r>
      <w:r>
        <w:rPr>
          <w:rFonts w:cs="Times New Roman" w:ascii="Times New Roman" w:hAnsi="Times New Roman"/>
          <w:i/>
          <w:iCs/>
          <w:color w:val="000000"/>
          <w:sz w:val="20"/>
          <w:szCs w:val="20"/>
          <w:lang w:val="en-US"/>
        </w:rPr>
        <w:t>Journal of Chromatography A, 1303</w:t>
      </w:r>
      <w:r>
        <w:rPr>
          <w:rFonts w:cs="Times New Roman" w:ascii="Times New Roman" w:hAnsi="Times New Roman"/>
          <w:color w:val="000000"/>
          <w:sz w:val="20"/>
          <w:szCs w:val="20"/>
          <w:lang w:val="en-US"/>
        </w:rPr>
        <w:t>, 1-8. doi:10.1016/j.chroma.2013.06.043.</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Martín, S. H., Pinto, C. G., Pavón, J. L. P., y Cordero, B. M. (2010). Determination of trihalomethanes in soil matrices by simplified quick, easy, cheap, effective, rugged and safe extraction and fast gas chromatography with electron capture detection. </w:t>
      </w:r>
      <w:r>
        <w:rPr>
          <w:rFonts w:cs="Times New Roman" w:ascii="Times New Roman" w:hAnsi="Times New Roman"/>
          <w:i/>
          <w:iCs/>
          <w:color w:val="000000"/>
          <w:sz w:val="20"/>
          <w:szCs w:val="20"/>
          <w:lang w:val="en-US"/>
        </w:rPr>
        <w:t>Journal of Chromatography A, 1217</w:t>
      </w:r>
      <w:r>
        <w:rPr>
          <w:rFonts w:cs="Times New Roman" w:ascii="Times New Roman" w:hAnsi="Times New Roman"/>
          <w:color w:val="000000"/>
          <w:sz w:val="20"/>
          <w:szCs w:val="20"/>
          <w:lang w:val="en-US"/>
        </w:rPr>
        <w:t>(30), 4883-4889. doi:10.1016/j.chroma.2010.05.041.</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Mijangos, L., Bizkarguenaga, E., Prieto, A., Fernández, L. A., y Zuloaga, O. (2015). Simultaneous determination of a variety of endocrine disrupting compounds in carrot, lettuce and amended soil by means of focused ultrasonic solid–liquid extraction and dispersive solid-phase extraction as simplified clean-up strategy. </w:t>
      </w:r>
      <w:r>
        <w:rPr>
          <w:rFonts w:cs="Times New Roman" w:ascii="Times New Roman" w:hAnsi="Times New Roman"/>
          <w:i/>
          <w:iCs/>
          <w:color w:val="000000"/>
          <w:sz w:val="20"/>
          <w:szCs w:val="20"/>
          <w:lang w:val="en-US"/>
        </w:rPr>
        <w:t>Journal of Chromatography A, 1389</w:t>
      </w:r>
      <w:r>
        <w:rPr>
          <w:rFonts w:cs="Times New Roman" w:ascii="Times New Roman" w:hAnsi="Times New Roman"/>
          <w:color w:val="000000"/>
          <w:sz w:val="20"/>
          <w:szCs w:val="20"/>
          <w:lang w:val="en-US"/>
        </w:rPr>
        <w:t>, 8-18. doi:10.1016/j.chroma.2015.02.036.</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Mo, L., Wang, Q., y Bi, E. (2021). Effects of endogenous and exogenous dissolved organic matter on sorption behaviors of bisphenol A onto soils. </w:t>
      </w:r>
      <w:r>
        <w:rPr>
          <w:rFonts w:cs="Times New Roman" w:ascii="Times New Roman" w:hAnsi="Times New Roman"/>
          <w:i/>
          <w:iCs/>
          <w:color w:val="000000"/>
          <w:sz w:val="20"/>
          <w:szCs w:val="20"/>
          <w:lang w:val="en-US"/>
        </w:rPr>
        <w:t>Journal of Environmental Management, 287</w:t>
      </w:r>
      <w:r>
        <w:rPr>
          <w:rFonts w:cs="Times New Roman" w:ascii="Times New Roman" w:hAnsi="Times New Roman"/>
          <w:color w:val="000000"/>
          <w:sz w:val="20"/>
          <w:szCs w:val="20"/>
          <w:lang w:val="en-US"/>
        </w:rPr>
        <w:t>, 112312. doi:10.1016/j.jenvman.2021.112312.</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Morales, A., Ruiz, I., Oliva, J., y Barba, A. (2007). Determination of sixteen pesticides in peppers using high-performance liquid chromatography/mass spectrometry. </w:t>
      </w:r>
      <w:r>
        <w:rPr>
          <w:rFonts w:cs="Times New Roman" w:ascii="Times New Roman" w:hAnsi="Times New Roman"/>
          <w:i/>
          <w:iCs/>
          <w:color w:val="000000"/>
          <w:sz w:val="20"/>
          <w:szCs w:val="20"/>
          <w:lang w:val="en-US"/>
        </w:rPr>
        <w:t>Journal of Environmental Science an Health, Part B: Crop protection, public health, environmental safety,</w:t>
      </w:r>
      <w:r>
        <w:rPr>
          <w:rFonts w:cs="Times New Roman" w:ascii="Times New Roman" w:hAnsi="Times New Roman"/>
          <w:color w:val="000000"/>
          <w:sz w:val="20"/>
          <w:szCs w:val="20"/>
          <w:lang w:val="en-US"/>
        </w:rPr>
        <w:t xml:space="preserve"> </w:t>
      </w:r>
      <w:r>
        <w:rPr>
          <w:rFonts w:cs="Times New Roman" w:ascii="Times New Roman" w:hAnsi="Times New Roman"/>
          <w:i/>
          <w:iCs/>
          <w:color w:val="000000"/>
          <w:sz w:val="20"/>
          <w:szCs w:val="20"/>
          <w:lang w:val="en-US"/>
        </w:rPr>
        <w:t>46</w:t>
      </w:r>
      <w:r>
        <w:rPr>
          <w:rFonts w:cs="Times New Roman" w:ascii="Times New Roman" w:hAnsi="Times New Roman"/>
          <w:color w:val="000000"/>
          <w:sz w:val="20"/>
          <w:szCs w:val="20"/>
          <w:lang w:val="en-US"/>
        </w:rPr>
        <w:t>(6), 439-458. doi:10.1080/03601234.2011.583873.</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Nyaba, L., y Nomngongo, P. N. (2020). </w:t>
      </w:r>
      <w:r>
        <w:rPr>
          <w:rFonts w:cs="Times New Roman" w:ascii="Times New Roman" w:hAnsi="Times New Roman"/>
          <w:color w:val="000000"/>
          <w:sz w:val="20"/>
          <w:szCs w:val="20"/>
          <w:lang w:val="en-US"/>
        </w:rPr>
        <w:t xml:space="preserve">Determination of trace metals in vegetables and water samples using dispersive ultrasound-assisted cloud point-dispersive µ-solid phase extraction coupled with inductively coupled plasma optical emission spectrometry. </w:t>
      </w:r>
      <w:r>
        <w:rPr>
          <w:rFonts w:cs="Times New Roman" w:ascii="Times New Roman" w:hAnsi="Times New Roman"/>
          <w:i/>
          <w:iCs/>
          <w:color w:val="000000"/>
          <w:sz w:val="20"/>
          <w:szCs w:val="20"/>
          <w:lang w:val="en-US"/>
        </w:rPr>
        <w:t>Food Chemistry, 322</w:t>
      </w:r>
      <w:r>
        <w:rPr>
          <w:rFonts w:cs="Times New Roman" w:ascii="Times New Roman" w:hAnsi="Times New Roman"/>
          <w:color w:val="000000"/>
          <w:sz w:val="20"/>
          <w:szCs w:val="20"/>
          <w:lang w:val="en-US"/>
        </w:rPr>
        <w:t>(30), 126749. doi:10.1016/j.foodchem.2020.126749</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Ohore, O. E., y Zhang, Z. (2019). Endocrine disrupting effects of bisphenol A exposure and recent advances on its removal by water treatment systems. </w:t>
      </w:r>
      <w:r>
        <w:rPr>
          <w:rFonts w:cs="Times New Roman" w:ascii="Times New Roman" w:hAnsi="Times New Roman"/>
          <w:color w:val="000000"/>
          <w:sz w:val="20"/>
          <w:szCs w:val="20"/>
          <w:lang w:val="es-ES"/>
        </w:rPr>
        <w:t xml:space="preserve">A review. </w:t>
      </w:r>
      <w:r>
        <w:rPr>
          <w:rFonts w:cs="Times New Roman" w:ascii="Times New Roman" w:hAnsi="Times New Roman"/>
          <w:i/>
          <w:iCs/>
          <w:color w:val="000000"/>
          <w:sz w:val="20"/>
          <w:szCs w:val="20"/>
          <w:lang w:val="es-ES"/>
        </w:rPr>
        <w:t>Scientific African, 5</w:t>
      </w:r>
      <w:r>
        <w:rPr>
          <w:rFonts w:cs="Times New Roman" w:ascii="Times New Roman" w:hAnsi="Times New Roman"/>
          <w:color w:val="000000"/>
          <w:sz w:val="20"/>
          <w:szCs w:val="20"/>
          <w:lang w:val="es-ES"/>
        </w:rPr>
        <w:t>, e00135. doi:10.1016/j.sciaf.2019.e00135.</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Paíga, P., Morais, S., Oliva-Teles, T., Correia, M., Delerue-Matos, Duarte, S. C., Lino, C. M. (2012). </w:t>
      </w:r>
      <w:r>
        <w:rPr>
          <w:rFonts w:cs="Times New Roman" w:ascii="Times New Roman" w:hAnsi="Times New Roman"/>
          <w:color w:val="000000"/>
          <w:sz w:val="20"/>
          <w:szCs w:val="20"/>
          <w:lang w:val="en-US"/>
        </w:rPr>
        <w:t xml:space="preserve">Extraction of ochratoxin A in bread samples by the QuEChERS methodology. </w:t>
      </w:r>
      <w:r>
        <w:rPr>
          <w:rFonts w:cs="Times New Roman" w:ascii="Times New Roman" w:hAnsi="Times New Roman"/>
          <w:i/>
          <w:iCs/>
          <w:color w:val="000000"/>
          <w:sz w:val="20"/>
          <w:szCs w:val="20"/>
          <w:lang w:val="en-US"/>
        </w:rPr>
        <w:t>Food Chemistry, 135</w:t>
      </w:r>
      <w:r>
        <w:rPr>
          <w:rFonts w:cs="Times New Roman" w:ascii="Times New Roman" w:hAnsi="Times New Roman"/>
          <w:color w:val="000000"/>
          <w:sz w:val="20"/>
          <w:szCs w:val="20"/>
          <w:lang w:val="en-US"/>
        </w:rPr>
        <w:t>, 2522-2528. doi:10.1016/j.foodchem.2012.06.045</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Peng, G., Lu, Y., You, W., Yin, Z., Li, Y., y Gao, Y. (2020). Analysis of five bisphenol compounds in sewage sludge by dispersiive solid-phase extraction with magnetic montmorillonite. </w:t>
      </w:r>
      <w:r>
        <w:rPr>
          <w:rFonts w:cs="Times New Roman" w:ascii="Times New Roman" w:hAnsi="Times New Roman"/>
          <w:i/>
          <w:iCs/>
          <w:color w:val="000000"/>
          <w:sz w:val="20"/>
          <w:szCs w:val="20"/>
          <w:lang w:val="en-US"/>
        </w:rPr>
        <w:t>Microchemical Journal, 157</w:t>
      </w:r>
      <w:r>
        <w:rPr>
          <w:rFonts w:cs="Times New Roman" w:ascii="Times New Roman" w:hAnsi="Times New Roman"/>
          <w:color w:val="000000"/>
          <w:sz w:val="20"/>
          <w:szCs w:val="20"/>
          <w:lang w:val="en-US"/>
        </w:rPr>
        <w:t>, 105040. doi:10.1016/j.microc.2020.105040.</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Pojana, G., Gomiero, A., Jonkers, N., y Marcomini, A. (2007). Natural and synthetic endocrine disrupting compounds (EDCs) in water, sediment and biota of a coastal lagoon. </w:t>
      </w:r>
      <w:r>
        <w:rPr>
          <w:rFonts w:cs="Times New Roman" w:ascii="Times New Roman" w:hAnsi="Times New Roman"/>
          <w:i/>
          <w:iCs/>
          <w:color w:val="000000"/>
          <w:sz w:val="20"/>
          <w:szCs w:val="20"/>
          <w:lang w:val="en-US"/>
        </w:rPr>
        <w:t>Environment International, 33</w:t>
      </w:r>
      <w:r>
        <w:rPr>
          <w:rFonts w:cs="Times New Roman" w:ascii="Times New Roman" w:hAnsi="Times New Roman"/>
          <w:color w:val="000000"/>
          <w:sz w:val="20"/>
          <w:szCs w:val="20"/>
          <w:lang w:val="en-US"/>
        </w:rPr>
        <w:t>(7), 929-936. doi:10.1016/j.envint.2007.05.003.</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Rajendran, S., Priya, A. K., Kumar, P. S., Hoang, T. K., Sekar, K., Chong, K. Y., Show, P. L. (2022). A critical and recent developments on adsorption technique for removal of heavy metals from wastewater - A review. </w:t>
      </w:r>
      <w:r>
        <w:rPr>
          <w:rFonts w:cs="Times New Roman" w:ascii="Times New Roman" w:hAnsi="Times New Roman"/>
          <w:i/>
          <w:iCs/>
          <w:color w:val="000000"/>
          <w:sz w:val="20"/>
          <w:szCs w:val="20"/>
          <w:lang w:val="es-ES"/>
        </w:rPr>
        <w:t>Chemosphere, 303</w:t>
      </w:r>
      <w:r>
        <w:rPr>
          <w:rFonts w:cs="Times New Roman" w:ascii="Times New Roman" w:hAnsi="Times New Roman"/>
          <w:color w:val="000000"/>
          <w:sz w:val="20"/>
          <w:szCs w:val="20"/>
          <w:lang w:val="es-ES"/>
        </w:rPr>
        <w:t>(2), 135146. doi:10.1016/j.chemosphere.2022.135146</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Rocha, B. A., y Júnior, F. B. (2014). Contaminantes emergerntes (1° Capítulo): Bisfenol A e análogos. </w:t>
      </w:r>
      <w:r>
        <w:rPr>
          <w:rFonts w:cs="Times New Roman" w:ascii="Times New Roman" w:hAnsi="Times New Roman"/>
          <w:i/>
          <w:iCs/>
          <w:color w:val="000000"/>
          <w:sz w:val="20"/>
          <w:szCs w:val="20"/>
          <w:lang w:val="es-ES"/>
        </w:rPr>
        <w:t>Nanocell News, 2</w:t>
      </w:r>
      <w:r>
        <w:rPr>
          <w:rFonts w:cs="Times New Roman" w:ascii="Times New Roman" w:hAnsi="Times New Roman"/>
          <w:color w:val="000000"/>
          <w:sz w:val="20"/>
          <w:szCs w:val="20"/>
          <w:lang w:val="es-ES"/>
        </w:rPr>
        <w:t>(1), 1-4. doi:10.15729/nanocellnews.2014.09.29.002.</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Rodríguez-Riera, Z., Robania-Mesa, M., Jáuregui-Haza, U., Blanco-González, A., y Rodríguez-Chanfrau, J. E. (2014). Empleo de la radiación ultrasónica para la extracción de compuestos bioactivos provenientes de fuentes naturales. Estado actual y perspectivas</w:t>
      </w:r>
      <w:r>
        <w:rPr>
          <w:rFonts w:cs="Times New Roman" w:ascii="Times New Roman" w:hAnsi="Times New Roman"/>
          <w:i/>
          <w:iCs/>
          <w:color w:val="000000"/>
          <w:sz w:val="20"/>
          <w:szCs w:val="20"/>
          <w:lang w:val="es-ES"/>
        </w:rPr>
        <w:t>. Revista CENIC Ciencias Químicas, 45</w:t>
      </w:r>
      <w:r>
        <w:rPr>
          <w:rFonts w:cs="Times New Roman" w:ascii="Times New Roman" w:hAnsi="Times New Roman"/>
          <w:color w:val="000000"/>
          <w:sz w:val="20"/>
          <w:szCs w:val="20"/>
          <w:lang w:val="es-ES"/>
        </w:rPr>
        <w:t>, 139-147.</w:t>
      </w:r>
    </w:p>
    <w:p>
      <w:pPr>
        <w:pStyle w:val="Normal"/>
        <w:spacing w:lineRule="auto" w:line="240" w:before="0" w:after="0"/>
        <w:ind w:left="0" w:right="0" w:hanging="0"/>
        <w:jc w:val="both"/>
        <w:rPr>
          <w:rFonts w:ascii="Times New Roman" w:hAnsi="Times New Roman" w:cs="Times New Roman"/>
          <w:color w:val="000000"/>
          <w:sz w:val="20"/>
          <w:szCs w:val="20"/>
          <w:lang w:val="es-ES"/>
        </w:rPr>
      </w:pPr>
      <w:r>
        <w:rPr/>
      </w:r>
    </w:p>
    <w:p>
      <w:pPr>
        <w:pStyle w:val="Normal"/>
        <w:spacing w:lineRule="auto" w:line="240" w:before="0" w:after="0"/>
        <w:ind w:left="0" w:right="0" w:hanging="0"/>
        <w:jc w:val="both"/>
        <w:rPr/>
      </w:pPr>
      <w:r>
        <w:rPr>
          <w:rFonts w:cs="Times New Roman" w:ascii="Times New Roman" w:hAnsi="Times New Roman"/>
          <w:color w:val="000000"/>
          <w:sz w:val="20"/>
          <w:szCs w:val="20"/>
          <w:lang w:val="es-ES"/>
        </w:rPr>
        <w:t xml:space="preserve">Rogers, J. A., Metz, L., Yong, V. W. (2013). </w:t>
      </w:r>
      <w:r>
        <w:rPr>
          <w:rFonts w:cs="Times New Roman" w:ascii="Times New Roman" w:hAnsi="Times New Roman"/>
          <w:color w:val="000000"/>
          <w:sz w:val="20"/>
          <w:szCs w:val="20"/>
          <w:lang w:val="en-US"/>
        </w:rPr>
        <w:t xml:space="preserve">Review: Endocrine disrupting chemicals and immune responses: A focus on bisphenol-A and its potential mechanisms. </w:t>
      </w:r>
      <w:r>
        <w:rPr>
          <w:rFonts w:cs="Times New Roman" w:ascii="Times New Roman" w:hAnsi="Times New Roman"/>
          <w:i/>
          <w:iCs/>
          <w:color w:val="000000"/>
          <w:sz w:val="20"/>
          <w:szCs w:val="20"/>
          <w:lang w:val="es-ES"/>
        </w:rPr>
        <w:t>Molecular Immunology, 53</w:t>
      </w:r>
      <w:r>
        <w:rPr>
          <w:rFonts w:cs="Times New Roman" w:ascii="Times New Roman" w:hAnsi="Times New Roman"/>
          <w:color w:val="000000"/>
          <w:sz w:val="20"/>
          <w:szCs w:val="20"/>
          <w:lang w:val="es-ES"/>
        </w:rPr>
        <w:t xml:space="preserve">(4), 421-430. doi: </w:t>
      </w:r>
      <w:hyperlink r:id="rId22" w:tgtFrame="Enlace persistente usando identificador de objeto digital">
        <w:r>
          <w:rPr>
            <w:rFonts w:cs="Times New Roman" w:ascii="Times New Roman" w:hAnsi="Times New Roman"/>
            <w:color w:val="000000"/>
            <w:sz w:val="20"/>
            <w:szCs w:val="20"/>
            <w:lang w:val="es-ES"/>
          </w:rPr>
          <w:t>10.1016/j.molimm.2012.09.013</w:t>
        </w:r>
      </w:hyperlink>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Saha, S., Narayanan, N., Singh, N., y Gupta, S. (2021). </w:t>
      </w:r>
      <w:r>
        <w:rPr>
          <w:rFonts w:cs="Times New Roman" w:ascii="Times New Roman" w:hAnsi="Times New Roman"/>
          <w:color w:val="000000"/>
          <w:sz w:val="20"/>
          <w:szCs w:val="20"/>
          <w:lang w:val="en-US"/>
        </w:rPr>
        <w:t xml:space="preserve">Occurrence of endocrine disrupting chemicals (EDCs) in river water, ground water and agricultural soils of India. </w:t>
      </w:r>
      <w:r>
        <w:rPr>
          <w:rFonts w:cs="Times New Roman" w:ascii="Times New Roman" w:hAnsi="Times New Roman"/>
          <w:i/>
          <w:iCs/>
          <w:color w:val="000000"/>
          <w:sz w:val="20"/>
          <w:szCs w:val="20"/>
          <w:lang w:val="en-US"/>
        </w:rPr>
        <w:t>International Journal of Environmental Science and Technology</w:t>
      </w:r>
      <w:r>
        <w:rPr>
          <w:rFonts w:cs="Times New Roman" w:ascii="Times New Roman" w:hAnsi="Times New Roman"/>
          <w:color w:val="000000"/>
          <w:sz w:val="20"/>
          <w:szCs w:val="20"/>
          <w:lang w:val="en-US"/>
        </w:rPr>
        <w:t>, 1-16. doi:10.1007/s13762-021-03858-2.</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Sajid, M., Nazal, M. K., y Ihsanullah, I. (2020). Novel materials for dispersive (micro) solid-phase extraction of polycyclic aromatic hydrocarbons in environmental water samples: A review. </w:t>
      </w:r>
      <w:r>
        <w:rPr>
          <w:rFonts w:cs="Times New Roman" w:ascii="Times New Roman" w:hAnsi="Times New Roman"/>
          <w:i/>
          <w:iCs/>
          <w:color w:val="000000"/>
          <w:sz w:val="20"/>
          <w:szCs w:val="20"/>
          <w:lang w:val="es-ES"/>
        </w:rPr>
        <w:t>Analytica Chimica Acta, 1141</w:t>
      </w:r>
      <w:r>
        <w:rPr>
          <w:rFonts w:cs="Times New Roman" w:ascii="Times New Roman" w:hAnsi="Times New Roman"/>
          <w:color w:val="000000"/>
          <w:sz w:val="20"/>
          <w:szCs w:val="20"/>
          <w:lang w:val="es-ES"/>
        </w:rPr>
        <w:t>, 246-262. doi:10.1016/j.aca.2020.07.064</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Salgueiro-González, N., Turnes-Carou, I., Muniategui-Lorenzo, S., López-Mahía, P., y Prada-Rodríguez, D. (2014). </w:t>
      </w:r>
      <w:r>
        <w:rPr>
          <w:rFonts w:cs="Times New Roman" w:ascii="Times New Roman" w:hAnsi="Times New Roman"/>
          <w:color w:val="000000"/>
          <w:sz w:val="20"/>
          <w:szCs w:val="20"/>
          <w:lang w:val="en-US"/>
        </w:rPr>
        <w:t xml:space="preserve">Analysis of endocrine disruptor compounds in marine sediments by in cell cleand up-pressurized liquid extraction-liquid chomatography tadem mass spectrometry determination. </w:t>
      </w:r>
      <w:r>
        <w:rPr>
          <w:rFonts w:cs="Times New Roman" w:ascii="Times New Roman" w:hAnsi="Times New Roman"/>
          <w:i/>
          <w:iCs/>
          <w:color w:val="000000"/>
          <w:sz w:val="20"/>
          <w:szCs w:val="20"/>
          <w:lang w:val="es-ES"/>
        </w:rPr>
        <w:t>Analytica Chimica Acta, 852</w:t>
      </w:r>
      <w:r>
        <w:rPr>
          <w:rFonts w:cs="Times New Roman" w:ascii="Times New Roman" w:hAnsi="Times New Roman"/>
          <w:color w:val="000000"/>
          <w:sz w:val="20"/>
          <w:szCs w:val="20"/>
          <w:lang w:val="es-ES"/>
        </w:rPr>
        <w:t>, 112-120. doi:10.1016/j.aca.2014.09.041.</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Salvia, M. V., Vulliet, E., Wiest, L., Baudot, R., Cren-Olive, C. (2012). </w:t>
      </w:r>
      <w:r>
        <w:rPr>
          <w:rFonts w:cs="Times New Roman" w:ascii="Times New Roman" w:hAnsi="Times New Roman"/>
          <w:color w:val="000000"/>
          <w:sz w:val="20"/>
          <w:szCs w:val="20"/>
          <w:lang w:val="en-US"/>
        </w:rPr>
        <w:t xml:space="preserve">Development of a multi-residue method using acetonitrile-based extraction followed by liquid chromatography–tandem mass spectrometry for the analysis of steroids and veterinary and human drugs at trace levels in soil. </w:t>
      </w:r>
      <w:r>
        <w:rPr>
          <w:rFonts w:cs="Times New Roman" w:ascii="Times New Roman" w:hAnsi="Times New Roman"/>
          <w:i/>
          <w:iCs/>
          <w:color w:val="000000"/>
          <w:sz w:val="20"/>
          <w:szCs w:val="20"/>
          <w:lang w:val="es-ES"/>
        </w:rPr>
        <w:t>Journal of Chromatography A, 1245,</w:t>
      </w:r>
      <w:r>
        <w:rPr>
          <w:rFonts w:cs="Times New Roman" w:ascii="Times New Roman" w:hAnsi="Times New Roman"/>
          <w:color w:val="000000"/>
          <w:sz w:val="20"/>
          <w:szCs w:val="20"/>
          <w:lang w:val="es-ES"/>
        </w:rPr>
        <w:t xml:space="preserve"> 122-133. doi:10.1016/j.chroma.2012.05.034.</w:t>
      </w:r>
    </w:p>
    <w:p>
      <w:pPr>
        <w:pStyle w:val="Normal"/>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Sánchez-Martínez, J. D., Alvarez-Rivera, G., Gallego, R., Fagundes, M. B., Valdés, A., Mendiola, J. A., Ibañez, E., Cifuentes, A. (2022). </w:t>
      </w:r>
      <w:r>
        <w:rPr>
          <w:rFonts w:cs="Times New Roman" w:ascii="Times New Roman" w:hAnsi="Times New Roman"/>
          <w:color w:val="000000"/>
          <w:sz w:val="20"/>
          <w:szCs w:val="20"/>
          <w:lang w:val="en-US"/>
        </w:rPr>
        <w:t xml:space="preserve">Neuroprotective potential of terpenoid-rich extracts from orange juice by-products obtained by pressurized liquid extraction. </w:t>
      </w:r>
      <w:r>
        <w:rPr>
          <w:rFonts w:cs="Times New Roman" w:ascii="Times New Roman" w:hAnsi="Times New Roman"/>
          <w:i/>
          <w:iCs/>
          <w:color w:val="000000"/>
          <w:sz w:val="20"/>
          <w:szCs w:val="20"/>
          <w:lang w:val="en-US"/>
        </w:rPr>
        <w:t>Food Chemistry: X, 13</w:t>
      </w:r>
      <w:r>
        <w:rPr>
          <w:rFonts w:cs="Times New Roman" w:ascii="Times New Roman" w:hAnsi="Times New Roman"/>
          <w:color w:val="000000"/>
          <w:sz w:val="20"/>
          <w:szCs w:val="20"/>
          <w:lang w:val="en-US"/>
        </w:rPr>
        <w:t>, 100242. doi: 10.1016/j.fochx.2022.100242.</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Stubbings, G., y Bigwood, T. (2009). The development and validation of a multiclass liquid chromatography tandem mass spectrometry (LC–MS/MS) procedure for the determination of veterinary drug residues in animal tissue using a QuEChERS (Quick, Easy, Cheap, Effective, Rugged and Safe) approach. </w:t>
      </w:r>
      <w:r>
        <w:rPr>
          <w:rFonts w:cs="Times New Roman" w:ascii="Times New Roman" w:hAnsi="Times New Roman"/>
          <w:i/>
          <w:iCs/>
          <w:color w:val="000000"/>
          <w:sz w:val="20"/>
          <w:szCs w:val="20"/>
          <w:lang w:val="es-ES"/>
        </w:rPr>
        <w:t>Analytica Chimica Acta, 637</w:t>
      </w:r>
      <w:r>
        <w:rPr>
          <w:rFonts w:cs="Times New Roman" w:ascii="Times New Roman" w:hAnsi="Times New Roman"/>
          <w:color w:val="000000"/>
          <w:sz w:val="20"/>
          <w:szCs w:val="20"/>
          <w:lang w:val="es-ES"/>
        </w:rPr>
        <w:t>(1-2), 68-78. doi:10.1016/j.aca.2009.01.029.</w:t>
      </w:r>
    </w:p>
    <w:p>
      <w:pPr>
        <w:pStyle w:val="Normal"/>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Torrijos, R. C., Mariño, I. G., Goyanes, R. M., Álvarez, J. B. Q., Criado, M. R., Rodríguez, M. R. R., Pereiro, I. R. (2006).Sample Preparation Strategies for Analytical Determinations. </w:t>
      </w:r>
      <w:r>
        <w:rPr>
          <w:rFonts w:cs="Times New Roman" w:ascii="Times New Roman" w:hAnsi="Times New Roman"/>
          <w:i/>
          <w:iCs/>
          <w:color w:val="000000"/>
          <w:sz w:val="20"/>
          <w:szCs w:val="20"/>
          <w:lang w:val="en-US"/>
        </w:rPr>
        <w:t>Encyclopedia of Analytical Chemistry: Applications, Theory and Instrumentation,</w:t>
      </w:r>
      <w:r>
        <w:rPr>
          <w:rFonts w:cs="Times New Roman" w:ascii="Times New Roman" w:hAnsi="Times New Roman"/>
          <w:color w:val="000000"/>
          <w:sz w:val="20"/>
          <w:szCs w:val="20"/>
          <w:lang w:val="en-US"/>
        </w:rPr>
        <w:t xml:space="preserve">  1-132. doi: 10.1002/9780470027318.a9392.pub2. </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Ueno, S. I., Fujita, T., Kuchar, D., Kubota, M., y Matsuda, H. (2009). </w:t>
      </w:r>
      <w:r>
        <w:rPr>
          <w:rFonts w:cs="Times New Roman" w:ascii="Times New Roman" w:hAnsi="Times New Roman"/>
          <w:color w:val="000000"/>
          <w:sz w:val="20"/>
          <w:szCs w:val="20"/>
          <w:lang w:val="en-US"/>
        </w:rPr>
        <w:t xml:space="preserve">Ultrasound assisted extraction and decomposition of Cl-containing herbicide involved in model soil. </w:t>
      </w:r>
      <w:r>
        <w:rPr>
          <w:rFonts w:cs="Times New Roman" w:ascii="Times New Roman" w:hAnsi="Times New Roman"/>
          <w:i/>
          <w:iCs/>
          <w:color w:val="000000"/>
          <w:sz w:val="20"/>
          <w:szCs w:val="20"/>
          <w:lang w:val="en-US"/>
        </w:rPr>
        <w:t>Ultrasonics Sonochemistry, 16</w:t>
      </w:r>
      <w:r>
        <w:rPr>
          <w:rFonts w:cs="Times New Roman" w:ascii="Times New Roman" w:hAnsi="Times New Roman"/>
          <w:color w:val="000000"/>
          <w:sz w:val="20"/>
          <w:szCs w:val="20"/>
          <w:lang w:val="en-US"/>
        </w:rPr>
        <w:t>(1), 169-175. doi:10.1016/j.ultsonch.2008.05.013</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Usman, A., Ikhlas, S., Ahmad, M. (2019). Occurrence, toxicity and endocrine disrupting potential of Bisphenol-B and Bisphenol-F: A mini-review. </w:t>
      </w:r>
      <w:r>
        <w:rPr>
          <w:rFonts w:cs="Times New Roman" w:ascii="Times New Roman" w:hAnsi="Times New Roman"/>
          <w:i/>
          <w:iCs/>
          <w:color w:val="000000"/>
          <w:sz w:val="20"/>
          <w:szCs w:val="20"/>
          <w:lang w:val="es-ES"/>
        </w:rPr>
        <w:t>Toxicology Letters, 312</w:t>
      </w:r>
      <w:r>
        <w:rPr>
          <w:rFonts w:cs="Times New Roman" w:ascii="Times New Roman" w:hAnsi="Times New Roman"/>
          <w:color w:val="000000"/>
          <w:sz w:val="20"/>
          <w:szCs w:val="20"/>
          <w:lang w:val="es-ES"/>
        </w:rPr>
        <w:t>, 222-227. doi: 10.1016/j.toxlet.2019.05.018.</w:t>
      </w:r>
    </w:p>
    <w:p>
      <w:pPr>
        <w:pStyle w:val="Bibliography"/>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Viera-Santana, S., y Santana-Rodríguez, J. J. (2013). Técnicas analíticas avenzadas para la extracción y preconcentración de contaminantes emergentes en muestras líquidas. </w:t>
      </w:r>
      <w:r>
        <w:rPr>
          <w:rFonts w:cs="Times New Roman" w:ascii="Times New Roman" w:hAnsi="Times New Roman"/>
          <w:i/>
          <w:iCs/>
          <w:color w:val="000000"/>
          <w:sz w:val="20"/>
          <w:szCs w:val="20"/>
          <w:lang w:val="es-ES"/>
        </w:rPr>
        <w:t>Revista de la Academia Canaria de Ciencias, 25</w:t>
      </w:r>
      <w:r>
        <w:rPr>
          <w:rFonts w:cs="Times New Roman" w:ascii="Times New Roman" w:hAnsi="Times New Roman"/>
          <w:color w:val="000000"/>
          <w:sz w:val="20"/>
          <w:szCs w:val="20"/>
          <w:lang w:val="es-ES"/>
        </w:rPr>
        <w:t>(2), 77-95.</w:t>
      </w:r>
    </w:p>
    <w:p>
      <w:pPr>
        <w:pStyle w:val="Normal"/>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Wang, M., Morón-Ortiz, A., Zhou, J., Benítez-González, A., Mapelli-Brahm, P., Meléndez-Martínez, A. J., Barba, F. J. (2022). </w:t>
      </w:r>
      <w:r>
        <w:rPr>
          <w:rFonts w:cs="Times New Roman" w:ascii="Times New Roman" w:hAnsi="Times New Roman"/>
          <w:color w:val="000000"/>
          <w:sz w:val="20"/>
          <w:szCs w:val="20"/>
          <w:lang w:val="en-US"/>
        </w:rPr>
        <w:t xml:space="preserve">Effects of Pressurized Liquid Extraction with dimethyl sulfoxide on the recovery of carotenoids and other dietary valuable compounds from the microalgae </w:t>
      </w:r>
      <w:r>
        <w:rPr>
          <w:rFonts w:cs="Times New Roman" w:ascii="Times New Roman" w:hAnsi="Times New Roman"/>
          <w:i/>
          <w:iCs/>
          <w:color w:val="000000"/>
          <w:sz w:val="20"/>
          <w:szCs w:val="20"/>
          <w:lang w:val="en-US"/>
        </w:rPr>
        <w:t>Spirulina, Chlorella and Phaeodactylum tricornutum</w:t>
      </w:r>
      <w:r>
        <w:rPr>
          <w:rFonts w:cs="Times New Roman" w:ascii="Times New Roman" w:hAnsi="Times New Roman"/>
          <w:color w:val="000000"/>
          <w:sz w:val="20"/>
          <w:szCs w:val="20"/>
          <w:lang w:val="en-US"/>
        </w:rPr>
        <w:t xml:space="preserve">. </w:t>
      </w:r>
      <w:r>
        <w:rPr>
          <w:rFonts w:cs="Times New Roman" w:ascii="Times New Roman" w:hAnsi="Times New Roman"/>
          <w:i/>
          <w:iCs/>
          <w:color w:val="000000"/>
          <w:sz w:val="20"/>
          <w:szCs w:val="20"/>
          <w:lang w:val="en-US"/>
        </w:rPr>
        <w:t>Food Chemistry</w:t>
      </w:r>
      <w:r>
        <w:rPr>
          <w:rFonts w:cs="Times New Roman" w:ascii="Times New Roman" w:hAnsi="Times New Roman"/>
          <w:color w:val="000000"/>
          <w:sz w:val="20"/>
          <w:szCs w:val="20"/>
          <w:lang w:val="en-US"/>
        </w:rPr>
        <w:t>, 134885. doi: 10.1016/j.foodchem.2022.134885.</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Wang, X., Chen, J., Yan, X., Wang, X., Zhang, J., Huang, J., y Zhao, J. (2015). Heavy metal chemical extraction from industrial and municipal mixed sludge by ultrasound-assisted citric acid. </w:t>
      </w:r>
      <w:r>
        <w:rPr>
          <w:rFonts w:cs="Times New Roman" w:ascii="Times New Roman" w:hAnsi="Times New Roman"/>
          <w:i/>
          <w:iCs/>
          <w:color w:val="000000"/>
          <w:sz w:val="20"/>
          <w:szCs w:val="20"/>
          <w:lang w:val="en-US"/>
        </w:rPr>
        <w:t>Journal of Industrial and Engineering Chemistry, 27</w:t>
      </w:r>
      <w:r>
        <w:rPr>
          <w:rFonts w:cs="Times New Roman" w:ascii="Times New Roman" w:hAnsi="Times New Roman"/>
          <w:color w:val="000000"/>
          <w:sz w:val="20"/>
          <w:szCs w:val="20"/>
          <w:lang w:val="en-US"/>
        </w:rPr>
        <w:t>(25), 368-372. doi:10.1016/j.jiec.2015.01.016</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Wang, Z., Pan, H., Xu, J., Chang, Y., Liu, C., Zhang, Y., Yang, H., Duan, C., Huang, J., Fu Y. (2022). A sustainable and integrated natural surfactant mediated microwave-assisted extraction technique enhances the extraction of phytochemicals from plants. </w:t>
      </w:r>
      <w:r>
        <w:rPr>
          <w:rFonts w:cs="Times New Roman" w:ascii="Times New Roman" w:hAnsi="Times New Roman"/>
          <w:i/>
          <w:iCs/>
          <w:color w:val="000000"/>
          <w:sz w:val="20"/>
          <w:szCs w:val="20"/>
          <w:lang w:val="en-US"/>
        </w:rPr>
        <w:t>Industrial Crops and Products, 184</w:t>
      </w:r>
      <w:r>
        <w:rPr>
          <w:rFonts w:cs="Times New Roman" w:ascii="Times New Roman" w:hAnsi="Times New Roman"/>
          <w:color w:val="000000"/>
          <w:sz w:val="20"/>
          <w:szCs w:val="20"/>
          <w:lang w:val="en-US"/>
        </w:rPr>
        <w:t>, 115043. doi: 10.1016/j.indcrop.2022.115043.</w:t>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Wiklund, L., y Beronius, A. (2022). Systematic evaluation of the evidence for identification of endocrine disrupting properties of Bisphenol F. </w:t>
      </w:r>
      <w:r>
        <w:rPr>
          <w:rFonts w:cs="Times New Roman" w:ascii="Times New Roman" w:hAnsi="Times New Roman"/>
          <w:i/>
          <w:iCs/>
          <w:color w:val="000000"/>
          <w:sz w:val="20"/>
          <w:szCs w:val="20"/>
          <w:lang w:val="en-US"/>
        </w:rPr>
        <w:t>Toxicology, 476</w:t>
      </w:r>
      <w:r>
        <w:rPr>
          <w:rFonts w:cs="Times New Roman" w:ascii="Times New Roman" w:hAnsi="Times New Roman"/>
          <w:color w:val="000000"/>
          <w:sz w:val="20"/>
          <w:szCs w:val="20"/>
          <w:lang w:val="en-US"/>
        </w:rPr>
        <w:t>, 153255. doi:10.1016/j.tox.2022.153255.</w:t>
      </w:r>
    </w:p>
    <w:p>
      <w:pPr>
        <w:pStyle w:val="Bibliography"/>
        <w:spacing w:lineRule="auto" w:line="240" w:before="0" w:after="0"/>
        <w:ind w:left="0" w:right="0" w:hanging="0"/>
        <w:jc w:val="both"/>
        <w:rPr>
          <w:rFonts w:ascii="Times New Roman" w:hAnsi="Times New Roman" w:cs="Times New Roman"/>
          <w:color w:val="000000"/>
          <w:sz w:val="20"/>
          <w:szCs w:val="20"/>
          <w:lang w:val="en-US"/>
        </w:rPr>
      </w:pPr>
      <w:r>
        <w:rPr/>
      </w:r>
    </w:p>
    <w:p>
      <w:pPr>
        <w:pStyle w:val="Bibliography"/>
        <w:spacing w:lineRule="auto" w:line="240" w:before="0" w:after="0"/>
        <w:ind w:left="0" w:right="0" w:hanging="0"/>
        <w:jc w:val="both"/>
        <w:rPr/>
      </w:pPr>
      <w:r>
        <w:rPr>
          <w:rFonts w:cs="Times New Roman" w:ascii="Times New Roman" w:hAnsi="Times New Roman"/>
          <w:color w:val="000000"/>
          <w:sz w:val="20"/>
          <w:szCs w:val="20"/>
          <w:lang w:val="en-US"/>
        </w:rPr>
        <w:t xml:space="preserve">Xing, J., Zhang, S., Zhang, M., y Hou, J. (2022). A critical review of presence, removal and potential impacts of endocrine disruptors bisphenol A. </w:t>
      </w:r>
      <w:r>
        <w:rPr>
          <w:rFonts w:cs="Times New Roman" w:ascii="Times New Roman" w:hAnsi="Times New Roman"/>
          <w:i/>
          <w:iCs/>
          <w:color w:val="000000"/>
          <w:sz w:val="20"/>
          <w:szCs w:val="20"/>
          <w:lang w:val="en-US"/>
        </w:rPr>
        <w:t>Comparative Biochemistry and Physiology Part C: Toxicology &amp; Pharmacology, 254</w:t>
      </w:r>
      <w:r>
        <w:rPr>
          <w:rFonts w:cs="Times New Roman" w:ascii="Times New Roman" w:hAnsi="Times New Roman"/>
          <w:color w:val="000000"/>
          <w:sz w:val="20"/>
          <w:szCs w:val="20"/>
          <w:lang w:val="en-US"/>
        </w:rPr>
        <w:t>, 109275. doi:</w:t>
      </w:r>
      <w:hyperlink r:id="rId23" w:tgtFrame="Persistent link using digital object identifier">
        <w:r>
          <w:rPr>
            <w:rFonts w:cs="Times New Roman" w:ascii="Times New Roman" w:hAnsi="Times New Roman"/>
            <w:color w:val="000000"/>
            <w:sz w:val="20"/>
            <w:szCs w:val="20"/>
            <w:lang w:val="en-US"/>
          </w:rPr>
          <w:t>10.1016/j.cbpc.2022.109275</w:t>
        </w:r>
      </w:hyperlink>
      <w:r>
        <w:rPr>
          <w:rFonts w:cs="Times New Roman" w:ascii="Times New Roman" w:hAnsi="Times New Roman"/>
          <w:color w:val="000000"/>
          <w:sz w:val="20"/>
          <w:szCs w:val="20"/>
          <w:lang w:val="en-US"/>
        </w:rPr>
        <w:t>.</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Yang, Y., Lu, L., Zhang, J., Yang, Y., Wu, Y., y Shao, B. (2014). Simultaneous determination of seven bisphenols in environmental water and solid samples by liquid chromatography–electrospray tandem mass spectrometry. </w:t>
      </w:r>
      <w:r>
        <w:rPr>
          <w:rFonts w:cs="Times New Roman" w:ascii="Times New Roman" w:hAnsi="Times New Roman"/>
          <w:i/>
          <w:iCs/>
          <w:color w:val="000000"/>
          <w:sz w:val="20"/>
          <w:szCs w:val="20"/>
          <w:lang w:val="en-US"/>
        </w:rPr>
        <w:t>Journal of Chromatography A</w:t>
      </w:r>
      <w:r>
        <w:rPr>
          <w:rFonts w:cs="Times New Roman" w:ascii="Times New Roman" w:hAnsi="Times New Roman"/>
          <w:color w:val="000000"/>
          <w:sz w:val="20"/>
          <w:szCs w:val="20"/>
          <w:lang w:val="en-US"/>
        </w:rPr>
        <w:t>, 1328, 26-34. doi:10.1016/j.chroma.2013.12.074.</w:t>
      </w:r>
    </w:p>
    <w:p>
      <w:pPr>
        <w:pStyle w:val="Bibliography"/>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Bibliography"/>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Yu, Y., y Wu, L. (2012). Analysis of endocrine disrupting compounds, pharmaceuticals and personal care products in sewage sludge by gas chromatography–mass spectrometry. </w:t>
      </w:r>
      <w:r>
        <w:rPr>
          <w:rFonts w:cs="Times New Roman" w:ascii="Times New Roman" w:hAnsi="Times New Roman"/>
          <w:i/>
          <w:iCs/>
          <w:color w:val="000000"/>
          <w:sz w:val="20"/>
          <w:szCs w:val="20"/>
          <w:lang w:val="es-ES"/>
        </w:rPr>
        <w:t>Talanta, 89</w:t>
      </w:r>
      <w:r>
        <w:rPr>
          <w:rFonts w:cs="Times New Roman" w:ascii="Times New Roman" w:hAnsi="Times New Roman"/>
          <w:color w:val="000000"/>
          <w:sz w:val="20"/>
          <w:szCs w:val="20"/>
          <w:lang w:val="es-ES"/>
        </w:rPr>
        <w:t>, 258-2 doi:10.1016/j.talanta.2011.12.023.</w:t>
      </w:r>
    </w:p>
    <w:p>
      <w:pPr>
        <w:pStyle w:val="Normal"/>
        <w:spacing w:lineRule="auto" w:line="240" w:before="0" w:after="0"/>
        <w:ind w:left="0" w:right="0" w:hanging="0"/>
        <w:jc w:val="both"/>
        <w:rPr>
          <w:rFonts w:cs="Times New Roman"/>
          <w:lang w:val="es-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ES"/>
        </w:rPr>
        <w:t xml:space="preserve">Zhang, C., Xing, H., Yang, L., Fei, P., y Liu, H. (2022). </w:t>
      </w:r>
      <w:r>
        <w:rPr>
          <w:rFonts w:cs="Times New Roman" w:ascii="Times New Roman" w:hAnsi="Times New Roman"/>
          <w:color w:val="000000"/>
          <w:sz w:val="20"/>
          <w:szCs w:val="20"/>
          <w:lang w:val="en-US"/>
        </w:rPr>
        <w:t xml:space="preserve">Development trend and prospect of solid phase extraction technology. </w:t>
      </w:r>
      <w:r>
        <w:rPr>
          <w:rFonts w:cs="Times New Roman" w:ascii="Times New Roman" w:hAnsi="Times New Roman"/>
          <w:i/>
          <w:iCs/>
          <w:color w:val="000000"/>
          <w:sz w:val="20"/>
          <w:szCs w:val="20"/>
          <w:lang w:val="en-US"/>
        </w:rPr>
        <w:t>Chinese Journal of Chemical Engineering, 42</w:t>
      </w:r>
      <w:r>
        <w:rPr>
          <w:rFonts w:cs="Times New Roman" w:ascii="Times New Roman" w:hAnsi="Times New Roman"/>
          <w:color w:val="000000"/>
          <w:sz w:val="20"/>
          <w:szCs w:val="20"/>
          <w:lang w:val="en-US"/>
        </w:rPr>
        <w:t>, 245-255. doi:10.1016/j.cjche.2021.05.031.</w:t>
      </w:r>
    </w:p>
    <w:p>
      <w:pPr>
        <w:pStyle w:val="Normal"/>
        <w:spacing w:lineRule="auto" w:line="240" w:before="0" w:after="0"/>
        <w:ind w:left="0" w:right="0" w:hanging="0"/>
        <w:jc w:val="both"/>
        <w:rPr>
          <w:rFonts w:cs="Times New Roman"/>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n-US"/>
        </w:rPr>
        <w:t xml:space="preserve">Zhang, S., You, J., Song, C., Chen, G., y Suo, Y. (2012). Purification and determination of bisphenol A and alkylphenol in river sediments by high performance liquid chromatography with fluorescence detection. </w:t>
      </w:r>
      <w:r>
        <w:rPr>
          <w:rFonts w:cs="Times New Roman" w:ascii="Times New Roman" w:hAnsi="Times New Roman"/>
          <w:i/>
          <w:iCs/>
          <w:color w:val="000000"/>
          <w:sz w:val="20"/>
          <w:szCs w:val="20"/>
          <w:lang w:val="es-ES"/>
        </w:rPr>
        <w:t>Analytical Methods, 4</w:t>
      </w:r>
      <w:r>
        <w:rPr>
          <w:rFonts w:cs="Times New Roman" w:ascii="Times New Roman" w:hAnsi="Times New Roman"/>
          <w:color w:val="000000"/>
          <w:sz w:val="20"/>
          <w:szCs w:val="20"/>
          <w:lang w:val="es-ES"/>
        </w:rPr>
        <w:t>(12), 4030-4036. doi:10.1039/c2ay25865j.</w:t>
      </w:r>
    </w:p>
    <w:p>
      <w:pPr>
        <w:sectPr>
          <w:type w:val="continuous"/>
          <w:pgSz w:w="12240" w:h="15840"/>
          <w:pgMar w:left="1417" w:right="1417" w:header="1417" w:top="1983" w:footer="1417" w:bottom="2092" w:gutter="0"/>
          <w:cols w:num="2" w:space="282" w:equalWidth="true" w:sep="false"/>
          <w:formProt w:val="false"/>
          <w:textDirection w:val="lrTb"/>
          <w:docGrid w:type="default" w:linePitch="299" w:charSpace="4096"/>
        </w:sectPr>
      </w:pPr>
    </w:p>
    <w:p>
      <w:pPr>
        <w:pStyle w:val="Normal"/>
        <w:spacing w:lineRule="auto" w:line="240" w:before="0" w:after="0"/>
        <w:ind w:left="0" w:right="0" w:hanging="0"/>
        <w:jc w:val="both"/>
        <w:rPr>
          <w:rFonts w:ascii="Times New Roman" w:hAnsi="Times New Roman"/>
          <w:color w:val="000000"/>
          <w:sz w:val="20"/>
          <w:szCs w:val="20"/>
        </w:rPr>
      </w:pPr>
      <w:r>
        <w:rPr>
          <w:rFonts w:ascii="Times New Roman" w:hAnsi="Times New Roman"/>
          <w:color w:val="000000"/>
          <w:sz w:val="20"/>
          <w:szCs w:val="20"/>
        </w:rPr>
      </w:r>
    </w:p>
    <w:sectPr>
      <w:headerReference w:type="default" r:id="rId24"/>
      <w:headerReference w:type="first" r:id="rId25"/>
      <w:footerReference w:type="default" r:id="rId26"/>
      <w:footerReference w:type="first" r:id="rId27"/>
      <w:type w:val="continuous"/>
      <w:pgSz w:w="12240" w:h="15840"/>
      <w:pgMar w:left="1417" w:right="1417" w:header="1417" w:top="1983" w:footer="1417" w:bottom="2092"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 w:name="Arial">
    <w:charset w:val="01"/>
    <w:family w:val="auto"/>
    <w:pitch w:val="default"/>
  </w:font>
  <w:font w:name="Robot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4"/>
      <w:gridCol w:w="4140"/>
      <w:gridCol w:w="2781"/>
    </w:tblGrid>
    <w:tr>
      <w:trPr/>
      <w:tc>
        <w:tcPr>
          <w:tcW w:w="2484"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19</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0</w:t>
          </w:r>
          <w:r>
            <w:rPr>
              <w:rFonts w:ascii="Times new roman" w:hAnsi="Times new roman"/>
              <w:sz w:val="16"/>
              <w:szCs w:val="16"/>
            </w:rPr>
            <w:t>7</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1"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4"/>
      <w:gridCol w:w="4140"/>
      <w:gridCol w:w="2781"/>
    </w:tblGrid>
    <w:tr>
      <w:trPr/>
      <w:tc>
        <w:tcPr>
          <w:tcW w:w="2484"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19</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0</w:t>
          </w:r>
          <w:r>
            <w:rPr>
              <w:rFonts w:ascii="Times new roman" w:hAnsi="Times new roman"/>
              <w:sz w:val="16"/>
              <w:szCs w:val="16"/>
            </w:rPr>
            <w:t>7</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1"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4"/>
      <w:gridCol w:w="4140"/>
      <w:gridCol w:w="2781"/>
    </w:tblGrid>
    <w:tr>
      <w:trPr/>
      <w:tc>
        <w:tcPr>
          <w:tcW w:w="2484"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19</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0</w:t>
          </w:r>
          <w:r>
            <w:rPr>
              <w:rFonts w:ascii="Times new roman" w:hAnsi="Times new roman"/>
              <w:sz w:val="16"/>
              <w:szCs w:val="16"/>
            </w:rPr>
            <w:t>7</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1"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84165386"/>
    </w:sdtPr>
    <w:sdtContent>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Julio - Diciembre 2023</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23444114"/>
    </w:sdtPr>
    <w:sdtContent>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Julio - Diciembre 2023</w:t>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3"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43955786"/>
    </w:sdtPr>
    <w:sdtContent>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Julio - Diciembre 2023</w:t>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0"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4</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upperRoman"/>
      <w:lvlText w:val="%1."/>
      <w:lvlJc w:val="left"/>
      <w:pPr>
        <w:tabs>
          <w:tab w:val="num" w:pos="0"/>
        </w:tabs>
        <w:ind w:left="-1419" w:hanging="720"/>
      </w:pPr>
      <w:rPr>
        <w:sz w:val="24"/>
        <w:szCs w:val="24"/>
        <w:rFonts w:ascii="Roboto" w:hAnsi="Roboto"/>
      </w:rPr>
    </w:lvl>
    <w:lvl w:ilvl="1">
      <w:start w:val="1"/>
      <w:numFmt w:val="lowerLetter"/>
      <w:lvlText w:val="%2."/>
      <w:lvlJc w:val="left"/>
      <w:pPr>
        <w:tabs>
          <w:tab w:val="num" w:pos="0"/>
        </w:tabs>
        <w:ind w:left="-1059" w:hanging="360"/>
      </w:pPr>
    </w:lvl>
    <w:lvl w:ilvl="2">
      <w:start w:val="1"/>
      <w:numFmt w:val="lowerRoman"/>
      <w:lvlText w:val="%3."/>
      <w:lvlJc w:val="right"/>
      <w:pPr>
        <w:tabs>
          <w:tab w:val="num" w:pos="0"/>
        </w:tabs>
        <w:ind w:left="-339" w:hanging="180"/>
      </w:pPr>
    </w:lvl>
    <w:lvl w:ilvl="3">
      <w:start w:val="1"/>
      <w:numFmt w:val="decimal"/>
      <w:lvlText w:val="%4."/>
      <w:lvlJc w:val="left"/>
      <w:pPr>
        <w:tabs>
          <w:tab w:val="num" w:pos="0"/>
        </w:tabs>
        <w:ind w:left="381" w:hanging="360"/>
      </w:pPr>
    </w:lvl>
    <w:lvl w:ilvl="4">
      <w:start w:val="1"/>
      <w:numFmt w:val="lowerLetter"/>
      <w:lvlText w:val="%5."/>
      <w:lvlJc w:val="left"/>
      <w:pPr>
        <w:tabs>
          <w:tab w:val="num" w:pos="0"/>
        </w:tabs>
        <w:ind w:left="1101" w:hanging="360"/>
      </w:pPr>
    </w:lvl>
    <w:lvl w:ilvl="5">
      <w:start w:val="1"/>
      <w:numFmt w:val="lowerRoman"/>
      <w:lvlText w:val="%6."/>
      <w:lvlJc w:val="right"/>
      <w:pPr>
        <w:tabs>
          <w:tab w:val="num" w:pos="0"/>
        </w:tabs>
        <w:ind w:left="1821" w:hanging="180"/>
      </w:pPr>
    </w:lvl>
    <w:lvl w:ilvl="6">
      <w:start w:val="1"/>
      <w:numFmt w:val="decimal"/>
      <w:lvlText w:val="%7."/>
      <w:lvlJc w:val="left"/>
      <w:pPr>
        <w:tabs>
          <w:tab w:val="num" w:pos="0"/>
        </w:tabs>
        <w:ind w:left="2541" w:hanging="360"/>
      </w:pPr>
    </w:lvl>
    <w:lvl w:ilvl="7">
      <w:start w:val="1"/>
      <w:numFmt w:val="lowerLetter"/>
      <w:lvlText w:val="%8."/>
      <w:lvlJc w:val="left"/>
      <w:pPr>
        <w:tabs>
          <w:tab w:val="num" w:pos="0"/>
        </w:tabs>
        <w:ind w:left="3261" w:hanging="360"/>
      </w:pPr>
    </w:lvl>
    <w:lvl w:ilvl="8">
      <w:start w:val="1"/>
      <w:numFmt w:val="lowerRoman"/>
      <w:lvlText w:val="%9."/>
      <w:lvlJc w:val="right"/>
      <w:pPr>
        <w:tabs>
          <w:tab w:val="num" w:pos="0"/>
        </w:tabs>
        <w:ind w:left="3981"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1">
    <w:name w:val="Heading 1"/>
    <w:basedOn w:val="Normal"/>
    <w:link w:val="Ttulo1Car"/>
    <w:uiPriority w:val="9"/>
    <w:qFormat/>
    <w:rsid w:val="001f1312"/>
    <w:pPr>
      <w:spacing w:lineRule="auto" w:line="240" w:beforeAutospacing="1" w:afterAutospacing="1"/>
      <w:outlineLvl w:val="0"/>
    </w:pPr>
    <w:rPr>
      <w:rFonts w:ascii="Times New Roman" w:hAnsi="Times New Roman" w:eastAsia="Times New Roman" w:cs="Times New Roman"/>
      <w:b/>
      <w:bCs/>
      <w:kern w:val="2"/>
      <w:sz w:val="48"/>
      <w:szCs w:val="48"/>
      <w:lang w:eastAsia="es-MX"/>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6f5f88"/>
    <w:rPr/>
  </w:style>
  <w:style w:type="character" w:styleId="PiedepginaCar" w:customStyle="1">
    <w:name w:val="Pie de página Car"/>
    <w:basedOn w:val="DefaultParagraphFont"/>
    <w:link w:val="Piedepgina"/>
    <w:uiPriority w:val="99"/>
    <w:qFormat/>
    <w:rsid w:val="006f5f88"/>
    <w:rPr/>
  </w:style>
  <w:style w:type="character" w:styleId="Ttulo1Car" w:customStyle="1">
    <w:name w:val="Título 1 Car"/>
    <w:basedOn w:val="DefaultParagraphFont"/>
    <w:link w:val="Ttulo1"/>
    <w:uiPriority w:val="9"/>
    <w:qFormat/>
    <w:rsid w:val="001f1312"/>
    <w:rPr>
      <w:rFonts w:ascii="Times New Roman" w:hAnsi="Times New Roman" w:eastAsia="Times New Roman" w:cs="Times New Roman"/>
      <w:b/>
      <w:bCs/>
      <w:kern w:val="2"/>
      <w:sz w:val="48"/>
      <w:szCs w:val="48"/>
      <w:lang w:eastAsia="es-MX"/>
    </w:rPr>
  </w:style>
  <w:style w:type="character" w:styleId="Annotationreference">
    <w:name w:val="annotation reference"/>
    <w:basedOn w:val="DefaultParagraphFont"/>
    <w:uiPriority w:val="99"/>
    <w:semiHidden/>
    <w:unhideWhenUsed/>
    <w:qFormat/>
    <w:rsid w:val="00505c4a"/>
    <w:rPr>
      <w:sz w:val="16"/>
      <w:szCs w:val="16"/>
    </w:rPr>
  </w:style>
  <w:style w:type="character" w:styleId="TextocomentarioCar" w:customStyle="1">
    <w:name w:val="Texto comentario Car"/>
    <w:basedOn w:val="DefaultParagraphFont"/>
    <w:link w:val="Textocomentario"/>
    <w:uiPriority w:val="99"/>
    <w:qFormat/>
    <w:rsid w:val="00505c4a"/>
    <w:rPr>
      <w:sz w:val="20"/>
      <w:szCs w:val="20"/>
    </w:rPr>
  </w:style>
  <w:style w:type="character" w:styleId="AsuntodelcomentarioCar" w:customStyle="1">
    <w:name w:val="Asunto del comentario Car"/>
    <w:basedOn w:val="TextocomentarioCar"/>
    <w:link w:val="Asuntodelcomentario"/>
    <w:uiPriority w:val="99"/>
    <w:semiHidden/>
    <w:qFormat/>
    <w:rsid w:val="00505c4a"/>
    <w:rPr>
      <w:b/>
      <w:bCs/>
      <w:sz w:val="20"/>
      <w:szCs w:val="20"/>
    </w:rPr>
  </w:style>
  <w:style w:type="character" w:styleId="Strong">
    <w:name w:val="Strong"/>
    <w:basedOn w:val="DefaultParagraphFont"/>
    <w:uiPriority w:val="22"/>
    <w:qFormat/>
    <w:rsid w:val="004a236e"/>
    <w:rPr>
      <w:b/>
      <w:bCs/>
    </w:rPr>
  </w:style>
  <w:style w:type="character" w:styleId="EnlacedeInternet">
    <w:name w:val="Enlace de Internet"/>
    <w:basedOn w:val="DefaultParagraphFont"/>
    <w:uiPriority w:val="99"/>
    <w:unhideWhenUsed/>
    <w:rsid w:val="004e64bd"/>
    <w:rPr>
      <w:color w:val="0563C1" w:themeColor="hyperlink"/>
      <w:u w:val="single"/>
    </w:rPr>
  </w:style>
  <w:style w:type="character" w:styleId="UnresolvedMention">
    <w:name w:val="Unresolved Mention"/>
    <w:basedOn w:val="DefaultParagraphFont"/>
    <w:uiPriority w:val="99"/>
    <w:semiHidden/>
    <w:unhideWhenUsed/>
    <w:qFormat/>
    <w:rsid w:val="004e64bd"/>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aa3daa"/>
    <w:pPr>
      <w:spacing w:before="0" w:after="160"/>
      <w:ind w:left="720" w:hanging="0"/>
      <w:contextualSpacing/>
    </w:pPr>
    <w:rPr/>
  </w:style>
  <w:style w:type="paragraph" w:styleId="Revision">
    <w:name w:val="Revision"/>
    <w:uiPriority w:val="99"/>
    <w:semiHidden/>
    <w:qFormat/>
    <w:rsid w:val="009a0e2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6f5f88"/>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6f5f88"/>
    <w:pPr>
      <w:tabs>
        <w:tab w:val="clear" w:pos="708"/>
        <w:tab w:val="center" w:pos="4419" w:leader="none"/>
        <w:tab w:val="right" w:pos="8838" w:leader="none"/>
      </w:tabs>
      <w:spacing w:lineRule="auto" w:line="240" w:before="0" w:after="0"/>
    </w:pPr>
    <w:rPr/>
  </w:style>
  <w:style w:type="paragraph" w:styleId="Annotationtext">
    <w:name w:val="annotation text"/>
    <w:basedOn w:val="Normal"/>
    <w:link w:val="TextocomentarioCar"/>
    <w:uiPriority w:val="99"/>
    <w:unhideWhenUsed/>
    <w:qFormat/>
    <w:rsid w:val="00505c4a"/>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505c4a"/>
    <w:pPr/>
    <w:rPr>
      <w:b/>
      <w:bCs/>
    </w:rPr>
  </w:style>
  <w:style w:type="paragraph" w:styleId="Caption">
    <w:name w:val="caption"/>
    <w:basedOn w:val="Normal"/>
    <w:next w:val="Normal"/>
    <w:uiPriority w:val="35"/>
    <w:unhideWhenUsed/>
    <w:qFormat/>
    <w:rsid w:val="00116cd4"/>
    <w:pPr>
      <w:spacing w:lineRule="auto" w:line="240" w:before="0" w:after="200"/>
    </w:pPr>
    <w:rPr>
      <w:i/>
      <w:iCs/>
      <w:color w:val="44546A" w:themeColor="text2"/>
      <w:sz w:val="18"/>
      <w:szCs w:val="18"/>
    </w:rPr>
  </w:style>
  <w:style w:type="paragraph" w:styleId="Bibliography">
    <w:name w:val="Bibliography"/>
    <w:basedOn w:val="Normal"/>
    <w:next w:val="Normal"/>
    <w:uiPriority w:val="37"/>
    <w:unhideWhenUsed/>
    <w:qFormat/>
    <w:rsid w:val="00001088"/>
    <w:pPr/>
    <w:rPr/>
  </w:style>
  <w:style w:type="paragraph" w:styleId="Contenidodelmarco">
    <w:name w:val="Contenido del marco"/>
    <w:basedOn w:val="Normal"/>
    <w:qFormat/>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415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dith.amador@uadec.edu.mx"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hyperlink" Target="https://www.grandviewresearch.com/industry-analysis/bisphenol-a-bpa-market" TargetMode="External"/><Relationship Id="rId22" Type="http://schemas.openxmlformats.org/officeDocument/2006/relationships/hyperlink" Target="https://doi.org/10.1016/j.molimm.2012.09.013" TargetMode="External"/><Relationship Id="rId23" Type="http://schemas.openxmlformats.org/officeDocument/2006/relationships/hyperlink" Target="https://doi.org/10.1016/j.cbpc.2022.109275" TargetMode="External"/><Relationship Id="rId24" Type="http://schemas.openxmlformats.org/officeDocument/2006/relationships/header" Target="header5.xml"/><Relationship Id="rId25" Type="http://schemas.openxmlformats.org/officeDocument/2006/relationships/header" Target="header6.xml"/><Relationship Id="rId26" Type="http://schemas.openxmlformats.org/officeDocument/2006/relationships/footer" Target="footer5.xml"/><Relationship Id="rId27" Type="http://schemas.openxmlformats.org/officeDocument/2006/relationships/footer" Target="footer6.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7.png"/>
</Relationships>
</file>

<file path=word/_rels/header6.xml.rels><?xml version="1.0" encoding="UTF-8"?>
<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Leh05</b:Tag>
    <b:SourceType>JournalArticle</b:SourceType>
    <b:Guid>{E9B53584-F77E-40D3-944A-F8E7DB761BE8}</b:Guid>
    <b:Title>Uso de tampones y otros medios para mejorar los resultados de pesticidas problemáticos en un método rápido y fácil para el análisis de residuos de frutas y verduras</b:Title>
    <b:JournalName>Revista de AOAC INTERNATIONAL</b:JournalName>
    <b:Year>2005</b:Year>
    <b:Pages>615-629</b:Pages>
    <b:Author>
      <b:Author>
        <b:NameList>
          <b:Person>
            <b:Last>Lehotay</b:Last>
            <b:Middle>J.</b:Middle>
            <b:First>Steven</b:First>
          </b:Person>
          <b:Person>
            <b:Last> Maštovská</b:Last>
            <b:First>Kateřina</b:First>
          </b:Person>
          <b:Person>
            <b:Last>Lightfield</b:Last>
            <b:Middle>R.</b:Middle>
            <b:First>Alan</b:First>
          </b:Person>
        </b:NameList>
      </b:Author>
    </b:Author>
    <b:Volume>88</b:Volume>
    <b:Issue>2</b:Issue>
    <b:DOI>https://doi.org/10.1093/jaoac/88.2.615</b:DOI>
    <b:RefOrder>1</b:RefOrder>
  </b:Source>
  <b:Source>
    <b:Tag>Muh17</b:Tag>
    <b:SourceType>JournalArticle</b:SourceType>
    <b:Guid>{C0DF82D1-EA2C-4CFA-B60B-04120CA25EC4}</b:Guid>
    <b:Title>Evaluación y análisis estadístico del método QuEChERS modificado para la extracción de pinoxaden a partir de muestras ambientales y agrícolas</b:Title>
    <b:JournalName>Journal of analytical Science and Technology</b:JournalName>
    <b:Year>2017</b:Year>
    <b:Pages>1-10</b:Pages>
    <b:Author>
      <b:Author>
        <b:NameList>
          <b:Person>
            <b:Last>Muhammad</b:Last>
            <b:First>Mian</b:First>
          </b:Person>
          <b:Person>
            <b:Last>Muhammad</b:Last>
            <b:Middle>jan</b:Middle>
            <b:First>Rasul</b:First>
          </b:Person>
          <b:Person>
            <b:Last>Shah</b:Last>
            <b:First>Jasmin</b:First>
          </b:Person>
          <b:Person>
            <b:Last>Ara</b:Last>
            <b:First>B</b:First>
          </b:Person>
        </b:NameList>
      </b:Author>
    </b:Author>
    <b:Volume>8</b:Volume>
    <b:Issue>1</b:Issue>
    <b:DOI>10.1186/s40543-017-0123-z</b:DOI>
    <b:RefOrder>2</b:RefOrder>
  </b:Source>
  <b:Source>
    <b:Tag>Log22</b:Tag>
    <b:SourceType>JournalArticle</b:SourceType>
    <b:Guid>{0DB35C40-6597-4CAE-A570-5DFBE29EA8CF}</b:Guid>
    <b:Title>SERS portátil junto con QuEChERS para el análisis sensible de múltiples pesticidas en arroz basmati</b:Title>
    <b:JournalName>NPJ Science of Food</b:JournalName>
    <b:Year>2022</b:Year>
    <b:Pages>1-11</b:Pages>
    <b:Author>
      <b:Author>
        <b:NameList>
          <b:Person>
            <b:Last>Logan</b:Last>
            <b:First>Natasha</b:First>
          </b:Person>
          <b:Person>
            <b:Last>Haughey</b:Last>
            <b:Middle>A</b:Middle>
            <b:First>Simon</b:First>
          </b:Person>
          <b:Person>
            <b:Last>Lui</b:Last>
            <b:First>Lin</b:First>
          </b:Person>
          <b:Person>
            <b:Last>Burns</b:Last>
            <b:Middle>Thorburn</b:Middle>
            <b:First>D.</b:First>
          </b:Person>
          <b:Person>
            <b:Last>Quinn</b:Last>
            <b:First>Brian</b:First>
          </b:Person>
          <b:Person>
            <b:Last>Cao</b:Last>
            <b:First>Cuong</b:First>
          </b:Person>
          <b:Person>
            <b:Last>Elliott</b:Last>
            <b:Middle>T</b:Middle>
            <b:First>Chistopher</b:First>
          </b:Person>
        </b:NameList>
      </b:Author>
    </b:Author>
    <b:Volume>6</b:Volume>
    <b:Issue>1</b:Issue>
    <b:DOI>10.1038/s41538-021-00117-z</b:DOI>
    <b:RefOrder>3</b:RefOrder>
  </b:Source>
  <b:Source>
    <b:Tag>Kee09</b:Tag>
    <b:SourceType>JournalArticle</b:SourceType>
    <b:Guid>{E0A95ADC-AABF-463D-B91F-5C3ABEB3BF4C}</b:Guid>
    <b:Title>Residuos de carbonato de bencimidazolen la leche: Detección de plasmón superficial, utilizando un método QuEChERS (rápido, fácil, económico, eficaz, resistente y seguro) modificado para la extracción</b:Title>
    <b:JournalName>Analítica Química Acta</b:JournalName>
    <b:Year>2009</b:Year>
    <b:Pages>111-119</b:Pages>
    <b:Author>
      <b:Author>
        <b:NameList>
          <b:Person>
            <b:Last>Keegan</b:Last>
            <b:First>Jemma</b:First>
          </b:Person>
          <b:Person>
            <b:Last>Whelan</b:Last>
            <b:First>Michelle</b:First>
          </b:Person>
          <b:Person>
            <b:Last>Danaher</b:Last>
            <b:First>Martin</b:First>
          </b:Person>
          <b:Person>
            <b:Last>Crooks</b:Last>
            <b:First>Steven</b:First>
          </b:Person>
          <b:Person>
            <b:Last>Sayers</b:Last>
            <b:First>Regina</b:First>
          </b:Person>
          <b:Person>
            <b:Last>Anastasio</b:Last>
            <b:First>Aniello</b:First>
          </b:Person>
          <b:Person>
            <b:Last>Elliott</b:Last>
            <b:First>Christopher</b:First>
          </b:Person>
          <b:Person>
            <b:Last>Brandon</b:Last>
            <b:First>David</b:First>
          </b:Person>
          <b:Person>
            <b:Last>Furey</b:Last>
            <b:First>Ambrose</b:First>
          </b:Person>
          <b:Person>
            <b:Last>O´kennedy</b:Last>
            <b:First>Richard</b:First>
          </b:Person>
        </b:NameList>
      </b:Author>
    </b:Author>
    <b:Volume>654</b:Volume>
    <b:Issue>2</b:Issue>
    <b:DOI>10.1016/j.aca.2009.09.028</b:DOI>
    <b:RefOrder>4</b:RefOrder>
  </b:Source>
  <b:Source>
    <b:Tag>Stu09</b:Tag>
    <b:SourceType>JournalArticle</b:SourceType>
    <b:Guid>{DEFC5428-96E5-4CB0-BC8F-8E574522F68E}</b:Guid>
    <b:Title>El desarrollo y la validación de un procedimiento de espectrometría de masas en tándem de cromatogafía líquida multiclase (LC-MS/MS) para la determinación de residuos de medicamentos veterinarios en tejido animal utilizando un enfoque QuEChERS</b:Title>
    <b:JournalName>Analytica Chimica Acta</b:JournalName>
    <b:Year>2009</b:Year>
    <b:Pages>68-78</b:Pages>
    <b:Author>
      <b:Author>
        <b:NameList>
          <b:Person>
            <b:Last>Stubbings</b:Last>
            <b:First>George</b:First>
          </b:Person>
          <b:Person>
            <b:Last>Bigwood</b:Last>
            <b:First>Timoteo</b:First>
          </b:Person>
        </b:NameList>
      </b:Author>
    </b:Author>
    <b:Volume>637</b:Volume>
    <b:Issue>1-2</b:Issue>
    <b:DOI>10.1016/j.aca.2009.01.029</b:DOI>
    <b:RefOrder>5</b:RefOrder>
  </b:Source>
  <b:Source>
    <b:Tag>MarcadorDePosición1</b:Tag>
    <b:SourceType>JournalArticle</b:SourceType>
    <b:Guid>{53A27FE0-D78E-4DC1-8D60-523429569A58}</b:Guid>
    <b:RefOrder>6</b:RefOrder>
  </b:Source>
  <b:Source>
    <b:Tag>Her10</b:Tag>
    <b:SourceType>JournalArticle</b:SourceType>
    <b:Guid>{EADCAC8E-DC99-452C-AEC0-4E1DFED253E9}</b:Guid>
    <b:Title>Determinación de trihalometanos en matrices de suelo mediante extracción simplificada rápida, fácil, económica, eficaz, robusta y segura y cromatografía de gases rápida cpn detección por cptura de electrones</b:Title>
    <b:JournalName>Revista de cromatografía A</b:JournalName>
    <b:Year>2010</b:Year>
    <b:Pages>4883-4889</b:Pages>
    <b:Author>
      <b:Author>
        <b:NameList>
          <b:Person>
            <b:Last>Herrero Martín </b:Last>
            <b:First>Sara</b:First>
          </b:Person>
          <b:Person>
            <b:Last>García Pinto</b:Last>
            <b:First>Carmelo</b:First>
          </b:Person>
          <b:Person>
            <b:Last>Pérez Pavón</b:Last>
            <b:Middle>Luis</b:Middle>
            <b:First>José</b:First>
          </b:Person>
          <b:Person>
            <b:Last>Moreno Cordero </b:Last>
            <b:First>Bernardo</b:First>
          </b:Person>
        </b:NameList>
      </b:Author>
    </b:Author>
    <b:Volume>1217</b:Volume>
    <b:Issue>30</b:Issue>
    <b:DOI>10.1016/j.chroma.2010.05.041</b:DOI>
    <b:RefOrder>7</b:RefOrder>
  </b:Source>
  <b:Source>
    <b:Tag>Lee11</b:Tag>
    <b:SourceType>JournalArticle</b:SourceType>
    <b:Guid>{9E98B69A-B73B-452B-82D2-5397ECD65E55}</b:Guid>
    <b:Title>Desarrollo de un nuevo método QuEChERS basado en hielo seco para la determinación de 168 pesticidas en pimentón mediante espectrometría de masas en tándem</b:Title>
    <b:JournalName>Journal of Chromatography A</b:JournalName>
    <b:Year>2011</b:Year>
    <b:Pages>4366-4377</b:Pages>
    <b:Author>
      <b:Author>
        <b:NameList>
          <b:Person>
            <b:Last>Lee</b:Last>
            <b:Middle>W</b:Middle>
            <b:First>S</b:First>
          </b:Person>
          <b:Person>
            <b:Last>Choi</b:Last>
            <b:Middle>H</b:Middle>
            <b:First>J</b:First>
          </b:Person>
          <b:Person>
            <b:Last>Cho</b:Last>
            <b:Middle>K</b:Middle>
            <b:First>S</b:First>
          </b:Person>
          <b:Person>
            <b:Last>Yu</b:Last>
            <b:First>H</b:First>
          </b:Person>
          <b:Person>
            <b:Last>Abd </b:Last>
            <b:Middle>M</b:Middle>
            <b:First>Ei-Aty</b:First>
          </b:Person>
          <b:Person>
            <b:Last>Shim</b:Last>
            <b:Middle>H</b:Middle>
            <b:First>J</b:First>
          </b:Person>
        </b:NameList>
      </b:Author>
    </b:Author>
    <b:Volume>1218</b:Volume>
    <b:Issue>28</b:Issue>
    <b:DOI>10.1016/j.chroma.2011.05.021</b:DOI>
    <b:RefOrder>8</b:RefOrder>
  </b:Source>
  <b:Source>
    <b:Tag>JiY11</b:Tag>
    <b:SourceType>JournalArticle</b:SourceType>
    <b:Guid>{73D7A326-47CA-409E-A5F7-AA1C22CAA72D}</b:Guid>
    <b:Title>Análisis multirresiduos simultáneo de 41 residuos de plaguicidas en alimentps cocinados utilizando QuEChERS: comparación con el método clásico</b:Title>
    <b:JournalName>Food Chemistry</b:JournalName>
    <b:Year>2011</b:Year>
    <b:Pages>241-253</b:Pages>
    <b:Author>
      <b:Author>
        <b:NameList>
          <b:Person>
            <b:Last>Ji-Yeon</b:Last>
            <b:First>Park</b:First>
          </b:Person>
          <b:Person>
            <b:Last>Jeong-Heui</b:Last>
            <b:First>Choi</b:First>
          </b:Person>
          <b:Person>
            <b:Last>El-Aty</b:Last>
            <b:Middle>Abd</b:Middle>
            <b:First>A.M.</b:First>
          </b:Person>
          <b:Person>
            <b:Last>Bo</b:Last>
            <b:Middle>Kim</b:Middle>
            <b:First>Mi</b:First>
          </b:Person>
          <b:Person>
            <b:Last>Jae-Ho</b:Last>
            <b:First>Oh</b:First>
          </b:Person>
          <b:Person>
            <b:Last>Jung-Ah</b:Last>
            <b:First>Do</b:First>
          </b:Person>
          <b:Person>
            <b:Last>Ki</b:Last>
            <b:Middle>Kwon</b:Middle>
            <b:First>Sung</b:First>
          </b:Person>
          <b:Person>
            <b:Last>Ki-Hoon</b:Last>
            <b:First>Shim</b:First>
          </b:Person>
          <b:Person>
            <b:Last>Ok-Ja</b:Last>
            <b:First>Choi</b:First>
          </b:Person>
          <b:Person>
            <b:Last>Sung</b:Last>
            <b:Middle>Shin</b:Middle>
            <b:First>Chul</b:First>
          </b:Person>
          <b:Person>
            <b:Last>Jae-Han</b:Last>
            <b:First>Shim</b:First>
          </b:Person>
        </b:NameList>
      </b:Author>
    </b:Author>
    <b:Volume>128</b:Volume>
    <b:Issue>1</b:Issue>
    <b:DOI>10.1016/j.foodchem.2011.02.065</b:DOI>
    <b:RefOrder>9</b:RefOrder>
  </b:Source>
  <b:Source>
    <b:Tag>Geo11</b:Tag>
    <b:SourceType>JournalArticle</b:SourceType>
    <b:Guid>{F7C0E63F-8572-49C9-8348-A0B2CFD01EFE}</b:Guid>
    <b:Title>Optimización de la cantidad de sorbentes de octadecil (C18) en el método analítico QuEChERS para la determinación precisa de residuos de plaguicidas organofosforados en alimentos infantiles bajos en grasas con metodología de superficie de respuesta.</b:Title>
    <b:JournalName>Food Chemistry</b:JournalName>
    <b:Year>2011</b:Year>
    <b:Pages>536-542</b:Pages>
    <b:Author>
      <b:Author>
        <b:NameList>
          <b:Person>
            <b:Last>Georgakopoulos</b:Last>
            <b:First>Panagiotis</b:First>
          </b:Person>
          <b:Person>
            <b:Last>Zachari</b:Last>
            <b:First>Rodanthi</b:First>
          </b:Person>
          <b:Person>
            <b:Last>Mataragas</b:Last>
            <b:First>Marios</b:First>
          </b:Person>
          <b:Person>
            <b:Last>Athanasopoulos</b:Last>
            <b:First>Panagiotis</b:First>
          </b:Person>
          <b:Person>
            <b:Last>Drosinos</b:Last>
            <b:Middle>H</b:Middle>
            <b:First>Eleftherios</b:First>
          </b:Person>
          <b:Person>
            <b:Last>Skandamis</b:Last>
            <b:Middle>N</b:Middle>
            <b:First>Panagiotis</b:First>
          </b:Person>
        </b:NameList>
      </b:Author>
    </b:Author>
    <b:Volume>128</b:Volume>
    <b:Issue>2</b:Issue>
    <b:DOI>10.1016/j.foodchem.2011.03.042</b:DOI>
    <b:RefOrder>10</b:RefOrder>
  </b:Source>
  <b:Source>
    <b:Tag>Bra12</b:Tag>
    <b:SourceType>JournalArticle</b:SourceType>
    <b:Guid>{B5731E45-9B04-456D-AB25-BCCA28C400D7}</b:Guid>
    <b:Title>QuEChERS: A new sample preparation approach for the determination of ibuprofen and its metabolites in soils.</b:Title>
    <b:JournalName>Science of the Total Environment</b:JournalName>
    <b:Year>2012</b:Year>
    <b:Pages>281-289</b:Pages>
    <b:Author>
      <b:Author>
        <b:NameList>
          <b:Person>
            <b:Last>Bragança</b:Last>
            <b:First>Idalina</b:First>
          </b:Person>
          <b:Person>
            <b:Last>Plácido</b:Last>
            <b:First>Alexandra</b:First>
          </b:Person>
          <b:Person>
            <b:Last>Paíga</b:Last>
            <b:First>Paula</b:First>
          </b:Person>
          <b:Person>
            <b:Last>Domingues</b:Last>
            <b:Middle>F.</b:Middle>
            <b:First>Valentina</b:First>
          </b:Person>
          <b:Person>
            <b:Last>Dlerue-Matos</b:Last>
            <b:First>Cristina</b:First>
          </b:Person>
        </b:NameList>
      </b:Author>
    </b:Author>
    <b:DOI>10.1016/j.scitotenv.2012.06.035</b:DOI>
    <b:RefOrder>11</b:RefOrder>
  </b:Source>
  <b:Source>
    <b:Tag>Ana03</b:Tag>
    <b:SourceType>JournalArticle</b:SourceType>
    <b:Guid>{F19AFE29-38BD-433D-9E9E-C5F9930A0720}</b:Guid>
    <b:Title>Fast  and Easy Multiresidue Method Employing Acetonitrile Extraction/Partitioning and "Dispersive Solid-Phase Extractio" for the Derermination of Pesticide Residues in Produce</b:Title>
    <b:JournalName>Journal of AOAC international</b:JournalName>
    <b:Year>2003</b:Year>
    <b:Pages>412-431</b:Pages>
    <b:Author>
      <b:Author>
        <b:NameList>
          <b:Person>
            <b:Last>Anastassiades </b:Last>
            <b:First>Michelangelo</b:First>
          </b:Person>
          <b:Person>
            <b:Last>Lehotay</b:Last>
            <b:Middle>J</b:Middle>
            <b:First>Steven</b:First>
          </b:Person>
        </b:NameList>
      </b:Author>
    </b:Author>
    <b:RefOrder>12</b:RefOrder>
  </b:Source>
  <b:Source>
    <b:Tag>Koe10</b:Tag>
    <b:SourceType>JournalArticle</b:SourceType>
    <b:Guid>{8B537666-46E5-436E-9C62-3D655FF1AB55}</b:Guid>
    <b:Title>High throughput analysis of 150 pesticides in fruits and vegetables using QuEChERS and low-pressure gas chromatography-time-of-flight mass spectrometry</b:Title>
    <b:JournalName>Journal of Chromatography A</b:JournalName>
    <b:Year>2010</b:Year>
    <b:Pages>6692-6703</b:Pages>
    <b:Author>
      <b:Author>
        <b:NameList>
          <b:Person>
            <b:Last>Koesukwiwat </b:Last>
            <b:First>U.</b:First>
          </b:Person>
          <b:Person>
            <b:Last>Lehotay </b:Last>
            <b:Middle>J.</b:Middle>
            <b:First>S.</b:First>
          </b:Person>
          <b:Person>
            <b:Last>Miao</b:Last>
            <b:First>S.</b:First>
          </b:Person>
          <b:Person>
            <b:Last>Leepipatpiboon</b:Last>
            <b:First>N</b:First>
          </b:Person>
        </b:NameList>
      </b:Author>
    </b:Author>
    <b:DOI>10.1016/j.chroma.2010.05.012</b:DOI>
    <b:RefOrder>13</b:RefOrder>
  </b:Source>
  <b:Source>
    <b:Tag>Paí12</b:Tag>
    <b:SourceType>JournalArticle</b:SourceType>
    <b:Guid>{122FA2E6-012A-403F-B2BF-18DC4869DBB6}</b:Guid>
    <b:Title>Extraction of ochratoxin A iin bread samples by the QuEChERS methodology</b:Title>
    <b:JournalName>Food Chemistry</b:JournalName>
    <b:Year>2012</b:Year>
    <b:Pages>2522-2528</b:Pages>
    <b:Volume>135</b:Volume>
    <b:Issue>4</b:Issue>
    <b:DOI>10.1016/j.foodchem.2012.06.045</b:DOI>
    <b:Author>
      <b:Author>
        <b:NameList>
          <b:Person>
            <b:Last>Paíga</b:Last>
            <b:First>P.</b:First>
          </b:Person>
          <b:Person>
            <b:Last>Morais</b:Last>
            <b:First>s</b:First>
          </b:Person>
          <b:Person>
            <b:Last>Olivia-Teles</b:Last>
            <b:First>T.</b:First>
          </b:Person>
          <b:Person>
            <b:Last>Correia</b:Last>
            <b:First>M.</b:First>
          </b:Person>
          <b:Person>
            <b:Last>Delerue-Matos</b:Last>
            <b:First>C.</b:First>
          </b:Person>
          <b:Person>
            <b:Last>Duarte</b:Last>
            <b:First>S.</b:First>
          </b:Person>
          <b:Person>
            <b:Last>Lino </b:Last>
            <b:Middle>M.</b:Middle>
            <b:First>C.</b:First>
          </b:Person>
        </b:NameList>
      </b:Author>
    </b:Author>
    <b:RefOrder>14</b:RefOrder>
  </b:Source>
  <b:Source>
    <b:Tag>Pér12</b:Tag>
    <b:SourceType>JournalArticle</b:SourceType>
    <b:Guid>{15D582F3-0D61-4B24-BF4E-2132641CF0A9}</b:Guid>
    <b:Title>Quechers methodologies as an alternative to solid phase extraction (SPE) for the determination and characterization of residues of cephalosporins in beef muscle using LC–MS/MS</b:Title>
    <b:JournalName>Journal of Chomatography B</b:JournalName>
    <b:Year>2012</b:Year>
    <b:Pages>57-65</b:Pages>
    <b:Author>
      <b:Author>
        <b:NameList>
          <b:Person>
            <b:Last>Pérez-Burgos </b:Last>
            <b:First>R.</b:First>
          </b:Person>
          <b:Person>
            <b:Last>Grzelak</b:Last>
            <b:Middle>M.</b:Middle>
            <b:First>E.</b:First>
          </b:Person>
          <b:Person>
            <b:Last>Gokce</b:Last>
            <b:First>G.</b:First>
          </b:Person>
          <b:Person>
            <b:Last>Saurina</b:Last>
            <b:First>J.</b:First>
          </b:Person>
          <b:Person>
            <b:Last>Barbosa</b:Last>
            <b:First>J.</b:First>
          </b:Person>
          <b:Person>
            <b:Last>Barrón</b:Last>
            <b:First>D</b:First>
          </b:Person>
        </b:NameList>
      </b:Author>
    </b:Author>
    <b:Volume>899</b:Volume>
    <b:DOI>10.1016/j.jchromb.2012.05.002</b:DOI>
    <b:RefOrder>15</b:RefOrder>
  </b:Source>
  <b:Source>
    <b:Tag>Das12</b:Tag>
    <b:SourceType>JournalArticle</b:SourceType>
    <b:Guid>{50114001-2706-4F49-B423-9A4581C99515}</b:Guid>
    <b:Title>Simultaneous determination of 45 pesticides in fruit and vegetable using an improved QuEChERS method and on-line gel permeation chromatography-gas chromatography/mass spectrometer</b:Title>
    <b:JournalName>Journal of Chromatography B</b:JournalName>
    <b:Year>2012</b:Year>
    <b:Pages>17-24</b:Pages>
    <b:Author>
      <b:Author>
        <b:NameList>
          <b:Person>
            <b:Last>Dasheng</b:Last>
            <b:First>Lu</b:First>
          </b:Person>
          <b:Person>
            <b:Last>Xinlei</b:Last>
            <b:First> Qiu</b:First>
          </b:Person>
          <b:Person>
            <b:Last>Chao </b:Last>
            <b:First>Feng</b:First>
          </b:Person>
          <b:Person>
            <b:Last>Yu´e</b:Last>
            <b:First>jin</b:First>
          </b:Person>
          <b:Person>
            <b:Last>Yuanjie</b:Last>
            <b:First>Lin</b:First>
          </b:Person>
          <b:Person>
            <b:Last>Libei</b:Last>
            <b:First>Xiong </b:First>
          </b:Person>
          <b:Person>
            <b:Last>Yimin</b:Last>
            <b:First>Wen</b:First>
          </b:Person>
          <b:Person>
            <b:Last>Dongli</b:Last>
            <b:First>Wang</b:First>
          </b:Person>
          <b:Person>
            <b:Last>Guoquan</b:Last>
            <b:First>Wang</b:First>
          </b:Person>
        </b:NameList>
      </b:Author>
    </b:Author>
    <b:Volume>895</b:Volume>
    <b:DOI>10.1016/j.jchromb.2012.03.006</b:DOI>
    <b:RefOrder>16</b:RefOrder>
  </b:Source>
  <b:Source>
    <b:Tag>Ber15</b:Tag>
    <b:SourceType>JournalArticle</b:SourceType>
    <b:Guid>{2DB50AD1-CDE7-4499-9510-DFE0EE90722E}</b:Guid>
    <b:Title>Desarrollo de un método para el análisis de hormonas y fármacos en lombrices de tierra mediante extracción rápida, fácil, económica, eficaz, robusta y segura (QuEChERS) seguida de cromatografía líquida-espectrometría de masas en tándem (LC-MS/MS)</b:Title>
    <b:JournalName>Química Analítica y Bioanalítica</b:JournalName>
    <b:Year>2015</b:Year>
    <b:Pages>7995-8008</b:Pages>
    <b:Author>
      <b:Author>
        <b:NameList>
          <b:Person>
            <b:Last>Bergé</b:Last>
            <b:First>Alejandro</b:First>
          </b:Person>
          <b:Person>
            <b:Last>Vulliet</b:Last>
            <b:First>Yemmanuelle</b:First>
          </b:Person>
        </b:NameList>
      </b:Author>
    </b:Author>
    <b:Volume>407</b:Volume>
    <b:DOI>10.1007/s00216-015-8972-z</b:DOI>
    <b:RefOrder>17</b:RefOrder>
  </b:Source>
  <b:Source>
    <b:Tag>Gar10</b:Tag>
    <b:SourceType>JournalArticle</b:SourceType>
    <b:Guid>{D6C36EBC-FEAE-45BB-A178-493AAAF18A75}</b:Guid>
    <b:Title>Comparación de varias técnicas de extracción para el análisis multiclase de medicamentos veterinarios en huevos utilizando cromatografía líquida de ultra alta presión-espectrometría de masas en tándem</b:Title>
    <b:JournalName>Analítica Qímica Acta</b:JournalName>
    <b:Year>2010</b:Year>
    <b:Pages>150-160</b:Pages>
    <b:Author>
      <b:Author>
        <b:NameList>
          <b:Person>
            <b:Last>Garrido</b:Last>
            <b:First>Antonia</b:First>
          </b:Person>
          <b:Person>
            <b:Last>Aguilera-Luis</b:Last>
            <b:Middle>del Mar</b:Middle>
            <b:First>María </b:First>
          </b:Person>
          <b:Person>
            <b:Last>Martínez</b:Last>
            <b:Middle>Luis </b:Middle>
            <b:First>José</b:First>
          </b:Person>
          <b:Person>
            <b:Last>Romero-González</b:Last>
            <b:First>Roberto</b:First>
          </b:Person>
        </b:NameList>
      </b:Author>
    </b:Author>
    <b:Volume>661</b:Volume>
    <b:Issue>2</b:Issue>
    <b:DOI>10.1016/j.aca.2009.12.016</b:DOI>
    <b:RefOrder>18</b:RefOrder>
  </b:Source>
  <b:Source>
    <b:Tag>Plö06</b:Tag>
    <b:SourceType>JournalArticle</b:SourceType>
    <b:Guid>{16C4A62D-8302-40F9-BD5D-55C17E1D6DB6}</b:Guid>
    <b:Title>Método analítico multirresiduos que utiliza extracción dispersiva en fase sólida y cromatografía de gases/espectrometría de masas con trampa de iones para determinar productos farmacéuticos en sangre entera</b:Title>
    <b:JournalName>Revista de cromatografía A</b:JournalName>
    <b:Year>2006</b:Year>
    <b:Pages>19-26</b:Pages>
    <b:Author>
      <b:Author>
        <b:NameList>
          <b:Person>
            <b:Last>Plössl</b:Last>
            <b:First>Florian</b:First>
          </b:Person>
          <b:Person>
            <b:Last>Giera</b:Last>
            <b:First>Martin</b:First>
          </b:Person>
          <b:Person>
            <b:Last>Bracher</b:Last>
            <b:First>Franz</b:First>
          </b:Person>
        </b:NameList>
      </b:Author>
    </b:Author>
    <b:Volume>1135</b:Volume>
    <b:Issue>1</b:Issue>
    <b:DOI>10.1016/j.chroma.2006.09.033</b:DOI>
    <b:RefOrder>19</b:RefOrder>
  </b:Source>
  <b:Source>
    <b:Tag>Leh071</b:Tag>
    <b:SourceType>JournalArticle</b:SourceType>
    <b:Guid>{53928958-FF8D-459E-98A5-DA8EADA4F376}</b:Guid>
    <b:Title>Determinación de residuos de plaguicidas en alimentos mediante extracción con acetonitrilo y partición con sulfato de magnesio: estudio colaborativo</b:Title>
    <b:JournalName>Journal of AOAC International</b:JournalName>
    <b:Year>2007</b:Year>
    <b:Pages>485-520</b:Pages>
    <b:Author>
      <b:Author>
        <b:NameList>
          <b:Person>
            <b:Last>Lehotay</b:Last>
            <b:Middle>J</b:Middle>
            <b:First>Steven</b:First>
          </b:Person>
          <b:Person>
            <b:Last>O´Neil</b:Last>
            <b:First>Mary</b:First>
          </b:Person>
          <b:Person>
            <b:Last>Tully</b:Last>
            <b:First>Josée</b:First>
          </b:Person>
          <b:Person>
            <b:Last>Valverde</b:Last>
            <b:First>Antonio</b:First>
          </b:Person>
          <b:Person>
            <b:Last>Contreras</b:Last>
            <b:First>Mariano</b:First>
          </b:Person>
          <b:Person>
            <b:Last>Mol</b:Last>
            <b:First>Hans</b:First>
          </b:Person>
          <b:Person>
            <b:Last>Heinke</b:Last>
            <b:First>Volkmar</b:First>
          </b:Person>
          <b:Person>
            <b:Last>Anspach</b:Last>
            <b:First>Thomas</b:First>
          </b:Person>
          <b:Person>
            <b:Last>Lach</b:Last>
            <b:First>Günter</b:First>
          </b:Person>
          <b:Person>
            <b:Last>Fussell</b:Last>
            <b:First>Richard</b:First>
          </b:Person>
          <b:Person>
            <b:Last>Mastovska</b:Last>
            <b:First>Katerina</b:First>
          </b:Person>
          <b:Person>
            <b:Last>Erecius</b:Last>
            <b:First>Mette</b:First>
          </b:Person>
          <b:Person>
            <b:Last>Brown</b:Last>
            <b:First>Amy</b:First>
          </b:Person>
          <b:Person>
            <b:Last>Hammack</b:Last>
            <b:First>Walter</b:First>
          </b:Person>
          <b:Person>
            <b:Last>Cook </b:Last>
            <b:Middle>Marie</b:Middle>
            <b:First>Jo</b:First>
          </b:Person>
          <b:Person>
            <b:Last>Alder</b:Last>
            <b:First>Lutz</b:First>
          </b:Person>
          <b:Person>
            <b:Last>Lindtner</b:Last>
            <b:First>Karen</b:First>
          </b:Person>
          <b:Person>
            <b:Last>Gamón</b:Last>
            <b:First>Miguel</b:First>
          </b:Person>
          <b:Person>
            <b:Last>Hopper</b:Last>
            <b:First>Marvin</b:First>
          </b:Person>
          <b:Person>
            <b:Last>Kok</b:Last>
            <b:First>André </b:First>
          </b:Person>
          <b:Person>
            <b:Last>Hiemstra</b:Last>
            <b:First>Maurice</b:First>
          </b:Person>
          <b:Person>
            <b:Last>Schenck</b:Last>
            <b:First>Frank</b:First>
          </b:Person>
          <b:Person>
            <b:Last>Williams</b:Last>
            <b:First>Anthony</b:First>
          </b:Person>
          <b:Person>
            <b:Last>Parker</b:Last>
            <b:First>Alesia</b:First>
          </b:Person>
        </b:NameList>
      </b:Author>
    </b:Author>
    <b:Volume>90</b:Volume>
    <b:Issue>2</b:Issue>
    <b:DOI>10.1093/jaoac/90.2.485</b:DOI>
    <b:RefOrder>20</b:RefOrder>
  </b:Source>
  <b:Source>
    <b:Tag>Bra121</b:Tag>
    <b:SourceType>JournalArticle</b:SourceType>
    <b:Guid>{469D7880-14D9-4D27-A677-5F280CE2B3C4}</b:Guid>
    <b:Title>QuEChERS: A new samples preparation approach for the determination of ibuprofen and its matabolites in soils</b:Title>
    <b:JournalName>Science of the Total Environment</b:JournalName>
    <b:Year>2012</b:Year>
    <b:Pages>281-289</b:Pages>
    <b:Author>
      <b:Author>
        <b:NameList>
          <b:Person>
            <b:Last>Bragança</b:Last>
            <b:First>Idalina</b:First>
          </b:Person>
          <b:Person>
            <b:Last>Plácido</b:Last>
            <b:First>Alexandra</b:First>
          </b:Person>
          <b:Person>
            <b:Last>Paíga</b:Last>
            <b:First>Paula </b:First>
          </b:Person>
          <b:Person>
            <b:Last>Domingues </b:Last>
            <b:Middle>F.</b:Middle>
            <b:First>Valentina</b:First>
          </b:Person>
          <b:Person>
            <b:Last>Delerue-Matos</b:Last>
            <b:First>Cristina</b:First>
          </b:Person>
        </b:NameList>
      </b:Author>
    </b:Author>
    <b:DOI>10.1016/j.scitotenv.2012.06.035</b:DOI>
    <b:RefOrder>21</b:RefOrder>
  </b:Source>
  <b:Source>
    <b:Tag>Ber141</b:Tag>
    <b:SourceType>JournalArticle</b:SourceType>
    <b:Guid>{348D46A0-2A94-4029-8C33-630CD4BC049F}</b:Guid>
    <b:Title>Análisis multirresiduos de contaminantes emergentes en sedimentos mediante extracción basada en QuEChERS seguida de análisis LC-MS/MS</b:Title>
    <b:JournalName>Química Analítica y Bioanalítica</b:JournalName>
    <b:Year>2014</b:Year>
    <b:Pages>1259-1266</b:Pages>
    <b:Author>
      <b:Author>
        <b:NameList>
          <b:Person>
            <b:Last>Berlioz-Barbier</b:Last>
            <b:First>Alexandra</b:First>
          </b:Person>
          <b:Person>
            <b:Last>Vauchez</b:Last>
            <b:First>Antoine</b:First>
          </b:Person>
          <b:Person>
            <b:Last>Wiest</b:Last>
            <b:First>Laure</b:First>
          </b:Person>
          <b:Person>
            <b:Last>Baudot</b:Last>
            <b:First>Roberto</b:First>
          </b:Person>
          <b:Person>
            <b:Last>Vulliet</b:Last>
            <b:First>Emmanuelle</b:First>
          </b:Person>
          <b:Person>
            <b:Last>Cren-Olivé</b:Last>
            <b:First>Cécile</b:First>
          </b:Person>
        </b:NameList>
      </b:Author>
    </b:Author>
    <b:Volume>406</b:Volume>
    <b:Issue>21</b:Issue>
    <b:ShortTitle>10.1007/s00216-013-7450-8</b:ShortTitle>
    <b:RefOrder>22</b:RefOrder>
  </b:Source>
  <b:Source>
    <b:Tag>Ana07</b:Tag>
    <b:SourceType>BookSection</b:SourceType>
    <b:Guid>{CC9C6E10-99B6-479C-8685-368614DCA473}</b:Guid>
    <b:Title>Recent Developments in QuEChERS Methodology</b:Title>
    <b:BookTitle>Pesticide Chemistry: Crop Protection, Public Health, Environmental Safety</b:BookTitle>
    <b:Year>2007</b:Year>
    <b:Pages>439-458</b:Pages>
    <b:Publisher>WILEY-VCH</b:Publisher>
    <b:Author>
      <b:Author>
        <b:NameList>
          <b:Person>
            <b:Last>Anastassiades</b:Last>
            <b:First>Michelangelo</b:First>
          </b:Person>
          <b:Person>
            <b:Last>Scherbaum</b:Last>
            <b:First>Ellen</b:First>
          </b:Person>
          <b:Person>
            <b:Last>Taşdelen</b:Last>
            <b:First>Bünyamin</b:First>
          </b:Person>
          <b:Person>
            <b:Last> Štajnbaher</b:Last>
            <b:First>Darinka </b:First>
          </b:Person>
        </b:NameList>
      </b:Author>
      <b:BookAuthor>
        <b:NameList>
          <b:Person>
            <b:Last>Ohkawa</b:Last>
            <b:First>Hideo</b:First>
          </b:Person>
        </b:NameList>
      </b:BookAuthor>
    </b:Author>
    <b:DOI>10.1002/9783527611249.ch46</b:DOI>
    <b:RefOrder>23</b:RefOrder>
  </b:Source>
  <b:Source>
    <b:Tag>Sah21</b:Tag>
    <b:SourceType>JournalArticle</b:SourceType>
    <b:Guid>{3E5A7E4D-A71A-4F6B-9A33-1DE64F5C4E14}</b:Guid>
    <b:Title>Occurrence of endocrine disrupting chemicals (EDCs) in river water, ground water and agricultural soils of India</b:Title>
    <b:Year>2021</b:Year>
    <b:Pages>1-16</b:Pages>
    <b:JournalName>International Journal of Environmental Science and Technology</b:JournalName>
    <b:Author>
      <b:Author>
        <b:NameList>
          <b:Person>
            <b:Last>Saha</b:Last>
            <b:First>S.</b:First>
          </b:Person>
          <b:Person>
            <b:Last>Narayanan</b:Last>
            <b:First>N.</b:First>
          </b:Person>
          <b:Person>
            <b:Last>Singh</b:Last>
            <b:First>N.</b:First>
          </b:Person>
          <b:Person>
            <b:Last>Gupta</b:Last>
            <b:First>S.</b:First>
          </b:Person>
        </b:NameList>
      </b:Author>
    </b:Author>
    <b:DOI>10.1007/s13762-021-03858-2</b:DOI>
    <b:RefOrder>24</b:RefOrder>
  </b:Source>
  <b:Source>
    <b:Tag>Vul141</b:Tag>
    <b:SourceType>JournalArticle</b:SourceType>
    <b:Guid>{19756E24-5E88-423B-B988-2CCC57DBAB05}</b:Guid>
    <b:Title>A national reconnaissance for selected organic micropollutants in sediments on French territory</b:Title>
    <b:JournalName>Investigación de la Ciencia Ambiental y la Contaminación</b:JournalName>
    <b:Year>2014</b:Year>
    <b:Pages>11370-11379</b:Pages>
    <b:Author>
      <b:Author>
        <b:NameList>
          <b:Person>
            <b:Last>Vulliet</b:Last>
            <b:First>Emmanuelle</b:First>
          </b:Person>
          <b:Person>
            <b:Last>Berlioz-Barbier</b:Last>
            <b:First>Alexandra</b:First>
          </b:Person>
          <b:Person>
            <b:Last>Lafay</b:Last>
            <b:First> Florent</b:First>
          </b:Person>
          <b:Person>
            <b:Last>Baudot</b:Last>
            <b:First>Robert</b:First>
          </b:Person>
          <b:Person>
            <b:Last>Wiest</b:Last>
            <b:First>Laure</b:First>
          </b:Person>
          <b:Person>
            <b:Last>Vauchez</b:Last>
            <b:First>Antonie</b:First>
          </b:Person>
          <b:Person>
            <b:Last>Lestremau</b:Last>
            <b:First>François</b:First>
          </b:Person>
          <b:Person>
            <b:Last>Botta</b:Last>
            <b:First>Fabrizio</b:First>
          </b:Person>
          <b:Person>
            <b:Last>Cren-Olivé</b:Last>
            <b:First>Cécile</b:First>
          </b:Person>
        </b:NameList>
      </b:Author>
    </b:Author>
    <b:Volume>21</b:Volume>
    <b:Issue>19</b:Issue>
    <b:DOI>10.1007/s11356-014-3089-z</b:DOI>
    <b:RefOrder>25</b:RefOrder>
  </b:Source>
  <b:Source>
    <b:Tag>Liu17</b:Tag>
    <b:SourceType>JournalArticle</b:SourceType>
    <b:Guid>{ADE239FF-95CE-4B9B-B3D0-BDB5CE15A736}</b:Guid>
    <b:Title>Development and evaluation of microwave-assisted and ultrasound-assisted methods based on a quick, easy, cheap, effective, rugged, and safe sample preparation approach for the determination of bisphenol analogues in serum and sediments</b:Title>
    <b:JournalName>Journal of Separation Science</b:JournalName>
    <b:Year>2017</b:Year>
    <b:Pages>4610-4618</b:Pages>
    <b:Author>
      <b:Author>
        <b:NameList>
          <b:Person>
            <b:Last>Shanjun</b:Last>
            <b:First>Song</b:First>
          </b:Person>
          <b:Person>
            <b:Last>Shao</b:Last>
            <b:First>Mingwu</b:First>
          </b:Person>
          <b:Person>
            <b:Last>Wang</b:Last>
            <b:First>Weihua</b:First>
          </b:Person>
          <b:Person>
            <b:Last>He</b:Last>
            <b:First>Yajuan</b:First>
          </b:Person>
          <b:Person>
            <b:Last>Dai</b:Last>
            <b:First>Xinhua</b:First>
          </b:Person>
          <b:Person>
            <b:Last>Wang</b:Last>
            <b:First>Huiyu</b:First>
          </b:Person>
          <b:Person>
            <b:Last>Liu</b:Last>
            <b:First>Liliang</b:First>
          </b:Person>
          <b:Person>
            <b:Last>Guo</b:Last>
            <b:First>Feng</b:First>
          </b:Person>
        </b:NameList>
      </b:Author>
    </b:Author>
    <b:Volume>40</b:Volume>
    <b:Issue>23</b:Issue>
    <b:DOI>10.1002/jssc.201700628</b:DOI>
    <b:RefOrder>26</b:RefOrder>
  </b:Source>
  <b:Source>
    <b:Tag>Rye18</b:Tag>
    <b:SourceType>JournalArticle</b:SourceType>
    <b:Guid>{8467623A-1925-4FAD-97D7-10B16CE230B3}</b:Guid>
    <b:Title>Avances en Microextracción en Fase Sólida y Perspectiva sobre Direcciones Futuras</b:Title>
    <b:JournalName>Analytical Chemistry</b:JournalName>
    <b:Year>2018</b:Year>
    <b:Pages>302-360</b:Pages>
    <b:Author>
      <b:Author>
        <b:NameList>
          <b:Person>
            <b:Last>Reyes-Garces</b:Last>
            <b:First>Nathaly</b:First>
          </b:Person>
          <b:Person>
            <b:Last>Gionfriddo</b:Last>
            <b:First>Emanuela</b:First>
          </b:Person>
          <b:Person>
            <b:Last>Gómez-Ríos</b:Last>
            <b:First>German</b:First>
            <b:Middle>Augusto</b:Middle>
          </b:Person>
          <b:Person>
            <b:Last>Alam</b:Last>
            <b:First>Md.</b:First>
            <b:Middle>Nazmul</b:Middle>
          </b:Person>
          <b:Person>
            <b:Last>Boyaci</b:Last>
            <b:First>Ezel</b:First>
          </b:Person>
          <b:Person>
            <b:Last>Bojko</b:Last>
            <b:First>Bárbara</b:First>
          </b:Person>
          <b:Person>
            <b:Last>Singh</b:Last>
            <b:First>Varón</b:First>
          </b:Person>
          <b:Person>
            <b:Last>Grandy</b:Last>
            <b:First>Jonathan</b:First>
          </b:Person>
          <b:Person>
            <b:Last>Pawliszyn</b:Last>
            <b:First>Janusz</b:First>
          </b:Person>
        </b:NameList>
      </b:Author>
    </b:Author>
    <b:Volume>90</b:Volume>
    <b:Issue>1</b:Issue>
    <b:DOI>10.1021/acs.analchem.7b04502</b:DOI>
    <b:RefOrder>27</b:RefOrder>
  </b:Source>
  <b:Source>
    <b:Tag>Lap22</b:Tag>
    <b:SourceType>JournalArticle</b:SourceType>
    <b:Guid>{BD0ECA75-CFBD-43A8-AF0E-8C0422DD18EB}</b:Guid>
    <b:Title>Impact of a bisphenol A, F, and S mixture and maternal care on the brain transcriptome of rat dams and pups</b:Title>
    <b:JournalName>NeuroToxicology</b:JournalName>
    <b:Year>2022</b:Year>
    <b:Author>
      <b:Author>
        <b:NameList>
          <b:Person>
            <b:Last>Lapp</b:Last>
            <b:Middle>E.</b:Middle>
            <b:First>H.</b:First>
          </b:Person>
          <b:Person>
            <b:Last>Margolis</b:Last>
            <b:Middle>E.</b:Middle>
            <b:First>A.</b:First>
          </b:Person>
          <b:Person>
            <b:Last>Champagne</b:Last>
            <b:Middle>A.</b:Middle>
            <b:First>F.</b:First>
          </b:Person>
        </b:NameList>
      </b:Author>
    </b:Author>
    <b:DOI>10.1016/j.neuro.2022.08.014</b:DOI>
    <b:RefOrder>28</b:RefOrder>
  </b:Source>
  <b:Source>
    <b:Tag>Cer21</b:Tag>
    <b:SourceType>JournalArticle</b:SourceType>
    <b:Guid>{95BBDF6F-AEDB-45A4-944C-9531B4075CFB}</b:Guid>
    <b:Title>A rapid analysis of Bisphenol A using MISPE coupled with HPLC-FLD in tissues of food-producing animals</b:Title>
    <b:JournalName>MethodsX</b:JournalName>
    <b:Year>2021</b:Year>
    <b:Pages>101351</b:Pages>
    <b:Author>
      <b:Author>
        <b:NameList>
          <b:Person>
            <b:Last>Cerkvenik-Flajs</b:Last>
            <b:First>Vesna</b:First>
          </b:Person>
          <b:Person>
            <b:Last>Šturm</b:Last>
            <b:First>Sabina</b:First>
          </b:Person>
        </b:NameList>
      </b:Author>
    </b:Author>
    <b:Volume>8</b:Volume>
    <b:DOI>10.1016/j.mex.2021.101351</b:DOI>
    <b:RefOrder>29</b:RefOrder>
  </b:Source>
  <b:Source>
    <b:Tag>Lim21</b:Tag>
    <b:SourceType>JournalArticle</b:SourceType>
    <b:Guid>{1F067D8D-8234-4006-81A5-FBD17E2E1452}</b:Guid>
    <b:Title>Effects of endogenous and exogenous dissolved organic matter on sorption behaviors of bisphenol A onto soils</b:Title>
    <b:JournalName>Journal of Environmental Management</b:JournalName>
    <b:Year>2021</b:Year>
    <b:Pages>112312</b:Pages>
    <b:Author>
      <b:Author>
        <b:NameList>
          <b:Person>
            <b:Last>Limei</b:Last>
            <b:First>Mo</b:First>
          </b:Person>
          <b:Person>
            <b:Last>Qiaohui</b:Last>
            <b:First>Wang</b:First>
          </b:Person>
          <b:Person>
            <b:Last>Erping</b:Last>
            <b:First>Bi</b:First>
          </b:Person>
        </b:NameList>
      </b:Author>
    </b:Author>
    <b:Volume>287</b:Volume>
    <b:DOI>10.1016/j.jenvman.2021.112312</b:DOI>
    <b:RefOrder>30</b:RefOrder>
  </b:Source>
  <b:Source>
    <b:Tag>Rob22</b:Tag>
    <b:SourceType>JournalArticle</b:SourceType>
    <b:Guid>{CB37ACAB-F4C5-4992-8BFC-D76CE0FC4912}</b:Guid>
    <b:Title>Analytical method for the biomonitoring of bisphenols and parabens by liquid chromatography coupled to tandem mass spectrometry in human hair</b:Title>
    <b:JournalName>Ecotoxicology and Environmental Safety</b:JournalName>
    <b:Year>2022</b:Year>
    <b:Pages>113986</b:Pages>
    <b:Author>
      <b:Author>
        <b:NameList>
          <b:Person>
            <b:Last>Robin</b:Last>
            <b:First>Julien</b:First>
          </b:Person>
          <b:Person>
            <b:Last>Binson</b:Last>
            <b:First>Guillaume </b:First>
          </b:Person>
          <b:Person>
            <b:Last>Albouy</b:Last>
            <b:First>Marion</b:First>
          </b:Person>
          <b:Person>
            <b:Last>Sauvaget</b:Last>
            <b:First>Alexis</b:First>
          </b:Person>
          <b:Person>
            <b:Last>Pierre-Eugéne</b:Last>
            <b:First>Pascale</b:First>
          </b:Person>
          <b:Person>
            <b:Last>Migeot</b:Last>
            <b:First>Virginie</b:First>
          </b:Person>
          <b:Person>
            <b:Last>Dupuis</b:Last>
            <b:First>Antonie</b:First>
          </b:Person>
          <b:Person>
            <b:Last>Venisse</b:Last>
            <b:First>Nicolas</b:First>
          </b:Person>
        </b:NameList>
      </b:Author>
    </b:Author>
    <b:Volume>243</b:Volume>
    <b:DOI>10.1016/j.ecoenv.2022.113986</b:DOI>
    <b:RefOrder>31</b:RefOrder>
  </b:Source>
  <b:Source>
    <b:Tag>Wik22</b:Tag>
    <b:SourceType>JournalArticle</b:SourceType>
    <b:Guid>{5CC3F8A2-3130-4629-82A2-8E02406D126A}</b:Guid>
    <b:Title>Systematic evaluation of the evidence for identification of endocrine disrupting properties of Bisphenol F</b:Title>
    <b:JournalName>Toxicology</b:JournalName>
    <b:Year>2022</b:Year>
    <b:Pages>153255</b:Pages>
    <b:Author>
      <b:Author>
        <b:NameList>
          <b:Person>
            <b:Last>Wiklund</b:Last>
            <b:First>Linus</b:First>
          </b:Person>
          <b:Person>
            <b:Last>Beronius</b:Last>
            <b:First>Anna</b:First>
          </b:Person>
        </b:NameList>
      </b:Author>
    </b:Author>
    <b:Volume>476</b:Volume>
    <b:DOI>10.1016/j.tox.2022.153255</b:DOI>
    <b:RefOrder>32</b:RefOrder>
  </b:Source>
  <b:Source>
    <b:Tag>Rib13</b:Tag>
    <b:SourceType>Book</b:SourceType>
    <b:Guid>{71FFFCFE-A81A-4CAD-9AD9-C9C35A18416C}</b:Guid>
    <b:Title>MEJORAS EN LA BIODEGRADABILIDAD DE DISOLUCIONES SINTÉTICAS DE DISOLUCIONES SINTÉTICAS DE DE BISFENOL A MEDIANTE PROCESOS DE OXIDACIÓN AVANZADA. OXIDACIÓN AVANZADA.   </b:Title>
    <b:Year>2013</b:Year>
    <b:City>Cabtabria</b:City>
    <b:Publisher>Universidad de Cantabria</b:Publisher>
    <b:Author>
      <b:Author>
        <b:NameList>
          <b:Person>
            <b:Last>Ribao </b:Last>
            <b:First>Paula</b:First>
          </b:Person>
        </b:NameList>
      </b:Author>
    </b:Author>
    <b:RefOrder>33</b:RefOrder>
  </b:Source>
  <b:Source>
    <b:Tag>Pen20</b:Tag>
    <b:SourceType>JournalArticle</b:SourceType>
    <b:Guid>{F020CC04-0449-4C77-9045-0ECB18CB4189}</b:Guid>
    <b:Title>Analysis of five bisphenol compounds in sewage sludge by dispersiive solid-phase extraction with magnetic montmorillonite</b:Title>
    <b:JournalName>Microchemical Journal</b:JournalName>
    <b:Year>2020</b:Year>
    <b:Pages>105040</b:Pages>
    <b:Author>
      <b:Author>
        <b:NameList>
          <b:Person>
            <b:Last>Peng</b:Last>
            <b:First>Guilong</b:First>
          </b:Person>
          <b:Person>
            <b:Last>Lu</b:Last>
            <b:First>Ying</b:First>
          </b:Person>
          <b:Person>
            <b:Last>You</b:Last>
            <b:First>Wenqiao</b:First>
          </b:Person>
          <b:Person>
            <b:Last>Yin</b:Last>
            <b:First>Zhenyao</b:First>
          </b:Person>
          <b:Person>
            <b:Last>Li</b:Last>
            <b:First>Youlin</b:First>
          </b:Person>
          <b:Person>
            <b:Last>Gao</b:Last>
            <b:First>Yi</b:First>
          </b:Person>
        </b:NameList>
      </b:Author>
    </b:Author>
    <b:Volume>157</b:Volume>
    <b:DOI>10.1016/j.microc.2020.105040</b:DOI>
    <b:RefOrder>34</b:RefOrder>
  </b:Source>
  <b:Source>
    <b:Tag>sal14</b:Tag>
    <b:SourceType>JournalArticle</b:SourceType>
    <b:Guid>{4C43AC36-AD1D-4496-8270-95DDD588118C}</b:Guid>
    <b:Title>Analysis of endocrine disruptor compounds in marine sediments by in cell cleand up-pressurized liquid extraction-liquid chomatography tadem mass spectrometry determination</b:Title>
    <b:JournalName>Analytica Chimica Acta</b:JournalName>
    <b:Year>2014</b:Year>
    <b:Pages>112-120</b:Pages>
    <b:Author>
      <b:Author>
        <b:NameList>
          <b:Person>
            <b:Last>salgueiro-González </b:Last>
            <b:First>N.</b:First>
          </b:Person>
          <b:Person>
            <b:Last>Turnes-Carou</b:Last>
            <b:First>I.</b:First>
          </b:Person>
          <b:Person>
            <b:Last>Muniategui-Lorenzo</b:Last>
            <b:First>S.</b:First>
          </b:Person>
          <b:Person>
            <b:Last>López-Mahía</b:Last>
            <b:First>P.</b:First>
          </b:Person>
          <b:Person>
            <b:Last>Prada-Rodríguez</b:Last>
            <b:First>D.</b:First>
          </b:Person>
        </b:NameList>
      </b:Author>
    </b:Author>
    <b:Volume>852</b:Volume>
    <b:DOI>10.1016/j.aca.2014.09.041</b:DOI>
    <b:RefOrder>35</b:RefOrder>
  </b:Source>
  <b:Source>
    <b:Tag>Llo09</b:Tag>
    <b:SourceType>JournalArticle</b:SourceType>
    <b:Guid>{96647BF8-5064-4781-9431-245B5CA53659}</b:Guid>
    <b:Title>Analysis oof chlorophrnols, bisphenol-A, 4-tert-octyphenol and 4-nonylphenols in soil by means of ultrasonic solvent extraction and stir bar sorptive extractiion with in situ derivatisation</b:Title>
    <b:JournalName>journal of Chromatography A</b:JournalName>
    <b:Year>2009</b:Year>
    <b:Pages>5955-5961</b:Pages>
    <b:Author>
      <b:Author>
        <b:NameList>
          <b:Person>
            <b:Last>Llorca-Pórcel</b:Last>
            <b:First>Julio</b:First>
          </b:Person>
          <b:Person>
            <b:Last>Martínez-Parreño</b:Last>
            <b:First>Marta</b:First>
          </b:Person>
          <b:Person>
            <b:Last>Martínez-Soriano</b:Last>
            <b:First>Esther</b:First>
          </b:Person>
          <b:Person>
            <b:Last>Valor</b:Last>
            <b:First>Ignacio</b:First>
          </b:Person>
        </b:NameList>
      </b:Author>
    </b:Author>
    <b:Volume>1216</b:Volume>
    <b:DOI>10.1016-j.chroma.2009.06.043</b:DOI>
    <b:RefOrder>36</b:RefOrder>
  </b:Source>
  <b:Source>
    <b:Tag>Lóp13</b:Tag>
    <b:SourceType>JournalArticle</b:SourceType>
    <b:Guid>{2CB0B2DE-9C0B-4BF5-98BE-20A4E241BFF0}</b:Guid>
    <b:Title>Restricted access property supramolecular solvents for combined microextraction of endocrine disruptors in sediment and sample cleanup prior to their quantification by liquid chrmatography-tadem mass spectrometry</b:Title>
    <b:JournalName>Journal of Chromatography A</b:JournalName>
    <b:Year>2013</b:Year>
    <b:Pages>1-8</b:Pages>
    <b:Author>
      <b:Author>
        <b:NameList>
          <b:Person>
            <b:Last>López-Jiménez</b:Last>
            <b:Middle>J.</b:Middle>
            <b:First>F.</b:First>
          </b:Person>
          <b:Person>
            <b:Last>Rosales-Marcano</b:Last>
            <b:First>M.</b:First>
          </b:Person>
          <b:Person>
            <b:Last>Rubio</b:Last>
            <b:First>S.</b:First>
          </b:Person>
        </b:NameList>
      </b:Author>
    </b:Author>
    <b:Volume>1303</b:Volume>
    <b:DOI>10.1016/j.chroma.2013.06.043</b:DOI>
    <b:RefOrder>37</b:RefOrder>
  </b:Source>
  <b:Source>
    <b:Tag>Sal15</b:Tag>
    <b:SourceType>JournalArticle</b:SourceType>
    <b:Guid>{D3F6B470-923A-4FA0-A8A5-BCDEF607B0CF}</b:Guid>
    <b:Title>Pressurized hot water extraction follwed by miniaturized membrane assisted solvent extraction for the green analysis of alkylphenols in sediments</b:Title>
    <b:JournalName>Journal of Chromatography A</b:JournalName>
    <b:Year>2015</b:Year>
    <b:Pages>8-17</b:Pages>
    <b:Author>
      <b:Author>
        <b:NameList>
          <b:Person>
            <b:Last>Salgueiro-González</b:Last>
            <b:First>N.</b:First>
          </b:Person>
          <b:Person>
            <b:Last>Turnes-Carou</b:Last>
            <b:First>I.</b:First>
          </b:Person>
          <b:Person>
            <b:Last>Muniategui-Lorenzo</b:Last>
            <b:First>S.</b:First>
          </b:Person>
          <b:Person>
            <b:Last>López-Mahía</b:Last>
            <b:First>P.</b:First>
          </b:Person>
          <b:Person>
            <b:Last>Prada-Rodríguez</b:Last>
            <b:First>D.</b:First>
          </b:Person>
        </b:NameList>
      </b:Author>
    </b:Author>
    <b:Volume>1383</b:Volume>
    <b:DOI>10.1016/j.chroma.2015.01.022</b:DOI>
    <b:RefOrder>38</b:RefOrder>
  </b:Source>
  <b:Source>
    <b:Tag>Abr18</b:Tag>
    <b:SourceType>JournalArticle</b:SourceType>
    <b:Guid>{6C8ADAE3-AD89-4CED-89B9-798CCA5A1CCA}</b:Guid>
    <b:Title>Determination of perfluorinated compounds, bisphenol A, anionic surfactants and personal care products in digested sludge, compost and oil by liquid-chromatography-tadem mass spectrometry</b:Title>
    <b:JournalName>Journal of Chromatography A</b:JournalName>
    <b:Year>2018</b:Year>
    <b:Author>
      <b:Author>
        <b:NameList>
          <b:Person>
            <b:Last>Abril</b:Last>
            <b:First>Concepción</b:First>
          </b:Person>
          <b:Person>
            <b:Last>Santos</b:Last>
            <b:Middle>Luis</b:Middle>
            <b:First>Juan</b:First>
          </b:Person>
          <b:Person>
            <b:Last>Malvar</b:Last>
            <b:Middle>Luis</b:Middle>
            <b:First>José</b:First>
          </b:Person>
          <b:Person>
            <b:Last>Martín</b:Last>
            <b:First>Julia</b:First>
          </b:Person>
          <b:Person>
            <b:Last>Aparicio</b:Last>
            <b:First>Irene</b:First>
          </b:Person>
          <b:Person>
            <b:Last>Alonso</b:Last>
            <b:First>Esteban</b:First>
          </b:Person>
        </b:NameList>
      </b:Author>
    </b:Author>
    <b:DOI>10.1016/j.chroma.2018.09.028</b:DOI>
    <b:RefOrder>39</b:RefOrder>
  </b:Source>
  <b:Source>
    <b:Tag>Ban13</b:Tag>
    <b:SourceType>JournalArticle</b:SourceType>
    <b:Guid>{E94879F1-A2E9-4E3E-B3FB-ABF2BB6C93A7}</b:Guid>
    <b:Title>Trace level determination of bisphenol-A in wastewater and sewage sludge by high-perfomance liquid chromatography and UV detection</b:Title>
    <b:JournalName>Water Quality Research Journal of Canada</b:JournalName>
    <b:Year>2013</b:Year>
    <b:Author>
      <b:Author>
        <b:NameList>
          <b:Person>
            <b:Last>Banihashemi</b:Last>
            <b:First>Bahman</b:First>
          </b:Person>
          <b:Person>
            <b:Last>Droste</b:Last>
            <b:Middle>L.</b:Middle>
            <b:First>Ronald</b:First>
          </b:Person>
        </b:NameList>
      </b:Author>
    </b:Author>
    <b:DOI>10.2166/wqrjc.2013.037</b:DOI>
    <b:RefOrder>40</b:RefOrder>
  </b:Source>
  <b:Source>
    <b:Tag>Bos08</b:Tag>
    <b:SourceType>JournalArticle</b:SourceType>
    <b:Guid>{3D2726EC-2548-4889-8717-0CB924EF71E3}</b:Guid>
    <b:Title>Application of ulltrasonic assisted extraction of chemically diverse organic compounds from soil and sediments</b:Title>
    <b:Year>2008</b:Year>
    <b:Pages>858-864</b:Pages>
    <b:Author>
      <b:Author>
        <b:NameList>
          <b:Person>
            <b:Last>Bossio</b:Last>
            <b:Middle>P.</b:Middle>
            <b:First>Joseph</b:First>
          </b:Person>
          <b:Person>
            <b:Last>Harry</b:Last>
            <b:First>Jason</b:First>
          </b:Person>
          <b:Person>
            <b:Last>Kinney</b:Last>
            <b:Middle>A.</b:Middle>
            <b:First>Chad</b:First>
          </b:Person>
        </b:NameList>
      </b:Author>
    </b:Author>
    <b:Volume>70</b:Volume>
    <b:Issue>5</b:Issue>
    <b:DOI>10.1016/j.chemosphere.2007.06.088</b:DOI>
    <b:RefOrder>41</b:RefOrder>
  </b:Source>
  <b:Source>
    <b:Tag>Cav16</b:Tag>
    <b:SourceType>JournalArticle</b:SourceType>
    <b:Guid>{CE32C928-E9AA-4D13-B3C5-9C038A5FF70A}</b:Guid>
    <b:Title>Multiresidue analysis of endocrine-disrupting compounds and perfluorinated sulfates and carboxylic acids in sediments by ultra-high-performance liquid chromatography-tandem mass spectrometry</b:Title>
    <b:JournalName>Journal of Chromatography A</b:JournalName>
    <b:Year>2016</b:Year>
    <b:Pages>133-142</b:Pages>
    <b:Author>
      <b:Author>
        <b:NameList>
          <b:Person>
            <b:Last>Cavaliere</b:Last>
            <b:First>Chiara</b:First>
          </b:Person>
          <b:Person>
            <b:Last>Capriotti</b:Last>
            <b:Middle>Laura</b:Middle>
            <b:First>Anna</b:First>
          </b:Person>
          <b:Person>
            <b:Last>Ferraris</b:Last>
            <b:First>Francesca</b:First>
          </b:Person>
          <b:Person>
            <b:Last>Foglia</b:Last>
            <b:First>Patrizia</b:First>
          </b:Person>
          <b:Person>
            <b:Last>Samperi</b:Last>
            <b:First>Roberto</b:First>
          </b:Person>
          <b:Person>
            <b:Last>Ventura</b:Last>
            <b:First>Salvatore</b:First>
          </b:Person>
          <b:Person>
            <b:Last>Laganá</b:Last>
            <b:First>Aldo</b:First>
          </b:Person>
        </b:NameList>
      </b:Author>
    </b:Author>
    <b:Volume>1438</b:Volume>
    <b:DOI>10.1016/j.chroma.2016.02.022</b:DOI>
    <b:RefOrder>42</b:RefOrder>
  </b:Source>
  <b:Source>
    <b:Tag>Der12</b:Tag>
    <b:SourceType>JournalArticle</b:SourceType>
    <b:Guid>{240CFD66-6044-4F13-9A51-50242DF48F68}</b:Guid>
    <b:Title>A novel preconcentration strategy for extraction methods based on common cationic surfactants: An alternative to classical coacervative extraction</b:Title>
    <b:JournalName>Journal of Chromatography A</b:JournalName>
    <b:Year>2012</b:Year>
    <b:Pages>9-18</b:Pages>
    <b:Author>
      <b:Author>
        <b:NameList>
          <b:Person>
            <b:Last>Dergado</b:Last>
            <b:First>Bárbara</b:First>
          </b:Person>
          <b:Person>
            <b:Last>Pino</b:Last>
            <b:First>Verónica</b:First>
          </b:Person>
          <b:Person>
            <b:Last>Ayala</b:Last>
            <b:Middle>H.</b:Middle>
            <b:First>Juan</b:First>
          </b:Person>
          <b:Person>
            <b:Last>Afonso</b:Last>
            <b:Middle>M.</b:Middle>
            <b:First>Ana</b:First>
          </b:Person>
          <b:Person>
            <b:Last>González</b:Last>
            <b:First>Venerando</b:First>
          </b:Person>
        </b:NameList>
      </b:Author>
    </b:Author>
    <b:Volume>1257</b:Volume>
    <b:DOI>10.1016/j.chroma.2012.08.026</b:DOI>
    <b:RefOrder>43</b:RefOrder>
  </b:Source>
  <b:Source>
    <b:Tag>Jia</b:Tag>
    <b:SourceType>JournalArticle</b:SourceType>
    <b:Guid>{76E6507D-B8A6-4BBC-B576-7F812CDAFCFC}</b:Guid>
    <b:Title>Novel estraction for endocrine disruptors in atmospheric particulate matter</b:Title>
    <b:Author>
      <b:Author>
        <b:NameList>
          <b:Person>
            <b:Last>Jiao</b:Last>
            <b:First>Zhe</b:First>
          </b:Person>
          <b:Person>
            <b:Last>Guo</b:Last>
            <b:First>Zongning</b:First>
          </b:Person>
          <b:Person>
            <b:Last>Zhang</b:Last>
            <b:First>Suling</b:First>
          </b:Person>
          <b:Person>
            <b:Last>Chen</b:Last>
            <b:First>Hongwei</b:First>
          </b:Person>
          <b:Person>
            <b:Last>Xie</b:Last>
            <b:First>Hongqin</b:First>
          </b:Person>
          <b:Person>
            <b:Last>Zeng </b:Last>
            <b:First>Shaohan</b:First>
          </b:Person>
        </b:NameList>
      </b:Author>
    </b:Author>
    <b:JournalName>Analytical Letters</b:JournalName>
    <b:Year>2015</b:Year>
    <b:Pages>1355-1366</b:Pages>
    <b:Volume>48</b:Volume>
    <b:DOI>10.1080/0003232719.2014.981821</b:DOI>
    <b:RefOrder>44</b:RefOrder>
  </b:Source>
  <b:Source>
    <b:Tag>LiD03</b:Tag>
    <b:SourceType>JournalArticle</b:SourceType>
    <b:Guid>{9C3D3B52-B86E-44A7-9A2A-666B34C291EA}</b:Guid>
    <b:Title>Direct extraction of alkylphenols, chlorophenols and bisphenol A from acid-digested sediment suspension for simultaneous gas chromatographic-mas spectrometric analysis</b:Title>
    <b:JournalName>Journal of Chromatography A</b:JournalName>
    <b:Year>2003</b:Year>
    <b:Pages>207-214</b:Pages>
    <b:Author>
      <b:Author>
        <b:NameList>
          <b:Person>
            <b:Last>Li</b:Last>
            <b:First>Donghao</b:First>
          </b:Person>
          <b:Person>
            <b:Last>Oh</b:Last>
            <b:First>Jae-Ryoung</b:First>
          </b:Person>
          <b:Person>
            <b:Last>Park</b:Last>
            <b:First>Jongman</b:First>
          </b:Person>
        </b:NameList>
      </b:Author>
    </b:Author>
    <b:Volume>1012</b:Volume>
    <b:DOI>10.1016/S0021-9673(03)01174-9</b:DOI>
    <b:RefOrder>45</b:RefOrder>
  </b:Source>
  <b:Source>
    <b:Tag>Liu18</b:Tag>
    <b:SourceType>JournalArticle</b:SourceType>
    <b:Guid>{4C36BCF9-76CF-4DCC-99CF-2225989135F8}</b:Guid>
    <b:Title>Rapidly detecting tetrabromobisphenol A in soils and sediments by paper spray ionization mass spectrometry combined with isotopic internal standard</b:Title>
    <b:JournalName>Talanta</b:JournalName>
    <b:Year>2018</b:Year>
    <b:Author>
      <b:Author>
        <b:NameList>
          <b:Person>
            <b:Last>Liu</b:Last>
            <b:First>Huan</b:First>
          </b:Person>
          <b:Person>
            <b:Last>Gao</b:Last>
            <b:First>Wei</b:First>
          </b:Person>
          <b:Person>
            <b:Last>Tian</b:Last>
            <b:First>Yong</b:First>
          </b:Person>
          <b:Person>
            <b:Last>Liu</b:Last>
            <b:First>Aifeng</b:First>
          </b:Person>
          <b:Person>
            <b:Last>Wang</b:Last>
            <b:First>Zhenhua</b:First>
          </b:Person>
          <b:Person>
            <b:Last>Cai</b:Last>
            <b:First>Yaqi</b:First>
          </b:Person>
          <b:Person>
            <b:Last>Zhao</b:Last>
            <b:First>Zongshan</b:First>
          </b:Person>
        </b:NameList>
      </b:Author>
    </b:Author>
    <b:DOI>10.1016/j.talanta.2018.08.069</b:DOI>
    <b:RefOrder>46</b:RefOrder>
  </b:Source>
  <b:Source>
    <b:Tag>Mij15</b:Tag>
    <b:SourceType>JournalArticle</b:SourceType>
    <b:Guid>{18A7B860-B6E9-4D78-B025-DF579DF89AB5}</b:Guid>
    <b:Title>Simultaneous determination of a variety of endocrine disrupting compounds in carrot, lettuce and amended soil by means of focused ultrasonic solid–liquid extraction and dispersive solid-phase extraction as simplified clean-up strategy</b:Title>
    <b:JournalName>Journal of Chromatography A</b:JournalName>
    <b:Year>2015</b:Year>
    <b:Pages>8-18</b:Pages>
    <b:Author>
      <b:Author>
        <b:NameList>
          <b:Person>
            <b:Last>Mijangos</b:Last>
            <b:First>L.</b:First>
          </b:Person>
          <b:Person>
            <b:Last>Bizkarguenaga</b:Last>
            <b:First>E.</b:First>
          </b:Person>
          <b:Person>
            <b:Last>Prieto</b:Last>
            <b:First>A.</b:First>
          </b:Person>
          <b:Person>
            <b:Last>Fernández</b:Last>
            <b:Middle>A.</b:Middle>
            <b:First>L.</b:First>
          </b:Person>
          <b:Person>
            <b:Last>Zuloaga</b:Last>
            <b:First>O.</b:First>
          </b:Person>
        </b:NameList>
      </b:Author>
    </b:Author>
    <b:Volume>1389</b:Volume>
    <b:DOI>10.1016/j.chroma.2015.02.036</b:DOI>
    <b:RefOrder>47</b:RefOrder>
  </b:Source>
  <b:Source>
    <b:Tag>Poj07</b:Tag>
    <b:SourceType>JournalArticle</b:SourceType>
    <b:Guid>{DBED5A2E-A635-4E1F-A539-18C4E07DD56D}</b:Guid>
    <b:Title>Natural and synthetic endocrine disrupting compounds (EDCs) in water, sediment and biota of a coastal lagoon</b:Title>
    <b:JournalName>Environment International</b:JournalName>
    <b:Year>2007</b:Year>
    <b:Pages>929-936</b:Pages>
    <b:Author>
      <b:Author>
        <b:NameList>
          <b:Person>
            <b:Last>Pojana</b:Last>
            <b:First>Giulio</b:First>
          </b:Person>
          <b:Person>
            <b:Last>Gomiero</b:Last>
            <b:First>Alessio</b:First>
          </b:Person>
          <b:Person>
            <b:Last>Jonkers</b:Last>
            <b:First>Niels</b:First>
          </b:Person>
          <b:Person>
            <b:Last>Marcomini</b:Last>
            <b:First>Antonio</b:First>
          </b:Person>
        </b:NameList>
      </b:Author>
    </b:Author>
    <b:Volume>33</b:Volume>
    <b:Issue>7</b:Issue>
    <b:DOI>10.1016/j.envint.2007.05.003</b:DOI>
    <b:RefOrder>48</b:RefOrder>
  </b:Source>
  <b:Source>
    <b:Tag>Wan09</b:Tag>
    <b:SourceType>JournalArticle</b:SourceType>
    <b:Guid>{BCEA9AF0-CF75-4C23-A4B1-C153A286C0F9}</b:Guid>
    <b:Title>Ultra-high-pressure liquid chromatography–tandem mass spectrometry method for the determination of alkylphenols in soil</b:Title>
    <b:JournalName>Journal of Chromatography A</b:JournalName>
    <b:Year>2009</b:Year>
    <b:Pages>2499-2503</b:Pages>
    <b:Author>
      <b:Author>
        <b:NameList>
          <b:Person>
            <b:Last>Wang</b:Last>
            <b:First>Jing</b:First>
          </b:Person>
          <b:Person>
            <b:Last>Pan</b:Last>
            <b:First>Hefang</b:First>
          </b:Person>
          <b:Person>
            <b:Last>Liu</b:Last>
            <b:First>Zhengzheng</b:First>
          </b:Person>
          <b:Person>
            <b:Last>Ge</b:Last>
            <b:First>Fei</b:First>
          </b:Person>
        </b:NameList>
      </b:Author>
    </b:Author>
    <b:Volume>1216</b:Volume>
    <b:DOI>10.1016/j.chroma.2009.01.062</b:DOI>
    <b:RefOrder>49</b:RefOrder>
  </b:Source>
  <b:Source>
    <b:Tag>Yan14</b:Tag>
    <b:SourceType>JournalArticle</b:SourceType>
    <b:Guid>{74BDE1FC-71E3-4173-9143-F978AB658902}</b:Guid>
    <b:Title>Simultaneous determination of seven bisphenols in environmental water and solid samples by liquid chromatography–electrospray tandem mass spectrometry</b:Title>
    <b:JournalName>Journal of Chromatography A</b:JournalName>
    <b:Year>2014</b:Year>
    <b:Pages>26-34</b:Pages>
    <b:Author>
      <b:Author>
        <b:NameList>
          <b:Person>
            <b:Last>Yang</b:Last>
            <b:First>Yunjia</b:First>
          </b:Person>
          <b:Person>
            <b:Last>Lu</b:Last>
            <b:First>Libin</b:First>
          </b:Person>
          <b:Person>
            <b:Last>Zhang</b:Last>
            <b:First>Jing</b:First>
          </b:Person>
          <b:Person>
            <b:Last>Yang</b:Last>
            <b:First>Yi</b:First>
          </b:Person>
          <b:Person>
            <b:Last>Wu</b:Last>
            <b:First>Yongning </b:First>
          </b:Person>
          <b:Person>
            <b:Last>Shao</b:Last>
            <b:First>Bing</b:First>
          </b:Person>
        </b:NameList>
      </b:Author>
    </b:Author>
    <b:Volume>1328</b:Volume>
    <b:DOI>10.1016/j.chroma.2013.12.074</b:DOI>
    <b:RefOrder>50</b:RefOrder>
  </b:Source>
  <b:Source>
    <b:Tag>YuY12</b:Tag>
    <b:SourceType>JournalArticle</b:SourceType>
    <b:Guid>{EABE6507-2BA4-413E-8633-8364F7BEDA58}</b:Guid>
    <b:Title>Analysis of endocrine disrupting compounds, pharmaceuticals and personal care products in sewage sludge by gas chromatography–mass spectrometry</b:Title>
    <b:JournalName>Talanta</b:JournalName>
    <b:Year>2012</b:Year>
    <b:Pages>258-263</b:Pages>
    <b:Author>
      <b:Author>
        <b:NameList>
          <b:Person>
            <b:Last>Yu</b:Last>
            <b:First>Yong</b:First>
          </b:Person>
          <b:Person>
            <b:Last>Wu</b:Last>
            <b:First>Laosheng</b:First>
          </b:Person>
        </b:NameList>
      </b:Author>
    </b:Author>
    <b:Volume>89</b:Volume>
    <b:DOI>10.1016/j.talanta.2011.12.023</b:DOI>
    <b:RefOrder>51</b:RefOrder>
  </b:Source>
  <b:Source>
    <b:Tag>Zha12</b:Tag>
    <b:SourceType>JournalArticle</b:SourceType>
    <b:Guid>{EF9ADE27-C966-4D91-985A-D5DF443945BF}</b:Guid>
    <b:Title>Purification and determination of bisphenol A and alkylphenol in river sediments by high performance liquid chromatography with fluorescence detection</b:Title>
    <b:JournalName>Analytical Methods</b:JournalName>
    <b:Year>2012</b:Year>
    <b:Pages>4030-4036</b:Pages>
    <b:Author>
      <b:Author>
        <b:NameList>
          <b:Person>
            <b:Last>Zhang</b:Last>
            <b:First>Shijuan</b:First>
          </b:Person>
          <b:Person>
            <b:Last>You</b:Last>
            <b:First>Jinmao</b:First>
          </b:Person>
          <b:Person>
            <b:Last>Song</b:Last>
            <b:First>Cuihua</b:First>
          </b:Person>
          <b:Person>
            <b:Last>Chen</b:Last>
            <b:First>Guang</b:First>
          </b:Person>
          <b:Person>
            <b:Last>Suo</b:Last>
            <b:First>Yourui</b:First>
          </b:Person>
        </b:NameList>
      </b:Author>
    </b:Author>
    <b:Volume>4</b:Volume>
    <b:Issue>12</b:Issue>
    <b:DOI>10.1039/c2ay25865j</b:DOI>
    <b:RefOrder>52</b:RefOrder>
  </b:Source>
  <b:Source>
    <b:Tag>Vul12</b:Tag>
    <b:SourceType>JournalArticle</b:SourceType>
    <b:Guid>{D4204216-3688-4B7D-94A5-E9901A197A0B}</b:Guid>
    <b:Title>Development of a multi-residue method using acetonitrile-based extraction followed by liquid chromatography–tandem mass spectrometry for the analysis of steroids and veterinary and human drugs at trace levels in soil</b:Title>
    <b:JournalName>Journal of Chromatography A</b:JournalName>
    <b:Year>2012</b:Year>
    <b:Pages>122-133</b:Pages>
    <b:Author>
      <b:Author>
        <b:NameList>
          <b:Person>
            <b:Last>Vulliet</b:Last>
            <b:First>Emmanuelle</b:First>
          </b:Person>
          <b:Person>
            <b:Last>Wiest</b:Last>
            <b:First>Laure</b:First>
          </b:Person>
          <b:Person>
            <b:Last>Baudont</b:Last>
            <b:First>Robert</b:First>
          </b:Person>
          <b:Person>
            <b:Last>Cren-Olivé</b:Last>
            <b:First>Cécile</b:First>
          </b:Person>
          <b:Person>
            <b:Last>Salvia</b:Last>
            <b:First>Marie-Virginie</b:First>
          </b:Person>
        </b:NameList>
      </b:Author>
    </b:Author>
    <b:Volume>1245</b:Volume>
    <b:DOI>10.1016/j.chroma.2012.05.034</b:DOI>
    <b:RefOrder>53</b:RefOrder>
  </b:Source>
  <b:Source>
    <b:Tag>Rod14</b:Tag>
    <b:SourceType>JournalArticle</b:SourceType>
    <b:Guid>{BE6262FF-7F33-49FA-B8E4-5DD888E3F815}</b:Guid>
    <b:Title>Empleo de la radiación ultrasónica para la extracción de compuestos bioactivos provenientes de fuentes naturales. Estado actual y perspectivas</b:Title>
    <b:JournalName>Revista CENIC Ciencias Químicas</b:JournalName>
    <b:Year>2014</b:Year>
    <b:Pages>139-147</b:Pages>
    <b:Author>
      <b:Author>
        <b:NameList>
          <b:Person>
            <b:Last>Rodríguez-Riera</b:Last>
            <b:First>Zalua</b:First>
          </b:Person>
          <b:Person>
            <b:Last>Robania-Mesa</b:Last>
            <b:First>Malvis</b:First>
          </b:Person>
          <b:Person>
            <b:Last>Jáuregui-Haza</b:Last>
            <b:First>Ulises</b:First>
          </b:Person>
          <b:Person>
            <b:Last>Blanco-González</b:Last>
            <b:First>Alejandro</b:First>
          </b:Person>
          <b:Person>
            <b:Last>Rodríguez-Chanfrau</b:Last>
            <b:Middle>E.</b:Middle>
            <b:First>Jorge</b:First>
          </b:Person>
        </b:NameList>
      </b:Author>
    </b:Author>
    <b:Volume>45</b:Volume>
    <b:RefOrder>54</b:RefOrder>
  </b:Source>
  <b:Source>
    <b:Tag>DeL</b:Tag>
    <b:SourceType>JournalArticle</b:SourceType>
    <b:Guid>{35DDF113-81E5-4598-9746-F3F3BBDEF629}</b:Guid>
    <b:Author>
      <b:Author>
        <b:NameList>
          <b:Person>
            <b:Last>De León</b:Last>
            <b:Middle>Elizabeth</b:Middle>
            <b:First>Flor</b:First>
          </b:Person>
        </b:NameList>
      </b:Author>
    </b:Author>
    <b:Title>Estudio de transporte de masa en la extracción asistida con ultrasonido de alta intensidad de compuestos fenólicos en uvas syrah (Vitis Vinífera)</b:Title>
    <b:JournalName>Benemérita Universidad Autónoma de Puebla</b:JournalName>
    <b:Year>2021</b:Year>
    <b:RefOrder>55</b:RefOrder>
  </b:Source>
  <b:Source>
    <b:Tag>Agu21</b:Tag>
    <b:SourceType>JournalArticle</b:SourceType>
    <b:Guid>{CCCB8247-B0DB-442D-942F-60423915C54D}</b:Guid>
    <b:Title>Antioxidant capacity and antibacterial activity from Annona cherimola phytochemicals by ultrasound-assisted extraction and its comparison to conventional methods</b:Title>
    <b:JournalName>Arabian Journal of Chemistry</b:JournalName>
    <b:Year>2021</b:Year>
    <b:Pages>103239</b:Pages>
    <b:Author>
      <b:Author>
        <b:NameList>
          <b:Person>
            <b:Last>Aguilar-Villalva</b:Last>
            <b:First>Ricardo</b:First>
          </b:Person>
          <b:Person>
            <b:Last>Molina</b:Last>
            <b:Middle>A.</b:Middle>
            <b:First>Gustavo</b:First>
          </b:Person>
          <b:Person>
            <b:Last>España-Sánchez</b:Last>
            <b:Middle>Liliana</b:Middle>
            <b:First>Beatriz</b:First>
          </b:Person>
          <b:Person>
            <b:Last>Díaz-Peña</b:Last>
            <b:Middle>Fernando</b:Middle>
            <b:First>Luis</b:First>
          </b:Person>
          <b:Person>
            <b:Last>Elizalde-Mata</b:Last>
            <b:First>Alberto</b:First>
          </b:Person>
          <b:Person>
            <b:Last>Valerio</b:Last>
            <b:First>Edgar</b:First>
          </b:Person>
          <b:Person>
            <b:Last>Aranza-Ricardo</b:Last>
            <b:First>Cristy</b:First>
          </b:Person>
          <b:Person>
            <b:Last>Estevez</b:Last>
            <b:First>Miriam</b:First>
          </b:Person>
        </b:NameList>
      </b:Author>
    </b:Author>
    <b:Volume>14</b:Volume>
    <b:Issue>7</b:Issue>
    <b:DOI>10.1016/j.arabjc.2021.103239</b:DOI>
    <b:RefOrder>56</b:RefOrder>
  </b:Source>
  <b:Source>
    <b:Tag>And21</b:Tag>
    <b:SourceType>JournalArticle</b:SourceType>
    <b:Guid>{386EAFF9-06AA-4290-8C0B-3AE8BEB82C04}</b:Guid>
    <b:Title>Ultrasound-assisted pressurized liquid extraction of anthocyanins from Aronia melanocarpa pomace</b:Title>
    <b:JournalName>Separation and Purification Technology</b:JournalName>
    <b:Year>2021</b:Year>
    <b:Pages>119290</b:Pages>
    <b:Author>
      <b:Author>
        <b:NameList>
          <b:Person>
            <b:Last>Andrade</b:Last>
            <b:Middle>Allan</b:Middle>
            <b:First>Thalles</b:First>
          </b:Person>
          <b:Person>
            <b:Last>Hamerski</b:Last>
            <b:First>Fabiane</b:First>
          </b:Person>
          <b:Person>
            <b:Last>López-Fetzer</b:Last>
            <b:Middle>Estuardo</b:Middle>
            <b:First>Damian</b:First>
          </b:Person>
          <b:Person>
            <b:Last>Roda-Serrat</b:Last>
            <b:Middle>Cinta</b:Middle>
            <b:First>Maria</b:First>
          </b:Person>
          <b:Person>
            <b:Last>Corazza</b:Last>
            <b:Middle>Lúcio</b:Middle>
            <b:First>Marcos</b:First>
          </b:Person>
          <b:Person>
            <b:Last>Norddahl</b:Last>
            <b:First>Birgir</b:First>
          </b:Person>
          <b:Person>
            <b:Last>Errico</b:Last>
            <b:First>Massimiliano</b:First>
          </b:Person>
        </b:NameList>
      </b:Author>
    </b:Author>
    <b:Volume>276</b:Volume>
    <b:DOI>10.1016/j.seppur.2021.119290</b:DOI>
    <b:RefOrder>57</b:RefOrder>
  </b:Source>
  <b:Source>
    <b:Tag>Sou21</b:Tag>
    <b:SourceType>JournalArticle</b:SourceType>
    <b:Guid>{82F2DDF0-D101-449D-BCD6-AC68F2F01D2F}</b:Guid>
    <b:Title>Simultaneous extraction and separation of compounds from mate (Ilex paraguariensis) leaves by pressurized liquid extraction coupled with solid-phase extraction and in-line UV detection</b:Title>
    <b:JournalName>Food Chemistry: Molecular Sciences</b:JournalName>
    <b:Year>2021</b:Year>
    <b:Pages>100008</b:Pages>
    <b:Author>
      <b:Author>
        <b:NameList>
          <b:Person>
            <b:Last>Souza</b:Last>
            <b:Middle>C.</b:Middle>
            <b:First>Mariana</b:First>
          </b:Person>
          <b:Person>
            <b:Last>Silva</b:Last>
            <b:Middle>C.</b:Middle>
            <b:First>Laise </b:First>
          </b:Person>
          <b:Person>
            <b:Last>Chaves</b:Last>
            <b:Middle>O.</b:Middle>
            <b:First>Jaisa</b:First>
          </b:Person>
          <b:Person>
            <b:Last>Salvador </b:Last>
            <b:Middle>P.</b:Middle>
            <b:First>Mayara</b:First>
          </b:Person>
          <b:Person>
            <b:Last>Sanches</b:Last>
            <b:Middle>L.</b:Middle>
            <b:First>Vitor</b:First>
          </b:Person>
          <b:Person>
            <b:Last>da Cunha</b:Last>
            <b:Middle>T.</b:Middle>
            <b:First>Diogo</b:First>
          </b:Person>
          <b:Person>
            <b:Last>Carneiro</b:Last>
            <b:Middle>Foster</b:Middle>
            <b:First>Tânia</b:First>
          </b:Person>
          <b:Person>
            <b:Last>Rostagno</b:Last>
            <b:Middle>A.</b:Middle>
            <b:First>Mauricio</b:First>
          </b:Person>
        </b:NameList>
      </b:Author>
    </b:Author>
    <b:Volume>2</b:Volume>
    <b:DOI>10.1016/j.fochms.2020.100008</b:DOI>
    <b:RefOrder>58</b:RefOrder>
  </b:Source>
  <b:Source>
    <b:Tag>Ara12</b:Tag>
    <b:SourceType>JournalArticle</b:SourceType>
    <b:Guid>{D37A1018-9081-4660-9D05-9407229DF160}</b:Guid>
    <b:Title>Dterminación de Kresoxim-Metil y trifloxystrobin en muestras de agua mediante microextracción con gota suspendida y cromatografía de Gases-Espectrometría de masa</b:Title>
    <b:JournalName>Avances de Ciencia y Ingeniería</b:JournalName>
    <b:Year>2012</b:Year>
    <b:Pages>97-106</b:Pages>
    <b:Author>
      <b:Author>
        <b:NameList>
          <b:Person>
            <b:Last>Araujo </b:Last>
            <b:First>Lilia</b:First>
          </b:Person>
          <b:Person>
            <b:Last>Sánchez</b:Last>
            <b:First>Gizelle</b:First>
          </b:Person>
          <b:Person>
            <b:Last>Cubillán</b:Last>
            <b:First>Dalia</b:First>
          </b:Person>
          <b:Person>
            <b:Last>Mercado</b:Last>
            <b:First>Jair</b:First>
          </b:Person>
          <b:Person>
            <b:Last>Troconis</b:Last>
            <b:First>María</b:First>
          </b:Person>
          <b:Person>
            <b:Last>Prieto</b:Last>
            <b:First>Avismelse</b:First>
          </b:Person>
        </b:NameList>
      </b:Author>
    </b:Author>
    <b:Volume>3</b:Volume>
    <b:Issue>2</b:Issue>
    <b:RefOrder>59</b:RefOrder>
  </b:Source>
  <b:Source>
    <b:Tag>Sun11</b:Tag>
    <b:SourceType>JournalArticle</b:SourceType>
    <b:Guid>{6583C8AF-26BE-4227-9211-A2E0F8A7987A}</b:Guid>
    <b:Title>Coupling of single droplet micro-extraction with desorption electrospray ionization-mass spectrometry</b:Title>
    <b:JournalName>International Journal of Mass Spectrometry</b:JournalName>
    <b:Year>2011</b:Year>
    <b:Pages>102-108</b:Pages>
    <b:Author>
      <b:Author>
        <b:NameList>
          <b:Person>
            <b:Last>Sun</b:Last>
            <b:First>Xiaobo</b:First>
          </b:Person>
          <b:Person>
            <b:Last>Miao</b:Last>
            <b:First>Zhinxin</b:First>
          </b:Person>
          <b:Person>
            <b:Last>Yuan</b:Last>
            <b:First>Zongqian</b:First>
          </b:Person>
          <b:Person>
            <b:Last>Harrington</b:Last>
            <b:Middle>de B.</b:Middle>
            <b:First>Peter</b:First>
          </b:Person>
          <b:Person>
            <b:Last>Colla</b:Last>
            <b:First>Jennifer</b:First>
          </b:Person>
          <b:Person>
            <b:Last>Chen</b:Last>
            <b:First>Hao</b:First>
          </b:Person>
        </b:NameList>
      </b:Author>
    </b:Author>
    <b:Volume>301</b:Volume>
    <b:DOI>10.1016/j.ijms.2010.07.024</b:DOI>
    <b:RefOrder>60</b:RefOrder>
  </b:Source>
  <b:Source>
    <b:Tag>Tit20</b:Tag>
    <b:SourceType>JournalArticle</b:SourceType>
    <b:Guid>{CA5D241B-0EA2-4BAE-AB68-0DCB13E4D74B}</b:Guid>
    <b:Title>Rapid extraction method of polycyclic aromatic compounds in soil using basic silica selective pressurized liquid extraction</b:Title>
    <b:JournalName>Journal Chromatography A</b:JournalName>
    <b:Year>2020</b:Year>
    <b:Pages>460896</b:Pages>
    <b:Author>
      <b:Author>
        <b:NameList>
          <b:Person>
            <b:Last>Titaley</b:Last>
            <b:Middle>A.</b:Middle>
            <b:First>Van </b:First>
          </b:Person>
          <b:Person>
            <b:Last>Eriksson</b:Last>
            <b:First>Ulrika</b:First>
          </b:Person>
          <b:Person>
            <b:Last>Larsson</b:Last>
            <b:First>Maria</b:First>
          </b:Person>
        </b:NameList>
      </b:Author>
    </b:Author>
    <b:Volume>1618</b:Volume>
    <b:DOI>10.1016/j.chroma.2020.460896</b:DOI>
    <b:RefOrder>61</b:RefOrder>
  </b:Source>
  <b:Source>
    <b:Tag>Kim19</b:Tag>
    <b:SourceType>JournalArticle</b:SourceType>
    <b:Guid>{CFBED186-4D04-4FB9-9B15-F1D95A626494}</b:Guid>
    <b:Title>Determination of toxic organic pollutants in fine particulate matter using selective pressurized liquid extraction and gas chromatography–tandem mass spectrometry</b:Title>
    <b:JournalName>Journal of Chromatography A</b:JournalName>
    <b:Year>2019</b:Year>
    <b:Pages>39-46</b:Pages>
    <b:Author>
      <b:Author>
        <b:NameList>
          <b:Person>
            <b:Last>Kim</b:Last>
            <b:First>Injeong</b:First>
          </b:Person>
          <b:Person>
            <b:Last>Lee</b:Last>
            <b:First>Sunhong</b:First>
          </b:Person>
          <b:Person>
            <b:Last>Kim</b:Last>
            <b:Middle>Don</b:Middle>
            <b:First>Sang</b:First>
          </b:Person>
        </b:NameList>
      </b:Author>
    </b:Author>
    <b:Volume>1590</b:Volume>
    <b:DOI>10.1016/j.chroma.2019.01.009</b:DOI>
    <b:RefOrder>62</b:RefOrder>
  </b:Source>
  <b:Source>
    <b:Tag>Mal20</b:Tag>
    <b:SourceType>JournalArticle</b:SourceType>
    <b:Guid>{8F794CB0-87EF-4C43-AE15-72D8E04F370A}</b:Guid>
    <b:Title>Comparison of ultrasound-assisted extraction, QuEChERS and selective pressurized liquid extraction for the determination of metabolites of parabens and pharmaceuticals in sludge</b:Title>
    <b:JournalName>Microchemical Journal</b:JournalName>
    <b:Year>2020</b:Year>
    <b:Pages>104987</b:Pages>
    <b:Author>
      <b:Author>
        <b:NameList>
          <b:Person>
            <b:Last>Malvar</b:Last>
            <b:Middle>Luis</b:Middle>
            <b:First>José</b:First>
          </b:Person>
          <b:Person>
            <b:Last>Santos</b:Last>
            <b:Middle>Luis</b:Middle>
            <b:First>Juan</b:First>
          </b:Person>
          <b:Person>
            <b:Last>Martín</b:Last>
            <b:First>Julia</b:First>
          </b:Person>
          <b:Person>
            <b:Last>Aparicio</b:Last>
            <b:First>Irene</b:First>
          </b:Person>
          <b:Person>
            <b:Last>Alonso</b:Last>
            <b:First>Esteban </b:First>
          </b:Person>
        </b:NameList>
      </b:Author>
    </b:Author>
    <b:Volume>157</b:Volume>
    <b:DOI>10.1016/j.microc.2020.104987</b:DOI>
    <b:RefOrder>63</b:RefOrder>
  </b:Source>
  <b:Source>
    <b:Tag>Eve21</b:Tag>
    <b:SourceType>Book</b:SourceType>
    <b:Guid>{7FB84D9F-B949-419B-8B04-249FBE869AAF}</b:Guid>
    <b:Title>Revisión bibliográfica sobre la relación entre la presencia de compuestos fenólicos en extractos vegetales y su actividad antioxidante determinada por el método ORAC</b:Title>
    <b:JournalName>Universidad Central del Ecuador </b:JournalName>
    <b:Year>2021</b:Year>
    <b:Pages>121</b:Pages>
    <b:Author>
      <b:Author>
        <b:NameList>
          <b:Person>
            <b:Last>Evelyn-Soraya</b:Last>
            <b:Middle>Paccha</b:Middle>
            <b:First>Silvia</b:First>
          </b:Person>
        </b:NameList>
      </b:Author>
    </b:Author>
    <b:City>Ecuador</b:City>
    <b:Publisher>Universidad Central del Ecuador</b:Publisher>
    <b:RefOrder>64</b:RefOrder>
  </b:Source>
  <b:Source>
    <b:Tag>Teo10</b:Tag>
    <b:SourceType>JournalArticle</b:SourceType>
    <b:Guid>{5F6D6504-A23E-4D22-9C1B-C59945BE1D36}</b:Guid>
    <b:Title>Pressurized hot water extraction (PHWE)</b:Title>
    <b:Year>2010</b:Year>
    <b:JournalName>Journal of Chromatography A</b:JournalName>
    <b:Pages>2484-2494</b:Pages>
    <b:Author>
      <b:Author>
        <b:NameList>
          <b:Person>
            <b:Last>Teo</b:Last>
            <b:First>Chin</b:First>
            <b:Middle>Chye</b:Middle>
          </b:Person>
          <b:Person>
            <b:Last>Tan</b:Last>
            <b:First>Swee</b:First>
            <b:Middle>Ngin</b:Middle>
          </b:Person>
          <b:Person>
            <b:Last>Yong</b:Last>
            <b:First>Jean</b:First>
            <b:Middle>Wan</b:Middle>
          </b:Person>
          <b:Person>
            <b:Last>Hew</b:Last>
            <b:First>Choy</b:First>
            <b:Middle>Sin</b:Middle>
          </b:Person>
          <b:Person>
            <b:Last>Ong</b:Last>
            <b:First>Eng</b:First>
            <b:Middle>Shi</b:Middle>
          </b:Person>
        </b:NameList>
      </b:Author>
    </b:Author>
    <b:Volume>1217</b:Volume>
    <b:DOI>10.1016/j.chroma.2009.12.050</b:DOI>
    <b:RefOrder>65</b:RefOrder>
  </b:Source>
  <b:Source>
    <b:Tag>Zeg15</b:Tag>
    <b:SourceType>JournalArticle</b:SourceType>
    <b:Guid>{8F425439-0A7E-4170-876E-4A1E3EFF4D5D}</b:Guid>
    <b:Title>Extracción de pectina de residuos de cascara de naranja por hidrólisis ácida asistida por microondas (HMO)</b:Title>
    <b:JournalName>Investigación &amp; Desarrollo</b:JournalName>
    <b:Year>2015</b:Year>
    <b:Pages>2518-4431</b:Pages>
    <b:Author>
      <b:Author>
        <b:NameList>
          <b:Person>
            <b:Last>Zegada-Franco</b:Last>
            <b:Middle>Y.</b:Middle>
            <b:First>Vanesa</b:First>
          </b:Person>
        </b:NameList>
      </b:Author>
    </b:Author>
    <b:Volume>1</b:Volume>
    <b:Issue>15</b:Issue>
    <b:RefOrder>66</b:RefOrder>
  </b:Source>
  <b:Source>
    <b:Tag>Her16</b:Tag>
    <b:SourceType>Book</b:SourceType>
    <b:Guid>{FD828544-1459-49E4-985D-C65BC2CD5E3B}</b:Guid>
    <b:Title>Evaluación del extracto de flavonoles y antocianinas contenido en el agraz (Vaccinium Meridionales Swartz) obtenidos a nivel laboratorio por medio de los métodos de extracción por solventes y extracción asistida por microondas</b:Title>
    <b:Year>2016</b:Year>
    <b:City>Bogotá</b:City>
    <b:Publisher>Fundación Universidad de América</b:Publisher>
    <b:Author>
      <b:Author>
        <b:NameList>
          <b:Person>
            <b:Last>Herrera-Quiñones</b:Last>
            <b:Middle>de los Angeles</b:Middle>
            <b:First>Ximena</b:First>
          </b:Person>
          <b:Person>
            <b:Last>Rodríguez-Castillo</b:Last>
            <b:Middle>Stefany</b:Middle>
            <b:First>Karen</b:First>
          </b:Person>
        </b:NameList>
      </b:Author>
    </b:Author>
    <b:RefOrder>67</b:RefOrder>
  </b:Source>
  <b:Source>
    <b:Tag>Peñ03</b:Tag>
    <b:SourceType>JournalArticle</b:SourceType>
    <b:Guid>{2AA58AB4-804F-443F-B255-FC90F1B69E8B}</b:Guid>
    <b:Title>Extracción en fase sólida como una alternativa para el procedimiento de limpieza en la determinación de hidrocarburos aromáticos policíclicos por cromatografía de gases: Aplicación a organismos marinos</b:Title>
    <b:Year>2003</b:Year>
    <b:Pages>13-23</b:Pages>
    <b:JournalName>Revista Internacional de Contaminación Ambiental</b:JournalName>
    <b:Author>
      <b:Author>
        <b:NameList>
          <b:Person>
            <b:Last>Peña</b:Last>
            <b:First>Araceli</b:First>
          </b:Person>
          <b:Person>
            <b:Last>Morales</b:Last>
            <b:First>Johanna</b:First>
          </b:Person>
          <b:Person>
            <b:Last>Labastida</b:Last>
            <b:First>Carmen</b:First>
          </b:Person>
          <b:Person>
            <b:Last>Capella</b:Last>
            <b:First>Santiago</b:First>
          </b:Person>
        </b:NameList>
      </b:Author>
    </b:Author>
    <b:Volume>19</b:Volume>
    <b:Issue>1</b:Issue>
    <b:RefOrder>68</b:RefOrder>
  </b:Source>
  <b:Source>
    <b:Tag>Roc14</b:Tag>
    <b:SourceType>JournalArticle</b:SourceType>
    <b:Guid>{09C4331E-8535-4325-9DE5-5817DFAAC510}</b:Guid>
    <b:Author>
      <b:Author>
        <b:NameList>
          <b:Person>
            <b:Last>Rocha</b:Last>
            <b:Middle>Alves</b:Middle>
            <b:First>Bruno</b:First>
          </b:Person>
          <b:Person>
            <b:Last>Júnior</b:Last>
            <b:Middle>Barbosa</b:Middle>
            <b:First>Fernando</b:First>
          </b:Person>
        </b:NameList>
      </b:Author>
    </b:Author>
    <b:Title>Contaminantes emergerntes (1° Capítulo): Bisfenol A e análogos</b:Title>
    <b:Year>2014</b:Year>
    <b:Pages>1-4</b:Pages>
    <b:City>São Paulo</b:City>
    <b:Volume>2</b:Volume>
    <b:Issue>1</b:Issue>
    <b:DOI>10.15729/nanocellnews.2014.09.29.002</b:DOI>
    <b:RefOrder>69</b:RefOrder>
  </b:Source>
  <b:Source>
    <b:Tag>Fra211</b:Tag>
    <b:SourceType>JournalArticle</b:SourceType>
    <b:Guid>{CF10AE76-30BE-42E0-ADB4-0E6997AF0FBE}</b:Guid>
    <b:Title>Biodegradation and photo-Fenton degradation of bisphenol A, bisphenol S and fluconazole in water</b:Title>
    <b:JournalName>Environmental Pollution</b:JournalName>
    <b:Year>2021</b:Year>
    <b:Pages>117947</b:Pages>
    <b:Author>
      <b:Author>
        <b:NameList>
          <b:Person>
            <b:Last>Frankowski</b:Last>
            <b:First>Robert</b:First>
          </b:Person>
          <b:Person>
            <b:Last>Platkiewicz</b:Last>
            <b:First>Julia</b:First>
          </b:Person>
          <b:Person>
            <b:Last>Stanisz</b:Last>
            <b:First>Ewa</b:First>
          </b:Person>
          <b:Person>
            <b:Last>Grzéskowiak</b:Last>
            <b:First>Tomasz</b:First>
          </b:Person>
          <b:Person>
            <b:Last>Zgola-Grze´skowiak</b:Last>
            <b:First>Agnieszka</b:First>
          </b:Person>
        </b:NameList>
      </b:Author>
    </b:Author>
    <b:Volume>289</b:Volume>
    <b:DOI>10.1016/j.envpol.2021.117947</b:DOI>
    <b:RefOrder>70</b:RefOrder>
  </b:Source>
  <b:Source>
    <b:Tag>Vie13</b:Tag>
    <b:SourceType>JournalArticle</b:SourceType>
    <b:Guid>{07CDF3E2-1F83-47FB-9E3A-028DB3941E53}</b:Guid>
    <b:Title>Técnicas analíticas avenzadas para la extracción y preconcentración de contaminantes emergentes en muestras líquidas</b:Title>
    <b:Year>2013</b:Year>
    <b:JournalName>Rev. Acad. Canar. Cienc.</b:JournalName>
    <b:Pages>77-95</b:Pages>
    <b:Author>
      <b:Author>
        <b:NameList>
          <b:Person>
            <b:Last>Viera-Santana </b:Last>
            <b:First>Sergio</b:First>
          </b:Person>
          <b:Person>
            <b:Last>Santana-Rodríguez</b:Last>
            <b:Middle>Juan</b:Middle>
            <b:First>José</b:First>
          </b:Person>
        </b:NameList>
      </b:Author>
    </b:Author>
    <b:Volume>25</b:Volume>
    <b:RefOrder>71</b:RefOrder>
  </b:Source>
  <b:Source>
    <b:Tag>Agu15</b:Tag>
    <b:SourceType>Book</b:SourceType>
    <b:Guid>{C7BDA125-9AE6-46C9-8134-2687CF56DB23}</b:Guid>
    <b:Title>Avances en la determinación de muestras líquidas para análisis elemental con técnicas espectrométricas basadas en plasma: ICP-OES, ICP-MS y LIBS</b:Title>
    <b:Year>2015</b:Year>
    <b:City>España</b:City>
    <b:Publisher>Universidad de Alicante</b:Publisher>
    <b:Author>
      <b:Author>
        <b:NameList>
          <b:Person>
            <b:Last>Aguirre-Pastor</b:Last>
            <b:Middle>Ángel</b:Middle>
            <b:First>Miguel</b:First>
          </b:Person>
        </b:NameList>
      </b:Author>
    </b:Author>
    <b:RefOrder>72</b:RefOrder>
  </b:Source>
  <b:Source>
    <b:Tag>Ami21</b:Tag>
    <b:SourceType>JournalArticle</b:SourceType>
    <b:Guid>{4F78B885-F29D-47EA-B84D-9ADB8AEF578E}</b:Guid>
    <b:Title>Synthesis of magnetic Cu/CuFe2O4@MIL-88A(Fe) nanocomposite and application to dispersive solid-phase extraction of chlorpyrifos and phosalone in water and food samples</b:Title>
    <b:JournalName>Journal of Food Composition and Analysis</b:JournalName>
    <b:Year>2021</b:Year>
    <b:Pages>104128</b:Pages>
    <b:Author>
      <b:Author>
        <b:NameList>
          <b:Person>
            <b:Last>Amini</b:Last>
            <b:First>Shima</b:First>
          </b:Person>
          <b:Person>
            <b:Last>Amiri</b:Last>
            <b:First>Maryam</b:First>
          </b:Person>
          <b:Person>
            <b:Last>Ebrahimzadeh</b:Last>
            <b:First>Homeira</b:First>
          </b:Person>
          <b:Person>
            <b:Last>Seidi</b:Last>
            <b:First>Shahram</b:First>
          </b:Person>
          <b:Person>
            <b:Last>Kandeh</b:Last>
            <b:Middle>Hejabri</b:Middle>
            <b:First>Saeed</b:First>
          </b:Person>
        </b:NameList>
      </b:Author>
    </b:Author>
    <b:Volume>104</b:Volume>
    <b:DOI>10.1016/j.jfca.2021.104128</b:DOI>
    <b:RefOrder>73</b:RefOrder>
  </b:Source>
  <b:Source>
    <b:Tag>Mon09</b:Tag>
    <b:SourceType>Book</b:SourceType>
    <b:Guid>{B7706E7F-D12A-466D-8D4E-FC0D413EE549}</b:Guid>
    <b:Title>Avances en técnicas de microextracción para la determinación de compuestos traza en muestras medioambientales y alimentarias</b:Title>
    <b:Year>2009</b:Year>
    <b:Author>
      <b:Author>
        <b:NameList>
          <b:Person>
            <b:Last>Montes-Goyanes</b:Last>
            <b:Middle>María</b:Middle>
            <b:First>Rosa</b:First>
          </b:Person>
        </b:NameList>
      </b:Author>
    </b:Author>
    <b:City>Santiago de Compostela</b:City>
    <b:Publisher>Universidad de Santiago de compostela</b:Publisher>
    <b:RefOrder>74</b:RefOrder>
  </b:Source>
  <b:Source>
    <b:Tag>Büy20</b:Tag>
    <b:SourceType>JournalArticle</b:SourceType>
    <b:Guid>{5E1B09FC-69C0-46BF-9D6E-B213F33A4B59}</b:Guid>
    <b:Title>Functionalized nanomaterials in dispersive solid phase extraction: Advances &amp; prospects</b:Title>
    <b:Year>2020</b:Year>
    <b:Pages>115893</b:Pages>
    <b:JournalName>Trends in Analytical Chemistry</b:JournalName>
    <b:Author>
      <b:Author>
        <b:NameList>
          <b:Person>
            <b:Last>Büyüktiryaki</b:Last>
            <b:First>Sibel</b:First>
          </b:Person>
          <b:Person>
            <b:Last>Keçili</b:Last>
            <b:First>Rüstem</b:First>
          </b:Person>
          <b:Person>
            <b:Last>Hussain</b:Last>
            <b:Middle>Mustansar</b:Middle>
            <b:First>Chaudhery</b:First>
          </b:Person>
        </b:NameList>
      </b:Author>
    </b:Author>
    <b:Volume>127</b:Volume>
    <b:DOI>10.1016/j.trac.2020.115893</b:DOI>
    <b:RefOrder>75</b:RefOrder>
  </b:Source>
  <b:Source>
    <b:Tag>daS16</b:Tag>
    <b:SourceType>JournalArticle</b:SourceType>
    <b:Guid>{F906BD94-19F0-4B7F-B4F0-E21A5AA39096}</b:Guid>
    <b:Title>Extração em Fase Sólida Magnética (MSPE): Fundamentos e Aplicações</b:Title>
    <b:JournalName>Scientia Chromatographica</b:JournalName>
    <b:Year>2016</b:Year>
    <b:Pages>239-256</b:Pages>
    <b:Author>
      <b:Author>
        <b:NameList>
          <b:Person>
            <b:Last>da Silva</b:Last>
            <b:Middle>Kalser</b:Middle>
            <b:First>Amandha</b:First>
          </b:Person>
          <b:Person>
            <b:Last>Sobleski</b:Last>
            <b:First>Eduardo</b:First>
          </b:Person>
          <b:Person>
            <b:Last>Vlana</b:Last>
            <b:Middle>Henrique</b:Middle>
            <b:First>Luiz</b:First>
          </b:Person>
          <b:Person>
            <b:Last>Dominguez</b:Last>
            <b:Middle>Eduardo</b:Middle>
            <b:First>Carlos</b:First>
          </b:Person>
        </b:NameList>
      </b:Author>
    </b:Author>
    <b:DOI>10.4322/sc.2016.036</b:DOI>
    <b:RefOrder>76</b:RefOrder>
  </b:Source>
  <b:Source>
    <b:Tag>Men20</b:Tag>
    <b:SourceType>Book</b:SourceType>
    <b:Guid>{3417DF21-EBCF-4600-A1E4-9D0E03D9FF81}</b:Guid>
    <b:Title>Determinación de contaminantes orgánicos prioritarios y emergentes en aguas superficiales mediante cromatografía acoplada a espectrometría de masas</b:Title>
    <b:Year>2020</b:Year>
    <b:City>España</b:City>
    <b:Publisher>UNIVERSIDAD DE JAÉN</b:Publisher>
    <b:Author>
      <b:Author>
        <b:NameList>
          <b:Person>
            <b:Last>Mengíbar-García</b:Last>
            <b:First>Rosalía</b:First>
          </b:Person>
        </b:NameList>
      </b:Author>
    </b:Author>
    <b:RefOrder>77</b:RefOrder>
  </b:Source>
  <b:Source>
    <b:Tag>Cel06</b:Tag>
    <b:SourceType>JournalArticle</b:SourceType>
    <b:Guid>{68CB98D9-5D19-4408-8BFC-8DCBC055812D}</b:Guid>
    <b:Title>Sample Preparation Strategies</b:Title>
    <b:Year>2006</b:Year>
    <b:JournalName>Encyclopedia of Analytical Chemistry</b:JournalName>
    <b:Pages>1-132</b:Pages>
    <b:Author>
      <b:Author>
        <b:NameList>
          <b:Person>
            <b:Last>Cela-Torrijos</b:Last>
            <b:First>Rafel</b:First>
          </b:Person>
          <b:Person>
            <b:Last>González-Mariño</b:Last>
            <b:First>Iria</b:First>
          </b:Person>
          <b:Person>
            <b:Last>Montes-Goyanes</b:Last>
            <b:First>Rosa</b:First>
          </b:Person>
          <b:Person>
            <b:Last>Quintana-Álvarez</b:Last>
            <b:Middle>B.</b:Middle>
            <b:First>José</b:First>
          </b:Person>
          <b:Person>
            <b:Last>Ramil-Criado</b:Last>
            <b:First>María</b:First>
          </b:Person>
          <b:Person>
            <b:Last>Rodil-Rodríguez</b:Last>
            <b:Middle>Ma.</b:Middle>
            <b:First>Rosario</b:First>
          </b:Person>
          <b:Person>
            <b:Last>Rodríguez-Pereiro</b:Last>
            <b:First>Isaac</b:First>
          </b:Person>
        </b:NameList>
      </b:Author>
    </b:Author>
    <b:DOI>10.1002/9780470027318.a9392.pub2</b:DOI>
    <b:RefOrder>78</b:RefOrder>
  </b:Source>
  <b:Source>
    <b:Tag>Gar12</b:Tag>
    <b:SourceType>JournalArticle</b:SourceType>
    <b:Guid>{64256823-A795-453A-8464-970A27A3F1C5}</b:Guid>
    <b:Title>Análisis de la adsorción como método de pulimiento en el tratamiento de aguas residuales</b:Title>
    <b:Year>2012</b:Year>
    <b:JournalName>Quivera Revista de Estudios Territotiles</b:JournalName>
    <b:Pages>109-129</b:Pages>
    <b:Author>
      <b:Author>
        <b:NameList>
          <b:Person>
            <b:Last>García-Rojas</b:Last>
            <b:First>Norma</b:First>
          </b:Person>
          <b:Person>
            <b:Last>Villanueva-Díaz</b:Last>
            <b:First>Paola</b:First>
          </b:Person>
          <b:Person>
            <b:Last>Campos-Medina</b:Last>
            <b:First>Eduardo</b:First>
          </b:Person>
          <b:Person>
            <b:Last>Velázquez-Rodríguez</b:Last>
            <b:First>Alma</b:First>
          </b:Person>
        </b:NameList>
      </b:Author>
    </b:Author>
    <b:Volume>14</b:Volume>
    <b:Issue>1</b:Issue>
    <b:RefOrder>79</b:RefOrder>
  </b:Source>
  <b:Source>
    <b:Tag>Gar121</b:Tag>
    <b:SourceType>Book</b:SourceType>
    <b:Guid>{408FAE8D-844E-418A-A3DB-CEC84FBA34E3}</b:Guid>
    <b:Title>Evaliación de la capacidad de adsorción en la cáscara de naranja (Citrus sinensis) modificada con quitosano para la remoción de Cr (VI) en aguas residuales</b:Title>
    <b:Year>2012</b:Year>
    <b:City>Cartagena</b:City>
    <b:Publisher>Universidad de Cartagena</b:Publisher>
    <b:Author>
      <b:Author>
        <b:NameList>
          <b:Person>
            <b:Last>Garcés-Jaraba</b:Last>
            <b:Middle>Ercilia</b:Middle>
            <b:First>Luiz</b:First>
          </b:Person>
          <b:Person>
            <b:Last>Coavas-Romero</b:Last>
            <b:Middle>Cecilia</b:Middle>
            <b:First>Susana</b:First>
          </b:Person>
        </b:NameList>
      </b:Author>
    </b:Author>
    <b:RefOrder>80</b:RefOrder>
  </b:Source>
</b:Sources>
</file>

<file path=customXml/itemProps1.xml><?xml version="1.0" encoding="utf-8"?>
<ds:datastoreItem xmlns:ds="http://schemas.openxmlformats.org/officeDocument/2006/customXml" ds:itemID="{7C7A944C-2DCB-4BEE-A888-0F4F2CC0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Application>LibreOffice/7.0.4.2$Linux_X86_64 LibreOffice_project/00$Build-2</Application>
  <AppVersion>15.0000</AppVersion>
  <Pages>15</Pages>
  <Words>8223</Words>
  <Characters>49184</Characters>
  <CharactersWithSpaces>57126</CharactersWithSpaces>
  <Paragraphs>306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2023-06-08T16:10:00Z</dcterms:created>
  <dc:creator>karen hernandez carmona</dc:creator>
  <dc:description/>
  <dc:language>es-MX</dc:language>
  <cp:lastModifiedBy/>
  <dcterms:modified xsi:type="dcterms:W3CDTF">2023-07-05T13:30:30Z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