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r>
        <w:rPr>
          <w:rFonts w:cs="Times New Roman"/>
          <w:b w:val="false"/>
          <w:bCs w:val="false"/>
          <w:sz w:val="44"/>
          <w:szCs w:val="44"/>
        </w:rPr>
        <w:t>Evaluación del factor ruido en zonas comerciales de la Mixteca baja de Puebla</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sz w:val="36"/>
          <w:szCs w:val="36"/>
        </w:rPr>
      </w:pPr>
      <w:r>
        <w:rPr>
          <w:rFonts w:cs="Times New Roman"/>
          <w:sz w:val="36"/>
          <w:szCs w:val="36"/>
          <w:lang w:val="en-US"/>
        </w:rPr>
        <w:t>Evaluation of the noise factor in commercial areas of the Mixteca baja of Puebla</w:t>
      </w:r>
    </w:p>
    <w:p>
      <w:pPr>
        <w:pStyle w:val="Normal"/>
        <w:spacing w:lineRule="auto" w:line="240" w:before="0" w:after="0"/>
        <w:ind w:left="0" w:right="0" w:hanging="0"/>
        <w:jc w:val="center"/>
        <w:rPr>
          <w:rFonts w:ascii="Times New Roman" w:hAnsi="Times New Roman"/>
          <w:sz w:val="20"/>
          <w:szCs w:val="20"/>
          <w:lang w:val="en-US"/>
        </w:rPr>
      </w:pPr>
      <w:r>
        <w:rPr>
          <w:sz w:val="20"/>
          <w:szCs w:val="20"/>
          <w:lang w:val="en-US"/>
        </w:rPr>
      </w:r>
    </w:p>
    <w:p>
      <w:pPr>
        <w:pStyle w:val="Normal"/>
        <w:spacing w:lineRule="auto" w:line="240" w:before="0" w:after="0"/>
        <w:ind w:left="0" w:right="0" w:hanging="0"/>
        <w:jc w:val="center"/>
        <w:rPr>
          <w:rFonts w:ascii="Times New Roman" w:hAnsi="Times New Roman"/>
          <w:sz w:val="24"/>
          <w:szCs w:val="24"/>
          <w:lang w:val="en-US"/>
        </w:rPr>
      </w:pPr>
      <w:r>
        <w:rPr>
          <w:sz w:val="24"/>
          <w:szCs w:val="24"/>
          <w:lang w:val="en-US"/>
        </w:rPr>
        <w:t>Juan Carlos Aranda Martínez</w:t>
      </w:r>
      <w:r>
        <w:rPr>
          <w:sz w:val="24"/>
          <w:szCs w:val="24"/>
          <w:vertAlign w:val="superscript"/>
          <w:lang w:val="en-US"/>
        </w:rPr>
        <w:t>1*</w:t>
      </w:r>
      <w:r>
        <w:rPr>
          <w:sz w:val="24"/>
          <w:szCs w:val="24"/>
          <w:lang w:val="en-US"/>
        </w:rPr>
        <w:t>, Luis Eduardo Mendoza Muñoz</w:t>
      </w:r>
      <w:r>
        <w:rPr>
          <w:sz w:val="24"/>
          <w:szCs w:val="24"/>
          <w:vertAlign w:val="superscript"/>
          <w:lang w:val="en-US"/>
        </w:rPr>
        <w:t>1</w:t>
      </w:r>
      <w:r>
        <w:rPr>
          <w:sz w:val="24"/>
          <w:szCs w:val="24"/>
          <w:lang w:val="en-US"/>
        </w:rPr>
        <w:t>, Gerardo Hernández Villamil</w:t>
      </w:r>
      <w:r>
        <w:rPr>
          <w:sz w:val="24"/>
          <w:szCs w:val="24"/>
          <w:vertAlign w:val="superscript"/>
          <w:lang w:val="en-US"/>
        </w:rPr>
        <w:t>1</w:t>
      </w:r>
      <w:r>
        <w:rPr>
          <w:sz w:val="24"/>
          <w:szCs w:val="24"/>
          <w:lang w:val="en-US"/>
        </w:rPr>
        <w:t xml:space="preserve"> y José Espiridión Rojas Morales</w:t>
      </w:r>
      <w:r>
        <w:rPr>
          <w:sz w:val="24"/>
          <w:szCs w:val="24"/>
          <w:vertAlign w:val="superscript"/>
          <w:lang w:val="en-US"/>
        </w:rPr>
        <w:t>1</w:t>
      </w:r>
    </w:p>
    <w:p>
      <w:pPr>
        <w:pStyle w:val="Normal"/>
        <w:spacing w:lineRule="auto" w:line="240" w:before="0" w:after="0"/>
        <w:ind w:left="0" w:right="0" w:hanging="0"/>
        <w:jc w:val="center"/>
        <w:rPr>
          <w:rFonts w:ascii="Times New Roman" w:hAnsi="Times New Roman"/>
          <w:sz w:val="20"/>
          <w:szCs w:val="20"/>
          <w:lang w:val="en-US"/>
        </w:rPr>
      </w:pPr>
      <w:r>
        <w:rPr>
          <w:sz w:val="20"/>
          <w:szCs w:val="20"/>
          <w:lang w:val="en-US"/>
        </w:rPr>
      </w:r>
    </w:p>
    <w:p>
      <w:pPr>
        <w:pStyle w:val="Normal"/>
        <w:spacing w:lineRule="auto" w:line="240" w:before="0" w:after="0"/>
        <w:ind w:left="0" w:right="0" w:hanging="0"/>
        <w:jc w:val="center"/>
        <w:rPr>
          <w:rFonts w:ascii="Times New Roman" w:hAnsi="Times New Roman"/>
          <w:i/>
          <w:i/>
          <w:iCs/>
          <w:sz w:val="24"/>
          <w:szCs w:val="24"/>
        </w:rPr>
      </w:pPr>
      <w:r>
        <w:rPr>
          <w:i/>
          <w:iCs/>
          <w:sz w:val="24"/>
          <w:szCs w:val="24"/>
          <w:vertAlign w:val="superscript"/>
          <w:lang w:val="en-US"/>
        </w:rPr>
        <w:t>1</w:t>
      </w:r>
      <w:r>
        <w:rPr>
          <w:i/>
          <w:iCs/>
          <w:sz w:val="24"/>
          <w:szCs w:val="24"/>
          <w:lang w:val="en-US"/>
        </w:rPr>
        <w:t xml:space="preserve">Tecnológico Nacional de México campus Instituto Tecnológico Superior de Tepexi de Rodríguez, </w:t>
      </w:r>
      <w:r>
        <w:rPr>
          <w:i/>
          <w:iCs/>
          <w:sz w:val="24"/>
          <w:szCs w:val="24"/>
        </w:rPr>
        <w:t>Av. Tecnológico S/N, Barrio de San Sebastian, C.P. 74600,</w:t>
      </w:r>
    </w:p>
    <w:p>
      <w:pPr>
        <w:pStyle w:val="Normal"/>
        <w:spacing w:lineRule="auto" w:line="240" w:before="0" w:after="0"/>
        <w:ind w:left="0" w:right="0" w:hanging="0"/>
        <w:jc w:val="center"/>
        <w:rPr>
          <w:rFonts w:ascii="Times New Roman" w:hAnsi="Times New Roman"/>
          <w:i/>
          <w:i/>
          <w:iCs/>
          <w:sz w:val="24"/>
          <w:szCs w:val="24"/>
        </w:rPr>
      </w:pPr>
      <w:r>
        <w:rPr>
          <w:i/>
          <w:iCs/>
          <w:sz w:val="24"/>
          <w:szCs w:val="24"/>
        </w:rPr>
        <w:t>Tepexi de Rodríguez, Puebla, México.</w:t>
      </w:r>
    </w:p>
    <w:p>
      <w:pPr>
        <w:pStyle w:val="Normal"/>
        <w:spacing w:lineRule="auto" w:line="240" w:before="0" w:after="0"/>
        <w:ind w:left="0" w:right="0" w:hanging="0"/>
        <w:jc w:val="center"/>
        <w:rPr>
          <w:rFonts w:ascii="Times New Roman" w:hAnsi="Times New Roman"/>
          <w:sz w:val="20"/>
          <w:szCs w:val="20"/>
          <w:lang w:val="en-US"/>
        </w:rPr>
      </w:pPr>
      <w:r>
        <w:rPr>
          <w:sz w:val="20"/>
          <w:szCs w:val="20"/>
          <w:lang w:val="en-US"/>
        </w:rPr>
      </w:r>
    </w:p>
    <w:p>
      <w:pPr>
        <w:pStyle w:val="Normal"/>
        <w:spacing w:lineRule="auto" w:line="240" w:before="0" w:after="0"/>
        <w:ind w:left="0" w:right="0" w:hanging="0"/>
        <w:jc w:val="center"/>
        <w:rPr>
          <w:rFonts w:ascii="Times New Roman" w:hAnsi="Times New Roman"/>
          <w:i/>
          <w:i/>
          <w:iCs/>
          <w:sz w:val="20"/>
          <w:szCs w:val="20"/>
          <w:lang w:val="en-US"/>
        </w:rPr>
      </w:pPr>
      <w:r>
        <w:rPr>
          <w:i/>
          <w:iCs/>
          <w:sz w:val="20"/>
          <w:szCs w:val="20"/>
          <w:lang w:val="en-US"/>
        </w:rPr>
        <w:t>*Corresponding author:</w:t>
      </w:r>
    </w:p>
    <w:p>
      <w:pPr>
        <w:pStyle w:val="Normal"/>
        <w:spacing w:lineRule="auto" w:line="240" w:before="0" w:after="0"/>
        <w:ind w:left="0" w:right="0" w:hanging="0"/>
        <w:jc w:val="center"/>
        <w:rPr>
          <w:rFonts w:ascii="Times New Roman" w:hAnsi="Times New Roman"/>
          <w:i/>
          <w:i/>
          <w:iCs/>
          <w:sz w:val="20"/>
          <w:szCs w:val="20"/>
          <w:lang w:val="en-US"/>
        </w:rPr>
      </w:pPr>
      <w:r>
        <w:rPr>
          <w:i/>
          <w:iCs/>
          <w:sz w:val="20"/>
          <w:szCs w:val="20"/>
          <w:lang w:val="en-US"/>
        </w:rPr>
        <w:t>dearadnasl@gmail.com</w:t>
      </w:r>
    </w:p>
    <w:p>
      <w:pPr>
        <w:pStyle w:val="Normal"/>
        <w:spacing w:lineRule="auto" w:line="240" w:before="0" w:after="0"/>
        <w:ind w:left="0" w:right="0" w:hanging="0"/>
        <w:rPr>
          <w:rFonts w:ascii="Times New Roman" w:hAnsi="Times New Roman"/>
          <w:sz w:val="20"/>
          <w:szCs w:val="20"/>
          <w:lang w:val="en-US"/>
        </w:rPr>
      </w:pPr>
      <w:r>
        <w:rPr>
          <w:sz w:val="20"/>
          <w:szCs w:val="20"/>
          <w:lang w:val="en-US"/>
        </w:rPr>
      </w:r>
    </w:p>
    <w:p>
      <w:pPr>
        <w:sectPr>
          <w:headerReference w:type="default" r:id="rId2"/>
          <w:headerReference w:type="first" r:id="rId3"/>
          <w:footerReference w:type="default" r:id="rId4"/>
          <w:footerReference w:type="first" r:id="rId5"/>
          <w:type w:val="nextPage"/>
          <w:pgSz w:w="12240" w:h="15840"/>
          <w:pgMar w:left="1417" w:right="1417" w:header="1417" w:top="2078" w:footer="1417" w:bottom="2106" w:gutter="0"/>
          <w:pgNumType w:fmt="decimal"/>
          <w:formProt w:val="false"/>
          <w:titlePg/>
          <w:textDirection w:val="lrTb"/>
          <w:docGrid w:type="default" w:linePitch="360" w:charSpace="0"/>
        </w:sectPr>
      </w:pP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 xml:space="preserve">Resumen. El presente artículo consiste en el estudio de los niveles de ruido de las zonas comerciales de la Mixteca baja en el Estado de Puebla conocidas como: plaza de Moralillo, plaza de Molcaxac, plaza de San Juan Ixcaquixtla y el mercado municipal de Tepexi de Rodríguez, con el objetivo de cuantificar muestras de ruido de las distintas zonas comerciales para determinar el nivel de afectación en la salud auditiva de los transeúntes y comerciantes establecidos por la NOM-011-STPS-2001, condiciones de seguridad e higiene en los centros de trabajo donde se genere ruido. Tomando como referencia para las muestras a Roberto, Carlos &amp; Pilar, los cuales definen en su libro </w:t>
      </w:r>
      <w:r>
        <w:rPr>
          <w:rFonts w:eastAsia="Times New Roman" w:cs="Times New Roman"/>
          <w:b/>
          <w:bCs/>
          <w:i/>
          <w:iCs/>
          <w:sz w:val="20"/>
          <w:szCs w:val="20"/>
        </w:rPr>
        <w:t>Metodología de la investigación. Cuarta edición (2006)</w:t>
      </w:r>
      <w:r>
        <w:rPr>
          <w:rFonts w:eastAsia="Times New Roman" w:cs="Times New Roman"/>
          <w:b/>
          <w:bCs/>
          <w:sz w:val="20"/>
          <w:szCs w:val="20"/>
        </w:rPr>
        <w:t>, muestras a Gran escala: “100 casos para el grupo o segmento más importante del universo y de 20 a 50 casos para grupos menos importantes”, realizando 50 muestras estadísticas por zona comercial.</w:t>
      </w:r>
    </w:p>
    <w:p>
      <w:pPr>
        <w:pStyle w:val="Normal"/>
        <w:spacing w:lineRule="auto" w:line="240" w:before="0" w:after="0"/>
        <w:ind w:left="0" w:right="0" w:hanging="0"/>
        <w:rPr>
          <w:rFonts w:ascii="Times New Roman" w:hAnsi="Times New Roman"/>
          <w:b/>
          <w:b/>
          <w:bCs/>
          <w:sz w:val="20"/>
          <w:szCs w:val="20"/>
        </w:rPr>
      </w:pPr>
      <w:r>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Palabras clave: Ruido, Graficas X, Decibelios, Transeúntes.</w:t>
      </w:r>
    </w:p>
    <w:p>
      <w:pPr>
        <w:pStyle w:val="Normal"/>
        <w:spacing w:lineRule="auto" w:line="240" w:before="0" w:after="0"/>
        <w:ind w:left="0" w:right="0" w:hanging="0"/>
        <w:rPr>
          <w:rFonts w:ascii="Times New Roman" w:hAnsi="Times New Roman"/>
          <w:b/>
          <w:b/>
          <w:bCs/>
          <w:sz w:val="20"/>
          <w:szCs w:val="20"/>
        </w:rPr>
      </w:pPr>
      <w:r>
        <w:rPr>
          <w:b/>
          <w:bCs/>
          <w:sz w:val="20"/>
          <w:szCs w:val="20"/>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lang w:val="en-US"/>
        </w:rPr>
        <w:t>Abstract. This article consists of the study of the noise levels of the commercial areas of the Lower Mixteca in the State of Puebla known as: plaza de Moralillo, plaza de Molcaxac, plaza de San Juan Ixcaquixtla and the municipal market of Tepexi de Rodríguez, with the objective of quantifying noise samples from the different commercial areas to determine the level of impact on the hearing health of passers-by and merchants established by NOM-011-STPS-2001, safety and hygiene conditions in the workplaces where noise is generated. Taking Roberto, Carlos &amp; Pilar as a reference for the samples, which they define in their book Research Methodology. Fourth edition (2006), Large-scale samples: "100 cases for the most important group or segment of the universe and from 20 to 50 cases for less important groups", making 50 statistical samples per commercial area.</w:t>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lang w:val="en-US"/>
        </w:rPr>
        <w:t>Keywords:</w:t>
      </w:r>
      <w:r>
        <w:rPr>
          <w:b/>
          <w:bCs/>
          <w:sz w:val="20"/>
          <w:szCs w:val="20"/>
          <w:lang w:val="en-US"/>
        </w:rPr>
        <w:t xml:space="preserve"> </w:t>
      </w:r>
      <w:r>
        <w:rPr>
          <w:rFonts w:eastAsia="Times New Roman" w:cs="Times New Roman"/>
          <w:b/>
          <w:bCs/>
          <w:sz w:val="20"/>
          <w:szCs w:val="20"/>
          <w:lang w:val="en-US"/>
        </w:rPr>
        <w:t>Noise, X Charts, Decibels, Pedestrians.</w:t>
      </w:r>
    </w:p>
    <w:p>
      <w:pPr>
        <w:pStyle w:val="Normal"/>
        <w:spacing w:lineRule="auto" w:line="240" w:before="0" w:after="0"/>
        <w:ind w:left="0" w:right="0" w:hanging="0"/>
        <w:rPr>
          <w:rFonts w:ascii="Times New Roman" w:hAnsi="Times New Roman"/>
          <w:sz w:val="20"/>
          <w:szCs w:val="20"/>
          <w:lang w:val="en-US"/>
        </w:rPr>
      </w:pPr>
      <w:r>
        <w:rPr>
          <w:sz w:val="20"/>
          <w:szCs w:val="20"/>
          <w:lang w:val="en-US"/>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I. INTRODUCCIÓN</w:t>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A. Ruido y sus efectos</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El ruido son todos aquellos sonidos molestos y desagradables. La exposición del oído a un ruido continuo, cuyo nivel sonoro diario sea equivalente superior a los 80 dB(A) puede provocar una disminución en la capacidad auditiva de este, que puede ser temporal o permanente. La pérdida temporal de la capacidad auditiva también llamada fatiga auditiva consiste en una disminución de la sensibilidad auditiva, que se presenta después de una exposición contra un ruido intenso y que desaparece al cabo de unos minutos de permanecer en un ambiente no ruidoso (Díaz, 2007).</w:t>
      </w:r>
    </w:p>
    <w:p>
      <w:pPr>
        <w:pStyle w:val="Normal"/>
        <w:spacing w:lineRule="auto" w:line="240" w:before="0" w:after="0"/>
        <w:ind w:left="0" w:right="0" w:hanging="0"/>
        <w:rPr>
          <w:rFonts w:ascii="Times New Roman" w:hAnsi="Times New Roman" w:eastAsia="Times New Roman" w:cs="Times New Roman"/>
          <w:sz w:val="20"/>
          <w:szCs w:val="20"/>
        </w:rPr>
      </w:pPr>
      <w:r>
        <w:rPr>
          <w:rFonts w:eastAsia="Times New Roman" w:cs="Times New Roman"/>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B. Objetivo General</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Cuantificar muestras de ruido de las distintas zonas comerciales de la Mixteca Baja en Puebla para determinar el nivel de afectación en la salud auditiva de los transeúntes y comerciantes.</w:t>
      </w:r>
    </w:p>
    <w:p>
      <w:pPr>
        <w:pStyle w:val="Normal"/>
        <w:spacing w:lineRule="auto" w:line="240" w:before="0" w:after="0"/>
        <w:ind w:left="0" w:right="0" w:hanging="0"/>
        <w:rPr>
          <w:rFonts w:ascii="Times New Roman" w:hAnsi="Times New Roman" w:eastAsia="Times New Roman" w:cs="Times New Roman"/>
          <w:i/>
          <w:i/>
          <w:iCs/>
          <w:sz w:val="20"/>
          <w:szCs w:val="20"/>
        </w:rPr>
      </w:pPr>
      <w:r>
        <w:rPr>
          <w:rFonts w:eastAsia="Times New Roman" w:cs="Times New Roman"/>
          <w:i/>
          <w:iCs/>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C. Objetivos específicos</w:t>
      </w:r>
    </w:p>
    <w:p>
      <w:pPr>
        <w:pStyle w:val="ListParagraph"/>
        <w:numPr>
          <w:ilvl w:val="0"/>
          <w:numId w:val="0"/>
        </w:numPr>
        <w:spacing w:lineRule="auto" w:line="240" w:before="0" w:after="0"/>
        <w:ind w:right="0" w:hanging="0"/>
        <w:contextualSpacing/>
        <w:rPr>
          <w:rFonts w:ascii="Times New Roman" w:hAnsi="Times New Roman"/>
          <w:sz w:val="20"/>
          <w:szCs w:val="20"/>
        </w:rPr>
      </w:pPr>
      <w:r>
        <w:rPr>
          <w:rFonts w:eastAsia="Times New Roman" w:cs="Times New Roman"/>
          <w:sz w:val="20"/>
          <w:szCs w:val="20"/>
        </w:rPr>
        <w:t>(a) Ubicar las zonas a estudiar.</w:t>
      </w:r>
    </w:p>
    <w:p>
      <w:pPr>
        <w:pStyle w:val="ListParagraph"/>
        <w:numPr>
          <w:ilvl w:val="0"/>
          <w:numId w:val="0"/>
        </w:numPr>
        <w:spacing w:lineRule="auto" w:line="240" w:before="0" w:after="0"/>
        <w:ind w:right="0" w:hanging="0"/>
        <w:contextualSpacing/>
        <w:rPr>
          <w:rFonts w:ascii="Times New Roman" w:hAnsi="Times New Roman"/>
          <w:sz w:val="20"/>
          <w:szCs w:val="20"/>
        </w:rPr>
      </w:pPr>
      <w:r>
        <w:rPr>
          <w:rFonts w:eastAsia="Times New Roman" w:cs="Times New Roman"/>
          <w:sz w:val="20"/>
          <w:szCs w:val="20"/>
        </w:rPr>
        <w:t xml:space="preserve">(b) Identificar horarios y días estratégicos. </w:t>
      </w:r>
    </w:p>
    <w:p>
      <w:pPr>
        <w:pStyle w:val="ListParagraph"/>
        <w:numPr>
          <w:ilvl w:val="0"/>
          <w:numId w:val="0"/>
        </w:numPr>
        <w:spacing w:lineRule="auto" w:line="240" w:before="0" w:after="0"/>
        <w:ind w:right="0" w:hanging="0"/>
        <w:contextualSpacing/>
        <w:rPr>
          <w:rFonts w:ascii="Times New Roman" w:hAnsi="Times New Roman"/>
          <w:sz w:val="20"/>
          <w:szCs w:val="20"/>
        </w:rPr>
      </w:pPr>
      <w:r>
        <w:rPr>
          <w:rFonts w:eastAsia="Times New Roman" w:cs="Times New Roman"/>
          <w:sz w:val="20"/>
          <w:szCs w:val="20"/>
        </w:rPr>
        <w:t>(c) Extraer muestras representativas del factor ruido en los centros de comercio.</w:t>
      </w:r>
    </w:p>
    <w:p>
      <w:pPr>
        <w:pStyle w:val="Normal"/>
        <w:spacing w:lineRule="auto" w:line="240" w:before="0" w:after="0"/>
        <w:ind w:left="0" w:right="0" w:hanging="0"/>
        <w:rPr>
          <w:rFonts w:ascii="Times New Roman" w:hAnsi="Times New Roman" w:eastAsia="Times New Roman" w:cs="Times New Roman"/>
          <w:i/>
          <w:i/>
          <w:iCs/>
          <w:sz w:val="20"/>
          <w:szCs w:val="20"/>
        </w:rPr>
      </w:pPr>
      <w:r>
        <w:rPr>
          <w:rFonts w:eastAsia="Times New Roman" w:cs="Times New Roman"/>
          <w:i/>
          <w:iCs/>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D. Hipótesis</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En las plazas comerciales (plaza de Moralillo y tianguis de Molcaxac, mercado de Tepexi de Rodríguez y mercado municipal de San Juan Ixcaquixtla) los niveles de ruido se encuentran por arriba de lo permisible.</w:t>
      </w:r>
    </w:p>
    <w:p>
      <w:pPr>
        <w:pStyle w:val="Normal"/>
        <w:spacing w:lineRule="auto" w:line="240" w:before="0" w:after="0"/>
        <w:ind w:left="0" w:right="0" w:hanging="0"/>
        <w:rPr>
          <w:rFonts w:ascii="Times New Roman" w:hAnsi="Times New Roman" w:eastAsia="Times New Roman" w:cs="Times New Roman"/>
          <w:i/>
          <w:i/>
          <w:iCs/>
          <w:sz w:val="20"/>
          <w:szCs w:val="20"/>
        </w:rPr>
      </w:pPr>
      <w:r>
        <w:rPr>
          <w:rFonts w:eastAsia="Times New Roman" w:cs="Times New Roman"/>
          <w:i/>
          <w:iCs/>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E. Pregunta de investigación</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¿Dentro de las zonas comerciales de la Mixteca Baja en Puebla los niveles de ruido se encuentran dentro de los decibelios (dB) soportados por el oído humano?</w:t>
      </w:r>
    </w:p>
    <w:p>
      <w:pPr>
        <w:pStyle w:val="Normal"/>
        <w:spacing w:lineRule="auto" w:line="240" w:before="0" w:after="0"/>
        <w:ind w:left="0" w:right="0" w:hanging="0"/>
        <w:rPr>
          <w:rFonts w:ascii="Times New Roman" w:hAnsi="Times New Roman" w:eastAsia="Times New Roman" w:cs="Times New Roman"/>
          <w:i/>
          <w:i/>
          <w:iCs/>
          <w:sz w:val="20"/>
          <w:szCs w:val="20"/>
        </w:rPr>
      </w:pPr>
      <w:r>
        <w:rPr>
          <w:rFonts w:eastAsia="Times New Roman" w:cs="Times New Roman"/>
          <w:i/>
          <w:iCs/>
          <w:sz w:val="20"/>
          <w:szCs w:val="20"/>
        </w:rPr>
      </w:r>
    </w:p>
    <w:p>
      <w:pPr>
        <w:pStyle w:val="Normal"/>
        <w:spacing w:lineRule="auto" w:line="240" w:before="0" w:after="0"/>
        <w:ind w:left="0" w:right="0" w:hanging="0"/>
        <w:rPr>
          <w:rFonts w:ascii="Times New Roman" w:hAnsi="Times New Roman" w:eastAsia="Times New Roman" w:cs="Times New Roman"/>
          <w:i/>
          <w:i/>
          <w:iCs/>
          <w:sz w:val="20"/>
          <w:szCs w:val="20"/>
        </w:rPr>
      </w:pPr>
      <w:r>
        <w:rPr>
          <w:rFonts w:eastAsia="Times New Roman" w:cs="Times New Roman"/>
          <w:i/>
          <w:iCs/>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F. Ubicaciones Geográficas y antecedentes</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Este estudio se llevó a cabo en la región de la Mixteca Baja del estado de Puebla, México. Específicamente en las siguientes localizaciones:</w:t>
      </w:r>
    </w:p>
    <w:p>
      <w:pPr>
        <w:pStyle w:val="Normal"/>
        <w:spacing w:lineRule="auto" w:line="240" w:before="0" w:after="0"/>
        <w:ind w:left="0" w:right="0" w:hanging="0"/>
        <w:rPr>
          <w:rFonts w:ascii="Times New Roman" w:hAnsi="Times New Roman" w:eastAsia="Times New Roman" w:cs="Times New Roman"/>
          <w:sz w:val="20"/>
          <w:szCs w:val="20"/>
        </w:rPr>
      </w:pPr>
      <w:r>
        <w:rPr>
          <w:rFonts w:eastAsia="Times New Roman" w:cs="Times New Roman"/>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G. Plaza Molcaxac</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Esta zona comercial está ubicada en el parque municipal de Molcaxac frente al H. Ayuntamiento de Molcaxac, en plaza principal S/N, Colonia Centro, 75650 Pue. Y abarca toda la parte de la orilla izquierda de la carretera principal del municipio, 5 de mayo #455.</w:t>
      </w:r>
    </w:p>
    <w:p>
      <w:pPr>
        <w:pStyle w:val="Normal"/>
        <w:spacing w:lineRule="auto" w:line="240" w:before="0" w:after="0"/>
        <w:ind w:left="0" w:right="0" w:hanging="0"/>
        <w:rPr>
          <w:rFonts w:ascii="Times New Roman" w:hAnsi="Times New Roman" w:eastAsia="Times New Roman" w:cs="Times New Roman"/>
          <w:sz w:val="20"/>
          <w:szCs w:val="20"/>
        </w:rPr>
      </w:pPr>
      <w:r>
        <w:rPr>
          <w:rFonts w:eastAsia="Times New Roman" w:cs="Times New Roman"/>
          <w:sz w:val="20"/>
          <w:szCs w:val="20"/>
        </w:rPr>
      </w:r>
      <w:bookmarkStart w:id="0" w:name="_Toc128682830"/>
      <w:bookmarkStart w:id="1" w:name="_Toc128682830"/>
      <w:bookmarkEnd w:id="1"/>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H. Mercado del Moralillo, Tepexi De Rodríguez:</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Ubicado a un costado de la carretera Cuapiaxtla - Acatlán de Osorio y solamente los días martes hay movimiento de ventas ya que solo ese día se colocan los puestos de vendedores que vienen de todos los lugares alrededor de la zona. Forma parte de la ciudad de Tepexi de Rodríguez, Pue. México. El presente enlace te conduce a la página web de Google Maps, y muestra la ubicación exacta:</w:t>
      </w:r>
    </w:p>
    <w:p>
      <w:pPr>
        <w:pStyle w:val="Normal"/>
        <w:spacing w:lineRule="auto" w:line="240" w:before="0" w:after="0"/>
        <w:ind w:left="0" w:right="0" w:hanging="0"/>
        <w:rPr/>
      </w:pPr>
      <w:hyperlink r:id="rId6">
        <w:r>
          <w:rPr>
            <w:rStyle w:val="EnlacedeInternet"/>
            <w:rFonts w:eastAsia="" w:cs="Times New Roman" w:eastAsiaTheme="majorEastAsia"/>
            <w:sz w:val="20"/>
            <w:szCs w:val="20"/>
          </w:rPr>
          <w:t>Mercado De Moralillo - Google Maps</w:t>
        </w:r>
      </w:hyperlink>
    </w:p>
    <w:p>
      <w:pPr>
        <w:pStyle w:val="Normal"/>
        <w:spacing w:lineRule="auto" w:line="240" w:before="0" w:after="0"/>
        <w:ind w:left="0" w:right="0" w:hanging="0"/>
        <w:rPr>
          <w:rFonts w:ascii="Times New Roman" w:hAnsi="Times New Roman" w:eastAsia="Times New Roman" w:cs="Times New Roman"/>
          <w:sz w:val="20"/>
          <w:szCs w:val="20"/>
        </w:rPr>
      </w:pPr>
      <w:r>
        <w:rPr>
          <w:rFonts w:eastAsia="Times New Roman" w:cs="Times New Roman"/>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I. Mercado municipal de Tepexi de Rodríguez</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El mercado se encuentra sobre la avenida 16 de septiembre colonia centro S/N a un costado de la conocida plaza de armas y a unos 40 metros del palacio municipal de Tepexi de Rodríguez en las coordenadas geográficas: 18.579406, -97.926468.</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No se sabe mucho al respecto de su fundación lo que sí se sabe con certeza es que cuenta con tres niveles, el primero de ellos es el nivel de abajo que es un estacionamiento, el segundo nivel es donde en donde ya empieza a haber actividades de compra venta, desde comida, frutas, flores, juguetes, bebidas, etc. El tercer nivel es el tercer piso, aunque también el menos concurrido, posee pocos puestos. A diferencia del Moralillo aquí no se comercializan animales vivos.</w:t>
      </w:r>
    </w:p>
    <w:p>
      <w:pPr>
        <w:pStyle w:val="Normal"/>
        <w:spacing w:lineRule="auto" w:line="240" w:before="0" w:after="0"/>
        <w:ind w:left="0" w:right="0" w:hanging="0"/>
        <w:rPr>
          <w:rFonts w:ascii="Times New Roman" w:hAnsi="Times New Roman" w:eastAsia="Times New Roman" w:cs="Times New Roman"/>
          <w:sz w:val="20"/>
          <w:szCs w:val="20"/>
        </w:rPr>
      </w:pPr>
      <w:r>
        <w:rPr>
          <w:rFonts w:eastAsia="Times New Roman" w:cs="Times New Roman"/>
          <w:sz w:val="20"/>
          <w:szCs w:val="20"/>
        </w:rPr>
      </w:r>
    </w:p>
    <w:p>
      <w:pPr>
        <w:pStyle w:val="Normal"/>
        <w:spacing w:lineRule="auto" w:line="240" w:before="0" w:after="0"/>
        <w:ind w:left="0" w:right="0" w:hanging="0"/>
        <w:rPr>
          <w:rFonts w:ascii="Times New Roman" w:hAnsi="Times New Roman"/>
          <w:sz w:val="20"/>
          <w:szCs w:val="20"/>
        </w:rPr>
      </w:pPr>
      <w:r>
        <w:rPr>
          <w:rFonts w:eastAsia="Times New Roman" w:cs="Times New Roman"/>
          <w:i/>
          <w:iCs/>
          <w:sz w:val="20"/>
          <w:szCs w:val="20"/>
        </w:rPr>
        <w:t>J. Mercado de San Juan Ixcaquixtla</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Se encuentra ubicado en avenida prof. Carlos Merino Camarillo, y calle 3 poniente 102, Centro, 74900 San Juan Ixcaquixtla, Pue. Sus coordenadas geográficas son 18.459444, -97.832311, empezó como un pequeño tianguis, pero con el tiempo fue teniendo cambios como la construcción de su techado ya que cuando se fundó, según una de las personas recurrentes al mercado (Reyes, 2022), no contaba con él, otro cambio que sufrió fue el de su estructura ya que en sus inicios abarcaba menos espacio, con el tiempo se fue haciendo más grande como hoy en día. La mayoría de los pobladores de la región vienen a vender sus productos a este tianguis, en él se pueden encontrar gran variedad de cosas algunos ejemplos son: comida, maíz, frutas, verduras, diferentes tipos de carnes, también se pueden encontrar bebidas como pulque que producen los mismos comerciantes aquí en la región (Rojas, 2022), este mercado se encuentra abierto los días domingo en un horario de 8 de la mañana a 8 de la noche (Simón, 2022).</w:t>
      </w:r>
    </w:p>
    <w:p>
      <w:pPr>
        <w:pStyle w:val="Normal"/>
        <w:spacing w:lineRule="auto" w:line="240" w:before="0" w:after="0"/>
        <w:ind w:left="0" w:right="0" w:hanging="0"/>
        <w:rPr>
          <w:rFonts w:ascii="Times New Roman" w:hAnsi="Times New Roman"/>
          <w:b/>
          <w:b/>
          <w:bCs/>
          <w:sz w:val="20"/>
          <w:szCs w:val="20"/>
        </w:rPr>
      </w:pPr>
      <w:r>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II. METODOLOGÍA</w:t>
      </w:r>
    </w:p>
    <w:p>
      <w:pPr>
        <w:pStyle w:val="Normal"/>
        <w:spacing w:lineRule="auto" w:line="240" w:before="0" w:after="0"/>
        <w:ind w:left="0" w:right="0" w:hanging="0"/>
        <w:rPr>
          <w:rFonts w:ascii="Times New Roman" w:hAnsi="Times New Roman"/>
          <w:sz w:val="20"/>
          <w:szCs w:val="20"/>
        </w:rPr>
      </w:pPr>
      <w:r>
        <w:rPr>
          <w:rFonts w:cs="Times New Roman"/>
          <w:sz w:val="20"/>
          <w:szCs w:val="20"/>
        </w:rPr>
        <w:t>El orden y número de actividades es el siguiente:</w:t>
      </w:r>
    </w:p>
    <w:p>
      <w:pPr>
        <w:pStyle w:val="Normal"/>
        <w:spacing w:lineRule="auto" w:line="240" w:before="0" w:after="0"/>
        <w:ind w:left="0" w:right="0" w:hanging="0"/>
        <w:jc w:val="center"/>
        <w:rPr>
          <w:rFonts w:ascii="Times New Roman" w:hAnsi="Times New Roman"/>
          <w:i/>
          <w:i/>
          <w:iCs/>
          <w:sz w:val="20"/>
          <w:szCs w:val="20"/>
        </w:rPr>
      </w:pPr>
      <w:r>
        <w:rPr>
          <w:rFonts w:cs="Times New Roman"/>
          <w:i/>
          <w:iCs/>
          <w:sz w:val="20"/>
          <w:szCs w:val="20"/>
        </w:rPr>
        <w:t>F</w:t>
      </w:r>
      <w:r>
        <w:drawing>
          <wp:anchor behindDoc="0" distT="0" distB="0" distL="114300" distR="114300" simplePos="0" locked="0" layoutInCell="0" allowOverlap="1" relativeHeight="5">
            <wp:simplePos x="0" y="0"/>
            <wp:positionH relativeFrom="column">
              <wp:posOffset>230505</wp:posOffset>
            </wp:positionH>
            <wp:positionV relativeFrom="paragraph">
              <wp:posOffset>76835</wp:posOffset>
            </wp:positionV>
            <wp:extent cx="2435225" cy="1425575"/>
            <wp:effectExtent l="0" t="0" r="0" b="0"/>
            <wp:wrapTopAndBottom/>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7"/>
                    <a:stretch>
                      <a:fillRect/>
                    </a:stretch>
                  </pic:blipFill>
                  <pic:spPr bwMode="auto">
                    <a:xfrm>
                      <a:off x="0" y="0"/>
                      <a:ext cx="2435225" cy="1425575"/>
                    </a:xfrm>
                    <a:prstGeom prst="rect">
                      <a:avLst/>
                    </a:prstGeom>
                  </pic:spPr>
                </pic:pic>
              </a:graphicData>
            </a:graphic>
          </wp:anchor>
        </w:drawing>
      </w:r>
      <w:r>
        <w:rPr>
          <w:rFonts w:cs="Times New Roman"/>
          <w:i/>
          <w:iCs/>
          <w:sz w:val="20"/>
          <w:szCs w:val="20"/>
        </w:rPr>
        <w:t>i</w:t>
      </w:r>
      <w:r>
        <w:rPr>
          <w:rFonts w:cs="Times New Roman"/>
          <w:i/>
          <w:iCs/>
          <w:sz w:val="20"/>
          <w:szCs w:val="20"/>
        </w:rPr>
        <w:t>gura 1. Metodología de la investigación. Fuente: Elaboración propia.</w:t>
      </w:r>
    </w:p>
    <w:p>
      <w:pPr>
        <w:pStyle w:val="Normal"/>
        <w:spacing w:lineRule="auto" w:line="240" w:before="0" w:after="0"/>
        <w:ind w:left="0" w:right="0" w:hanging="0"/>
        <w:jc w:val="center"/>
        <w:rPr>
          <w:rFonts w:ascii="Times New Roman" w:hAnsi="Times New Roman" w:cs="Times New Roman"/>
          <w:sz w:val="20"/>
          <w:szCs w:val="20"/>
        </w:rPr>
      </w:pPr>
      <w:r>
        <w:rPr>
          <w:rFonts w:cs="Times New Roman"/>
          <w:sz w:val="20"/>
          <w:szCs w:val="20"/>
        </w:rPr>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(1) </w:t>
      </w:r>
      <w:r>
        <w:rPr>
          <w:rFonts w:cs="Times New Roman"/>
          <w:sz w:val="20"/>
          <w:szCs w:val="20"/>
        </w:rPr>
        <w:t>Identificar y conseguir el dispositivo adecuado de medición que ocuparemos (Sonómetro).</w:t>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(2) </w:t>
      </w:r>
      <w:r>
        <w:rPr>
          <w:rFonts w:cs="Times New Roman"/>
          <w:sz w:val="20"/>
          <w:szCs w:val="20"/>
        </w:rPr>
        <w:t>Ubicar las zonas en donde se realizará el estudio.</w:t>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(3) </w:t>
      </w:r>
      <w:r>
        <w:rPr>
          <w:rFonts w:cs="Times New Roman"/>
          <w:sz w:val="20"/>
          <w:szCs w:val="20"/>
        </w:rPr>
        <w:t>Como cada lugar presenta horarios distintos el siguiente paso será definir horarios estratégicos. Una vez identificados los horarios, se harán las enumeraciones de los lugares para saber a cuál iremos primero.</w:t>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(4) </w:t>
      </w:r>
      <w:r>
        <w:rPr>
          <w:rFonts w:cs="Times New Roman"/>
          <w:sz w:val="20"/>
          <w:szCs w:val="20"/>
        </w:rPr>
        <w:t>Antes de ir al lugar asignado, se deberá comprobar si en nuestra posesión se encuentra el dispositivo de medición.</w:t>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(5) </w:t>
      </w:r>
      <w:r>
        <w:rPr>
          <w:rFonts w:cs="Times New Roman"/>
          <w:sz w:val="20"/>
          <w:szCs w:val="20"/>
        </w:rPr>
        <w:t>Definir áreas en el lugar (es) de estudio para empezar a sacar las muestras, una vez llegamos a la zona de estudio.</w:t>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(6) </w:t>
      </w:r>
      <w:r>
        <w:rPr>
          <w:rFonts w:cs="Times New Roman"/>
          <w:sz w:val="20"/>
          <w:szCs w:val="20"/>
        </w:rPr>
        <w:t>Comenzar a extraer las muestras de ruido. Para cada área tomaremos al menos de 40 a 50 muestras por zona comercial, y estas mismas serán tomadas cada 30 segundos.</w:t>
      </w:r>
    </w:p>
    <w:p>
      <w:pPr>
        <w:pStyle w:val="ListParagraph"/>
        <w:numPr>
          <w:ilvl w:val="0"/>
          <w:numId w:val="0"/>
        </w:numPr>
        <w:spacing w:lineRule="auto" w:line="240" w:before="0" w:after="0"/>
        <w:ind w:left="1065" w:right="0" w:hanging="0"/>
        <w:contextualSpacing/>
        <w:rPr>
          <w:rFonts w:ascii="Times New Roman" w:hAnsi="Times New Roman"/>
          <w:sz w:val="20"/>
          <w:szCs w:val="20"/>
        </w:rPr>
      </w:pPr>
      <w:r>
        <w:rPr>
          <w:rFonts w:cs="Times New Roman"/>
          <w:sz w:val="20"/>
          <w:szCs w:val="20"/>
        </w:rPr>
        <w:t xml:space="preserve">(7) </w:t>
      </w:r>
      <w:r>
        <w:rPr>
          <w:rFonts w:cs="Times New Roman"/>
          <w:sz w:val="20"/>
          <w:szCs w:val="20"/>
        </w:rPr>
        <w:t>Una vez finalizado la toma de muestras se procederá a introducir los datos en la hoja de cá</w:t>
      </w:r>
      <w:r>
        <w:rPr>
          <w:rFonts w:cs="Times New Roman"/>
          <w:sz w:val="20"/>
          <w:szCs w:val="20"/>
        </w:rPr>
        <w:t>l</w:t>
      </w:r>
      <w:r>
        <w:rPr>
          <w:rFonts w:cs="Times New Roman"/>
          <w:sz w:val="20"/>
          <w:szCs w:val="20"/>
        </w:rPr>
        <w:t>culo.</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i/>
          <w:i/>
          <w:iCs/>
        </w:rPr>
      </w:pPr>
      <w:r>
        <w:rPr>
          <w:rFonts w:cs="Times New Roman"/>
          <w:i/>
          <w:iCs/>
          <w:sz w:val="20"/>
          <w:szCs w:val="20"/>
        </w:rPr>
        <w:t xml:space="preserve">A. </w:t>
      </w:r>
      <w:r>
        <w:rPr>
          <w:rFonts w:cs="Times New Roman"/>
          <w:i/>
          <w:iCs/>
          <w:sz w:val="20"/>
          <w:szCs w:val="20"/>
        </w:rPr>
        <w:t>Cronograma de Actividades</w:t>
      </w:r>
    </w:p>
    <w:p>
      <w:pPr>
        <w:pStyle w:val="Normal"/>
        <w:spacing w:lineRule="auto" w:line="240" w:before="0" w:after="0"/>
        <w:ind w:left="0" w:right="0" w:hanging="0"/>
        <w:rPr>
          <w:rFonts w:ascii="Times New Roman" w:hAnsi="Times New Roman"/>
          <w:sz w:val="20"/>
          <w:szCs w:val="20"/>
        </w:rPr>
      </w:pPr>
      <w:r>
        <w:rPr>
          <w:rFonts w:cs="Times New Roman"/>
          <w:sz w:val="20"/>
          <w:szCs w:val="20"/>
        </w:rPr>
        <w:t>La Tabla 1 muestra la fecha en que se realizó cada actividad.</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cs="Times New Roman"/>
          <w:b/>
          <w:bCs/>
          <w:sz w:val="20"/>
          <w:szCs w:val="20"/>
        </w:rPr>
        <w:t>Tabla 1. Cronograma de actividades. Fuente: Elaboración propia.</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433"/>
        <w:gridCol w:w="429"/>
        <w:gridCol w:w="503"/>
        <w:gridCol w:w="501"/>
        <w:gridCol w:w="504"/>
        <w:gridCol w:w="356"/>
        <w:gridCol w:w="356"/>
        <w:gridCol w:w="452"/>
      </w:tblGrid>
      <w:tr>
        <w:trPr>
          <w:trHeight w:val="143" w:hRule="atLeast"/>
        </w:trPr>
        <w:tc>
          <w:tcPr>
            <w:tcW w:w="4534" w:type="dxa"/>
            <w:gridSpan w:val="8"/>
            <w:tcBorders>
              <w:top w:val="single" w:sz="8" w:space="0" w:color="000000"/>
              <w:left w:val="single" w:sz="8" w:space="0" w:color="000000"/>
              <w:right w:val="single" w:sz="8" w:space="0" w:color="000000"/>
            </w:tcBorders>
            <w:shd w:color="auto" w:fill="1F4E79" w:themeFill="accent5" w:themeFillShade="80"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color w:val="FFFFFF" w:themeColor="background1"/>
                <w:sz w:val="12"/>
                <w:szCs w:val="12"/>
              </w:rPr>
              <w:t>Noviembre</w:t>
            </w:r>
          </w:p>
        </w:tc>
      </w:tr>
      <w:tr>
        <w:trPr>
          <w:trHeight w:val="135" w:hRule="atLeast"/>
        </w:trPr>
        <w:tc>
          <w:tcPr>
            <w:tcW w:w="143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Actividades\Días</w:t>
            </w:r>
          </w:p>
        </w:tc>
        <w:tc>
          <w:tcPr>
            <w:tcW w:w="429" w:type="dxa"/>
            <w:tcBorders>
              <w:top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0000"/>
                <w:sz w:val="12"/>
                <w:szCs w:val="12"/>
              </w:rPr>
            </w:pPr>
            <w:r>
              <w:rPr>
                <w:rFonts w:cs="Times New Roman"/>
                <w:b/>
                <w:bCs/>
                <w:color w:val="FF0000"/>
                <w:sz w:val="12"/>
                <w:szCs w:val="12"/>
              </w:rPr>
              <w:t>D</w:t>
            </w:r>
          </w:p>
        </w:tc>
        <w:tc>
          <w:tcPr>
            <w:tcW w:w="503" w:type="dxa"/>
            <w:tcBorders>
              <w:top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L</w:t>
            </w:r>
          </w:p>
        </w:tc>
        <w:tc>
          <w:tcPr>
            <w:tcW w:w="501" w:type="dxa"/>
            <w:tcBorders>
              <w:top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M</w:t>
            </w:r>
          </w:p>
        </w:tc>
        <w:tc>
          <w:tcPr>
            <w:tcW w:w="504" w:type="dxa"/>
            <w:tcBorders>
              <w:top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M</w:t>
            </w:r>
          </w:p>
        </w:tc>
        <w:tc>
          <w:tcPr>
            <w:tcW w:w="356" w:type="dxa"/>
            <w:tcBorders>
              <w:top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J</w:t>
            </w:r>
          </w:p>
        </w:tc>
        <w:tc>
          <w:tcPr>
            <w:tcW w:w="356" w:type="dxa"/>
            <w:tcBorders>
              <w:top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V</w:t>
            </w:r>
          </w:p>
        </w:tc>
        <w:tc>
          <w:tcPr>
            <w:tcW w:w="452" w:type="dxa"/>
            <w:tcBorders>
              <w:top w:val="single" w:sz="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S</w:t>
            </w:r>
          </w:p>
        </w:tc>
      </w:tr>
      <w:tr>
        <w:trPr>
          <w:trHeight w:val="129" w:hRule="atLeast"/>
        </w:trPr>
        <w:tc>
          <w:tcPr>
            <w:tcW w:w="1433" w:type="dxa"/>
            <w:tcBorders>
              <w:top w:val="single" w:sz="8" w:space="0" w:color="000000"/>
              <w:left w:val="single" w:sz="8" w:space="0" w:color="000000"/>
              <w:bottom w:val="single" w:sz="4" w:space="0" w:color="000000"/>
              <w:right w:val="single" w:sz="8" w:space="0" w:color="000000"/>
            </w:tcBorders>
            <w:shd w:color="auto" w:fill="F4B083" w:themeFill="accent2" w:themeFillTint="99"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P</w:t>
            </w:r>
            <w:r>
              <w:rPr>
                <w:rFonts w:cs="Times New Roman"/>
                <w:b/>
                <w:bCs/>
                <w:sz w:val="12"/>
                <w:szCs w:val="12"/>
                <w:shd w:fill="F4B083" w:val="clear"/>
              </w:rPr>
              <w:t>laneación</w:t>
            </w:r>
          </w:p>
        </w:tc>
        <w:tc>
          <w:tcPr>
            <w:tcW w:w="4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4B084"/>
                <w:sz w:val="12"/>
                <w:szCs w:val="12"/>
              </w:rPr>
            </w:pPr>
            <w:r>
              <w:rPr>
                <w:rFonts w:cs="Times New Roman"/>
                <w:b/>
                <w:bCs/>
                <w:color w:val="F4B084"/>
                <w:sz w:val="12"/>
                <w:szCs w:val="12"/>
              </w:rPr>
              <w:t>30</w:t>
            </w:r>
          </w:p>
        </w:tc>
        <w:tc>
          <w:tcPr>
            <w:tcW w:w="50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757171"/>
                <w:sz w:val="12"/>
                <w:szCs w:val="12"/>
              </w:rPr>
            </w:pPr>
            <w:r>
              <w:rPr>
                <w:rFonts w:cs="Times New Roman"/>
                <w:color w:val="757171"/>
                <w:sz w:val="12"/>
                <w:szCs w:val="12"/>
              </w:rPr>
              <w:t>31</w:t>
            </w:r>
          </w:p>
        </w:tc>
        <w:tc>
          <w:tcPr>
            <w:tcW w:w="501" w:type="dxa"/>
            <w:tcBorders>
              <w:bottom w:val="single" w:sz="4" w:space="0" w:color="000000"/>
              <w:right w:val="single" w:sz="4" w:space="0" w:color="000000"/>
            </w:tcBorders>
            <w:shd w:color="auto" w:fill="F4B083" w:themeFill="accent2" w:themeFillTint="99"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w:t>
            </w:r>
          </w:p>
        </w:tc>
        <w:tc>
          <w:tcPr>
            <w:tcW w:w="504" w:type="dxa"/>
            <w:tcBorders>
              <w:bottom w:val="single" w:sz="4" w:space="0" w:color="000000"/>
              <w:right w:val="single" w:sz="4" w:space="0" w:color="000000"/>
            </w:tcBorders>
            <w:shd w:color="auto" w:fill="F4B083" w:themeFill="accent2" w:themeFillTint="99"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w:t>
            </w:r>
          </w:p>
        </w:tc>
        <w:tc>
          <w:tcPr>
            <w:tcW w:w="356" w:type="dxa"/>
            <w:tcBorders>
              <w:bottom w:val="single" w:sz="4" w:space="0" w:color="000000"/>
              <w:right w:val="single" w:sz="4" w:space="0" w:color="000000"/>
            </w:tcBorders>
            <w:shd w:color="auto" w:fill="F4B083" w:themeFill="accent2" w:themeFillTint="99"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3</w:t>
            </w:r>
          </w:p>
        </w:tc>
        <w:tc>
          <w:tcPr>
            <w:tcW w:w="356" w:type="dxa"/>
            <w:tcBorders>
              <w:bottom w:val="single" w:sz="4" w:space="0" w:color="000000"/>
              <w:right w:val="single" w:sz="4" w:space="0" w:color="000000"/>
            </w:tcBorders>
            <w:shd w:color="auto" w:fill="F4B083" w:themeFill="accent2" w:themeFillTint="99"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4</w:t>
            </w:r>
          </w:p>
        </w:tc>
        <w:tc>
          <w:tcPr>
            <w:tcW w:w="452" w:type="dxa"/>
            <w:tcBorders>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5</w:t>
            </w:r>
          </w:p>
        </w:tc>
      </w:tr>
      <w:tr>
        <w:trPr>
          <w:trHeight w:val="129" w:hRule="atLeast"/>
        </w:trPr>
        <w:tc>
          <w:tcPr>
            <w:tcW w:w="1433" w:type="dxa"/>
            <w:tcBorders>
              <w:top w:val="single" w:sz="4" w:space="0" w:color="000000"/>
              <w:left w:val="single" w:sz="8" w:space="0" w:color="000000"/>
              <w:bottom w:val="single" w:sz="4" w:space="0" w:color="000000"/>
              <w:right w:val="single" w:sz="8" w:space="0" w:color="000000"/>
            </w:tcBorders>
            <w:shd w:color="auto" w:fill="4472C4" w:themeFill="accent1"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Visita a mercado Moralillo y Molcaxac respectivamente</w:t>
            </w:r>
          </w:p>
        </w:tc>
        <w:tc>
          <w:tcPr>
            <w:tcW w:w="4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0000"/>
                <w:sz w:val="12"/>
                <w:szCs w:val="12"/>
              </w:rPr>
            </w:pPr>
            <w:r>
              <w:rPr>
                <w:rFonts w:cs="Times New Roman"/>
                <w:b/>
                <w:bCs/>
                <w:color w:val="FF0000"/>
                <w:sz w:val="12"/>
                <w:szCs w:val="12"/>
              </w:rPr>
              <w:t>6</w:t>
            </w:r>
          </w:p>
        </w:tc>
        <w:tc>
          <w:tcPr>
            <w:tcW w:w="50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7</w:t>
            </w:r>
          </w:p>
        </w:tc>
        <w:tc>
          <w:tcPr>
            <w:tcW w:w="501" w:type="dxa"/>
            <w:tcBorders>
              <w:bottom w:val="single" w:sz="4" w:space="0" w:color="000000"/>
              <w:right w:val="single" w:sz="4" w:space="0" w:color="000000"/>
            </w:tcBorders>
            <w:shd w:color="auto" w:fill="4472C4" w:themeFill="accent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8</w:t>
            </w:r>
          </w:p>
        </w:tc>
        <w:tc>
          <w:tcPr>
            <w:tcW w:w="5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9</w:t>
            </w:r>
          </w:p>
        </w:tc>
        <w:tc>
          <w:tcPr>
            <w:tcW w:w="356" w:type="dxa"/>
            <w:tcBorders>
              <w:bottom w:val="single" w:sz="4" w:space="0" w:color="000000"/>
              <w:right w:val="single" w:sz="4" w:space="0" w:color="000000"/>
            </w:tcBorders>
            <w:shd w:color="auto" w:fill="4472C4" w:themeFill="accent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10</w:t>
            </w:r>
          </w:p>
        </w:tc>
        <w:tc>
          <w:tcPr>
            <w:tcW w:w="3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11</w:t>
            </w:r>
          </w:p>
        </w:tc>
        <w:tc>
          <w:tcPr>
            <w:tcW w:w="452" w:type="dxa"/>
            <w:tcBorders>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12</w:t>
            </w:r>
          </w:p>
        </w:tc>
      </w:tr>
      <w:tr>
        <w:trPr>
          <w:trHeight w:val="129" w:hRule="atLeast"/>
        </w:trPr>
        <w:tc>
          <w:tcPr>
            <w:tcW w:w="1433" w:type="dxa"/>
            <w:tcBorders>
              <w:top w:val="single" w:sz="4" w:space="0" w:color="000000"/>
              <w:left w:val="single" w:sz="4" w:space="0" w:color="000000"/>
              <w:bottom w:val="single" w:sz="4" w:space="0" w:color="000000"/>
              <w:right w:val="single" w:sz="4" w:space="0" w:color="000000"/>
            </w:tcBorders>
            <w:shd w:color="auto" w:fill="4472C4" w:themeFill="accent1"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Visita a Mercado Tepexi y Ixcaquixtla</w:t>
            </w:r>
          </w:p>
        </w:tc>
        <w:tc>
          <w:tcPr>
            <w:tcW w:w="429" w:type="dxa"/>
            <w:tcBorders>
              <w:left w:val="single" w:sz="4" w:space="0" w:color="000000"/>
              <w:bottom w:val="single" w:sz="4" w:space="0" w:color="000000"/>
              <w:right w:val="single" w:sz="4" w:space="0" w:color="000000"/>
            </w:tcBorders>
            <w:shd w:color="auto" w:fill="4472C4" w:themeFill="accent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0000"/>
                <w:sz w:val="12"/>
                <w:szCs w:val="12"/>
              </w:rPr>
            </w:pPr>
            <w:r>
              <w:rPr>
                <w:rFonts w:cs="Times New Roman"/>
                <w:b/>
                <w:bCs/>
                <w:color w:val="FF0000"/>
                <w:sz w:val="12"/>
                <w:szCs w:val="12"/>
              </w:rPr>
              <w:t>13</w:t>
            </w:r>
          </w:p>
        </w:tc>
        <w:tc>
          <w:tcPr>
            <w:tcW w:w="50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14</w:t>
            </w:r>
          </w:p>
        </w:tc>
        <w:tc>
          <w:tcPr>
            <w:tcW w:w="5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15</w:t>
            </w:r>
          </w:p>
        </w:tc>
        <w:tc>
          <w:tcPr>
            <w:tcW w:w="5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16</w:t>
            </w:r>
          </w:p>
        </w:tc>
        <w:tc>
          <w:tcPr>
            <w:tcW w:w="3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sz w:val="12"/>
                <w:szCs w:val="12"/>
              </w:rPr>
              <w:t>17</w:t>
            </w:r>
          </w:p>
        </w:tc>
        <w:tc>
          <w:tcPr>
            <w:tcW w:w="3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sz w:val="12"/>
                <w:szCs w:val="12"/>
              </w:rPr>
              <w:t>18</w:t>
            </w:r>
          </w:p>
        </w:tc>
        <w:tc>
          <w:tcPr>
            <w:tcW w:w="452" w:type="dxa"/>
            <w:tcBorders>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sz w:val="12"/>
                <w:szCs w:val="12"/>
              </w:rPr>
              <w:t>19</w:t>
            </w:r>
          </w:p>
        </w:tc>
      </w:tr>
      <w:tr>
        <w:trPr>
          <w:trHeight w:val="129" w:hRule="atLeast"/>
        </w:trPr>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0000"/>
                <w:sz w:val="12"/>
                <w:szCs w:val="12"/>
              </w:rPr>
            </w:pPr>
            <w:r>
              <w:rPr>
                <w:rFonts w:cs="Times New Roman"/>
                <w:b/>
                <w:bCs/>
                <w:color w:val="FF0000"/>
                <w:sz w:val="12"/>
                <w:szCs w:val="12"/>
              </w:rPr>
              <w:t>20</w:t>
            </w:r>
          </w:p>
        </w:tc>
        <w:tc>
          <w:tcPr>
            <w:tcW w:w="50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21</w:t>
            </w:r>
          </w:p>
        </w:tc>
        <w:tc>
          <w:tcPr>
            <w:tcW w:w="501"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22</w:t>
            </w:r>
          </w:p>
        </w:tc>
        <w:tc>
          <w:tcPr>
            <w:tcW w:w="50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23</w:t>
            </w:r>
          </w:p>
        </w:tc>
        <w:tc>
          <w:tcPr>
            <w:tcW w:w="3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sz w:val="12"/>
                <w:szCs w:val="12"/>
              </w:rPr>
              <w:t>24</w:t>
            </w:r>
          </w:p>
        </w:tc>
        <w:tc>
          <w:tcPr>
            <w:tcW w:w="3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sz w:val="12"/>
                <w:szCs w:val="12"/>
              </w:rPr>
              <w:t>25</w:t>
            </w:r>
          </w:p>
        </w:tc>
        <w:tc>
          <w:tcPr>
            <w:tcW w:w="452" w:type="dxa"/>
            <w:tcBorders>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sz w:val="12"/>
                <w:szCs w:val="12"/>
              </w:rPr>
            </w:pPr>
            <w:r>
              <w:rPr>
                <w:rFonts w:cs="Times New Roman"/>
                <w:sz w:val="12"/>
                <w:szCs w:val="12"/>
              </w:rPr>
              <w:t>26</w:t>
            </w:r>
          </w:p>
        </w:tc>
      </w:tr>
      <w:tr>
        <w:trPr>
          <w:trHeight w:val="135" w:hRule="atLeast"/>
        </w:trPr>
        <w:tc>
          <w:tcPr>
            <w:tcW w:w="1433" w:type="dxa"/>
            <w:tcBorders>
              <w:top w:val="single" w:sz="4" w:space="0" w:color="000000"/>
              <w:left w:val="single" w:sz="8" w:space="0" w:color="000000"/>
              <w:bottom w:val="single" w:sz="4" w:space="0" w:color="000000"/>
              <w:right w:val="single" w:sz="8"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Análisis de datos</w:t>
            </w:r>
          </w:p>
        </w:tc>
        <w:tc>
          <w:tcPr>
            <w:tcW w:w="429" w:type="dxa"/>
            <w:tcBorders>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0000"/>
                <w:sz w:val="12"/>
                <w:szCs w:val="12"/>
              </w:rPr>
            </w:pPr>
            <w:r>
              <w:rPr>
                <w:rFonts w:cs="Times New Roman"/>
                <w:b/>
                <w:bCs/>
                <w:color w:val="FF0000"/>
                <w:sz w:val="12"/>
                <w:szCs w:val="12"/>
              </w:rPr>
              <w:t>27</w:t>
            </w:r>
          </w:p>
        </w:tc>
        <w:tc>
          <w:tcPr>
            <w:tcW w:w="503" w:type="dxa"/>
            <w:tcBorders>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28</w:t>
            </w:r>
          </w:p>
        </w:tc>
        <w:tc>
          <w:tcPr>
            <w:tcW w:w="501" w:type="dxa"/>
            <w:tcBorders>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29</w:t>
            </w:r>
          </w:p>
        </w:tc>
        <w:tc>
          <w:tcPr>
            <w:tcW w:w="504" w:type="dxa"/>
            <w:tcBorders>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30</w:t>
            </w:r>
          </w:p>
        </w:tc>
        <w:tc>
          <w:tcPr>
            <w:tcW w:w="356" w:type="dxa"/>
            <w:tcBorders>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757171"/>
                <w:sz w:val="12"/>
                <w:szCs w:val="12"/>
              </w:rPr>
            </w:pPr>
            <w:r>
              <w:rPr>
                <w:rFonts w:cs="Times New Roman"/>
                <w:color w:val="757171"/>
                <w:sz w:val="12"/>
                <w:szCs w:val="12"/>
              </w:rPr>
              <w:t>1</w:t>
            </w:r>
          </w:p>
        </w:tc>
        <w:tc>
          <w:tcPr>
            <w:tcW w:w="356" w:type="dxa"/>
            <w:tcBorders>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757171"/>
                <w:sz w:val="12"/>
                <w:szCs w:val="12"/>
              </w:rPr>
            </w:pPr>
            <w:r>
              <w:rPr>
                <w:rFonts w:cs="Times New Roman"/>
                <w:color w:val="757171"/>
                <w:sz w:val="12"/>
                <w:szCs w:val="12"/>
              </w:rPr>
              <w:t>2</w:t>
            </w:r>
          </w:p>
        </w:tc>
        <w:tc>
          <w:tcPr>
            <w:tcW w:w="452" w:type="dxa"/>
            <w:tcBorders>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cs="Times New Roman"/>
                <w:color w:val="757171"/>
                <w:sz w:val="12"/>
                <w:szCs w:val="12"/>
              </w:rPr>
            </w:pPr>
            <w:r>
              <w:rPr>
                <w:rFonts w:cs="Times New Roman"/>
                <w:color w:val="757171"/>
                <w:sz w:val="12"/>
                <w:szCs w:val="12"/>
              </w:rPr>
              <w:t>3</w:t>
            </w:r>
          </w:p>
        </w:tc>
      </w:tr>
      <w:tr>
        <w:trPr>
          <w:trHeight w:val="135" w:hRule="atLeast"/>
        </w:trPr>
        <w:tc>
          <w:tcPr>
            <w:tcW w:w="4534" w:type="dxa"/>
            <w:gridSpan w:val="8"/>
            <w:tcBorders>
              <w:top w:val="single" w:sz="4" w:space="0" w:color="000000"/>
              <w:left w:val="single" w:sz="8" w:space="0" w:color="000000"/>
              <w:bottom w:val="single" w:sz="4" w:space="0" w:color="000000"/>
              <w:right w:val="single" w:sz="8" w:space="0" w:color="000000"/>
            </w:tcBorders>
            <w:shd w:color="auto" w:fill="1F4E79" w:themeFill="accent5" w:themeFillShade="80"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FFFF"/>
                <w:sz w:val="12"/>
                <w:szCs w:val="12"/>
              </w:rPr>
            </w:pPr>
            <w:r>
              <w:rPr>
                <w:rFonts w:cs="Times New Roman"/>
                <w:b/>
                <w:bCs/>
                <w:color w:val="FFFFFF" w:themeColor="background1"/>
                <w:sz w:val="12"/>
                <w:szCs w:val="12"/>
              </w:rPr>
              <w:t>Diciembre</w:t>
            </w:r>
          </w:p>
        </w:tc>
      </w:tr>
      <w:tr>
        <w:trPr>
          <w:trHeight w:val="135" w:hRule="atLeast"/>
        </w:trPr>
        <w:tc>
          <w:tcPr>
            <w:tcW w:w="14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Actividades\Días</w:t>
            </w:r>
          </w:p>
        </w:tc>
        <w:tc>
          <w:tcPr>
            <w:tcW w:w="4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C00000"/>
                <w:sz w:val="12"/>
                <w:szCs w:val="12"/>
              </w:rPr>
            </w:pPr>
            <w:r>
              <w:rPr>
                <w:rFonts w:cs="Times New Roman"/>
                <w:b/>
                <w:bCs/>
                <w:color w:val="C00000"/>
                <w:sz w:val="12"/>
                <w:szCs w:val="12"/>
              </w:rPr>
              <w:t>D</w:t>
            </w:r>
          </w:p>
        </w:tc>
        <w:tc>
          <w:tcPr>
            <w:tcW w:w="5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t>L</w:t>
            </w:r>
          </w:p>
        </w:tc>
        <w:tc>
          <w:tcPr>
            <w:tcW w:w="5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t>M</w:t>
            </w:r>
          </w:p>
        </w:tc>
        <w:tc>
          <w:tcPr>
            <w:tcW w:w="5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t>M</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t>J</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t>V</w:t>
            </w:r>
          </w:p>
        </w:tc>
        <w:tc>
          <w:tcPr>
            <w:tcW w:w="4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t>S</w:t>
            </w:r>
          </w:p>
        </w:tc>
      </w:tr>
      <w:tr>
        <w:trPr>
          <w:trHeight w:val="135" w:hRule="atLeast"/>
        </w:trPr>
        <w:tc>
          <w:tcPr>
            <w:tcW w:w="1433"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b/>
                <w:b/>
                <w:bCs/>
                <w:sz w:val="12"/>
                <w:szCs w:val="12"/>
              </w:rPr>
            </w:pPr>
            <w:r>
              <w:rPr>
                <w:rFonts w:cs="Times New Roman"/>
                <w:b/>
                <w:bCs/>
                <w:sz w:val="12"/>
                <w:szCs w:val="12"/>
              </w:rPr>
              <w:t>Análisis de datos</w:t>
            </w:r>
          </w:p>
        </w:tc>
        <w:tc>
          <w:tcPr>
            <w:tcW w:w="4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F4B083"/>
                <w:sz w:val="12"/>
                <w:szCs w:val="12"/>
              </w:rPr>
            </w:pPr>
            <w:r>
              <w:rPr>
                <w:rFonts w:cs="Times New Roman"/>
                <w:color w:val="F4B083" w:themeColor="accent2" w:themeTint="99"/>
                <w:sz w:val="12"/>
                <w:szCs w:val="12"/>
              </w:rPr>
              <w:t>27</w:t>
            </w:r>
          </w:p>
        </w:tc>
        <w:tc>
          <w:tcPr>
            <w:tcW w:w="5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EAAAA"/>
                <w:sz w:val="12"/>
                <w:szCs w:val="12"/>
              </w:rPr>
            </w:pPr>
            <w:r>
              <w:rPr>
                <w:rFonts w:cs="Times New Roman"/>
                <w:color w:val="AEAAAA" w:themeColor="background2" w:themeShade="bf"/>
                <w:sz w:val="12"/>
                <w:szCs w:val="12"/>
              </w:rPr>
              <w:t>28</w:t>
            </w:r>
          </w:p>
        </w:tc>
        <w:tc>
          <w:tcPr>
            <w:tcW w:w="5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EAAAA"/>
                <w:sz w:val="12"/>
                <w:szCs w:val="12"/>
              </w:rPr>
            </w:pPr>
            <w:r>
              <w:rPr>
                <w:rFonts w:cs="Times New Roman"/>
                <w:color w:val="AEAAAA" w:themeColor="background2" w:themeShade="bf"/>
                <w:sz w:val="12"/>
                <w:szCs w:val="12"/>
              </w:rPr>
              <w:t>29</w:t>
            </w:r>
          </w:p>
        </w:tc>
        <w:tc>
          <w:tcPr>
            <w:tcW w:w="5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EAAAA"/>
                <w:sz w:val="12"/>
                <w:szCs w:val="12"/>
              </w:rPr>
            </w:pPr>
            <w:r>
              <w:rPr>
                <w:rFonts w:cs="Times New Roman"/>
                <w:color w:val="AEAAAA" w:themeColor="background2" w:themeShade="bf"/>
                <w:sz w:val="12"/>
                <w:szCs w:val="12"/>
              </w:rPr>
              <w:t>30</w:t>
            </w:r>
          </w:p>
        </w:tc>
        <w:tc>
          <w:tcPr>
            <w:tcW w:w="356"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w:t>
            </w:r>
          </w:p>
        </w:tc>
        <w:tc>
          <w:tcPr>
            <w:tcW w:w="356"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w:t>
            </w:r>
          </w:p>
        </w:tc>
        <w:tc>
          <w:tcPr>
            <w:tcW w:w="4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3</w:t>
            </w:r>
          </w:p>
        </w:tc>
      </w:tr>
      <w:tr>
        <w:trPr>
          <w:trHeight w:val="135" w:hRule="atLeast"/>
        </w:trPr>
        <w:tc>
          <w:tcPr>
            <w:tcW w:w="1433" w:type="dxa"/>
            <w:tcBorders>
              <w:top w:val="single" w:sz="4" w:space="0" w:color="000000"/>
              <w:left w:val="single" w:sz="4" w:space="0" w:color="000000"/>
              <w:bottom w:val="single" w:sz="4" w:space="0" w:color="000000"/>
              <w:right w:val="single" w:sz="4" w:space="0" w:color="000000"/>
            </w:tcBorders>
            <w:shd w:color="auto" w:fill="7030A0" w:val="clear"/>
            <w:vAlign w:val="center"/>
          </w:tcPr>
          <w:p>
            <w:pPr>
              <w:pStyle w:val="Normal"/>
              <w:widowControl w:val="false"/>
              <w:spacing w:lineRule="auto" w:line="240" w:before="0" w:after="0"/>
              <w:ind w:left="0" w:right="0" w:hanging="0"/>
              <w:jc w:val="center"/>
              <w:rPr>
                <w:rFonts w:ascii="Times New Roman" w:hAnsi="Times New Roman" w:cs="Times New Roman"/>
                <w:b/>
                <w:b/>
                <w:bCs/>
                <w:color w:val="FFFFFF"/>
                <w:sz w:val="12"/>
                <w:szCs w:val="12"/>
              </w:rPr>
            </w:pPr>
            <w:r>
              <w:rPr>
                <w:rFonts w:cs="Times New Roman"/>
                <w:b/>
                <w:bCs/>
                <w:color w:val="FFFFFF" w:themeColor="background1"/>
                <w:sz w:val="12"/>
                <w:szCs w:val="12"/>
              </w:rPr>
              <w:t>Consulta en biblioteca municipal Tepexi</w:t>
            </w:r>
          </w:p>
        </w:tc>
        <w:tc>
          <w:tcPr>
            <w:tcW w:w="429"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C00000"/>
                <w:sz w:val="12"/>
                <w:szCs w:val="12"/>
              </w:rPr>
            </w:pPr>
            <w:r>
              <w:rPr>
                <w:rFonts w:cs="Times New Roman"/>
                <w:color w:val="C00000"/>
                <w:sz w:val="12"/>
                <w:szCs w:val="12"/>
              </w:rPr>
              <w:t>4</w:t>
            </w:r>
          </w:p>
        </w:tc>
        <w:tc>
          <w:tcPr>
            <w:tcW w:w="503"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5</w:t>
            </w:r>
          </w:p>
        </w:tc>
        <w:tc>
          <w:tcPr>
            <w:tcW w:w="501" w:type="dxa"/>
            <w:tcBorders>
              <w:top w:val="single" w:sz="4" w:space="0" w:color="000000"/>
              <w:left w:val="single" w:sz="4" w:space="0" w:color="000000"/>
              <w:bottom w:val="single" w:sz="4" w:space="0" w:color="000000"/>
              <w:right w:val="single" w:sz="4" w:space="0" w:color="000000"/>
            </w:tcBorders>
            <w:shd w:color="auto" w:fill="7030A0"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6</w:t>
            </w:r>
          </w:p>
        </w:tc>
        <w:tc>
          <w:tcPr>
            <w:tcW w:w="504"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7</w:t>
            </w:r>
          </w:p>
        </w:tc>
        <w:tc>
          <w:tcPr>
            <w:tcW w:w="356" w:type="dxa"/>
            <w:tcBorders>
              <w:top w:val="single" w:sz="4" w:space="0" w:color="000000"/>
              <w:left w:val="single" w:sz="4" w:space="0" w:color="000000"/>
              <w:bottom w:val="single" w:sz="4" w:space="0" w:color="000000"/>
              <w:right w:val="single" w:sz="4" w:space="0" w:color="000000"/>
            </w:tcBorders>
            <w:shd w:color="auto" w:fill="538135" w:themeFill="accent6" w:themeFillShade="bf"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8</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9</w:t>
            </w:r>
          </w:p>
        </w:tc>
        <w:tc>
          <w:tcPr>
            <w:tcW w:w="4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10</w:t>
            </w:r>
          </w:p>
        </w:tc>
      </w:tr>
      <w:tr>
        <w:trPr>
          <w:trHeight w:val="135" w:hRule="atLeast"/>
        </w:trPr>
        <w:tc>
          <w:tcPr>
            <w:tcW w:w="14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r>
          </w:p>
        </w:tc>
        <w:tc>
          <w:tcPr>
            <w:tcW w:w="4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C00000"/>
                <w:sz w:val="12"/>
                <w:szCs w:val="12"/>
              </w:rPr>
            </w:pPr>
            <w:r>
              <w:rPr>
                <w:rFonts w:cs="Times New Roman"/>
                <w:color w:val="C00000"/>
                <w:sz w:val="12"/>
                <w:szCs w:val="12"/>
              </w:rPr>
              <w:t>11</w:t>
            </w:r>
          </w:p>
        </w:tc>
        <w:tc>
          <w:tcPr>
            <w:tcW w:w="5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12</w:t>
            </w:r>
          </w:p>
        </w:tc>
        <w:tc>
          <w:tcPr>
            <w:tcW w:w="5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13</w:t>
            </w:r>
          </w:p>
        </w:tc>
        <w:tc>
          <w:tcPr>
            <w:tcW w:w="5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14</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15</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16</w:t>
            </w:r>
          </w:p>
        </w:tc>
        <w:tc>
          <w:tcPr>
            <w:tcW w:w="4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17</w:t>
            </w:r>
          </w:p>
        </w:tc>
      </w:tr>
      <w:tr>
        <w:trPr>
          <w:trHeight w:val="135" w:hRule="atLeast"/>
        </w:trPr>
        <w:tc>
          <w:tcPr>
            <w:tcW w:w="14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r>
          </w:p>
        </w:tc>
        <w:tc>
          <w:tcPr>
            <w:tcW w:w="4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C00000"/>
                <w:sz w:val="12"/>
                <w:szCs w:val="12"/>
              </w:rPr>
            </w:pPr>
            <w:r>
              <w:rPr>
                <w:rFonts w:cs="Times New Roman"/>
                <w:color w:val="C00000"/>
                <w:sz w:val="12"/>
                <w:szCs w:val="12"/>
              </w:rPr>
              <w:t>18</w:t>
            </w:r>
          </w:p>
        </w:tc>
        <w:tc>
          <w:tcPr>
            <w:tcW w:w="5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19</w:t>
            </w:r>
          </w:p>
        </w:tc>
        <w:tc>
          <w:tcPr>
            <w:tcW w:w="5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20</w:t>
            </w:r>
          </w:p>
        </w:tc>
        <w:tc>
          <w:tcPr>
            <w:tcW w:w="5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21</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22</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23</w:t>
            </w:r>
          </w:p>
        </w:tc>
        <w:tc>
          <w:tcPr>
            <w:tcW w:w="4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24</w:t>
            </w:r>
          </w:p>
        </w:tc>
      </w:tr>
      <w:tr>
        <w:trPr>
          <w:trHeight w:val="135" w:hRule="atLeast"/>
        </w:trPr>
        <w:tc>
          <w:tcPr>
            <w:tcW w:w="14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b/>
                <w:b/>
                <w:bCs/>
                <w:color w:val="auto"/>
                <w:sz w:val="12"/>
                <w:szCs w:val="12"/>
              </w:rPr>
            </w:pPr>
            <w:r>
              <w:rPr>
                <w:rFonts w:cs="Times New Roman"/>
                <w:b/>
                <w:bCs/>
                <w:color w:val="auto"/>
                <w:sz w:val="12"/>
                <w:szCs w:val="12"/>
              </w:rPr>
            </w:r>
          </w:p>
        </w:tc>
        <w:tc>
          <w:tcPr>
            <w:tcW w:w="42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C00000"/>
                <w:sz w:val="12"/>
                <w:szCs w:val="12"/>
              </w:rPr>
            </w:pPr>
            <w:r>
              <w:rPr>
                <w:rFonts w:cs="Times New Roman"/>
                <w:color w:val="C00000"/>
                <w:sz w:val="12"/>
                <w:szCs w:val="12"/>
              </w:rPr>
              <w:t>25</w:t>
            </w:r>
          </w:p>
        </w:tc>
        <w:tc>
          <w:tcPr>
            <w:tcW w:w="5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26</w:t>
            </w:r>
          </w:p>
        </w:tc>
        <w:tc>
          <w:tcPr>
            <w:tcW w:w="5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27</w:t>
            </w:r>
          </w:p>
        </w:tc>
        <w:tc>
          <w:tcPr>
            <w:tcW w:w="5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28</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29</w:t>
            </w:r>
          </w:p>
        </w:tc>
        <w:tc>
          <w:tcPr>
            <w:tcW w:w="35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30</w:t>
            </w:r>
          </w:p>
        </w:tc>
        <w:tc>
          <w:tcPr>
            <w:tcW w:w="4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keepNext w:val="true"/>
              <w:widowControl w:val="false"/>
              <w:spacing w:lineRule="auto" w:line="240" w:before="0" w:after="0"/>
              <w:ind w:left="0" w:right="0" w:hanging="0"/>
              <w:jc w:val="center"/>
              <w:rPr>
                <w:rFonts w:ascii="Times New Roman" w:hAnsi="Times New Roman" w:cs="Times New Roman"/>
                <w:color w:val="auto"/>
                <w:sz w:val="12"/>
                <w:szCs w:val="12"/>
              </w:rPr>
            </w:pPr>
            <w:r>
              <w:rPr>
                <w:rFonts w:cs="Times New Roman"/>
                <w:color w:val="auto"/>
                <w:sz w:val="12"/>
                <w:szCs w:val="12"/>
              </w:rPr>
              <w:t>31</w:t>
            </w:r>
          </w:p>
        </w:tc>
      </w:tr>
    </w:tbl>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Los días en que se realizó la extracción de muestras fueron planeados con anticipación y programados de tal manera que no interfiriera con el plan académico de los estudiantes, además de ser los días en que los mercados están a su máxima capacidad lo que beneficia la investigación y recolección de datos más exactos.</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B. </w:t>
      </w:r>
      <w:r>
        <w:rPr>
          <w:rFonts w:cs="Times New Roman"/>
          <w:i/>
          <w:iCs/>
          <w:sz w:val="20"/>
          <w:szCs w:val="20"/>
        </w:rPr>
        <w:t>Fundamento teórico</w:t>
      </w:r>
    </w:p>
    <w:p>
      <w:pPr>
        <w:pStyle w:val="Normal"/>
        <w:spacing w:lineRule="auto" w:line="240" w:before="0" w:after="0"/>
        <w:ind w:left="0" w:right="0" w:hanging="0"/>
        <w:rPr>
          <w:i w:val="false"/>
          <w:i w:val="false"/>
          <w:iCs w:val="false"/>
        </w:rPr>
      </w:pPr>
      <w:r>
        <w:rPr>
          <w:rFonts w:cs="Times New Roman"/>
          <w:i w:val="false"/>
          <w:iCs w:val="false"/>
          <w:sz w:val="20"/>
          <w:szCs w:val="20"/>
        </w:rPr>
        <w:t>Traspatio</w:t>
      </w:r>
    </w:p>
    <w:p>
      <w:pPr>
        <w:pStyle w:val="Normal"/>
        <w:spacing w:lineRule="auto" w:line="240" w:before="0" w:after="0"/>
        <w:ind w:left="0" w:right="0" w:hanging="0"/>
        <w:rPr>
          <w:rFonts w:ascii="Times New Roman" w:hAnsi="Times New Roman"/>
          <w:sz w:val="20"/>
          <w:szCs w:val="20"/>
        </w:rPr>
      </w:pPr>
      <w:r>
        <w:rPr>
          <w:rFonts w:cs="Times New Roman"/>
          <w:sz w:val="20"/>
          <w:szCs w:val="20"/>
        </w:rPr>
        <w:t>El traspatio conocido como aquel espacio productivo y diverso con que cuentan algunas familias de zonas rurales y áreas periurbanas, es de gran importancia para la seguridad alimentaria, la organización y economía familiar de quienes trabajan en él (López P. E, 2012) .</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En este espacio convergen tanto actividades agrícolas como pecuarias con la finalidad de proveer alimentos básicos tales como: carne, huevo, verduras, miel, entre otros a las familias principalmente de tipo rural e indígena. En México se conoce muy poco de la avicultura de traspatio, porque su importancia relativa en los indicadores productivos es difícil de cuantificar y solamente está caracterizada como una actividad de apoyo en la economía familiar, que ocupa la fuerza de trabajo de las amas de casa y los niños (Hernández Pérez J. O., 2003).</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El Ruido</w:t>
      </w:r>
    </w:p>
    <w:p>
      <w:pPr>
        <w:pStyle w:val="Normal"/>
        <w:spacing w:lineRule="auto" w:line="240" w:before="0" w:after="0"/>
        <w:ind w:left="0" w:right="0" w:hanging="0"/>
        <w:rPr>
          <w:rFonts w:ascii="Times New Roman" w:hAnsi="Times New Roman"/>
          <w:sz w:val="20"/>
          <w:szCs w:val="20"/>
        </w:rPr>
      </w:pPr>
      <w:r>
        <w:rPr>
          <w:rFonts w:cs="Times New Roman"/>
          <w:sz w:val="20"/>
          <w:szCs w:val="20"/>
        </w:rPr>
        <w:t>Berglund, Lindvall y Schwella (1999) señalan que no existe distinción entre sonido y ruido. El sonido es una sensación sensorial, mientras que el complejo patrón de ondas sonoras se denomina ruido, música, habla, etc. El ruido es considerado como un sonido no articulado, que en función de su intensidad y frecuencia puede causar molestias y en algunos casos afectaciones a la salud.</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El ruido se define como una combinación desordenada de sonidos que produce una sensación desagradable que puede ser dañina fisiológicamente para el oído del ser humano (Quimbiulco, 2008).</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Sin embargo, el ruido es el conjunto de sonidos fuertes y que provocan una sensación de incomodidad e irritación en los oídos, a su vez se puede definir como cualquier sonido molesto o no deseado que es provocado por las distintas actividades de las personas y que pueden provocar posibles enfermedades a la población, por último, se considera que el ruido es aquel sonido que viaja mediante ondas sonoras de muy alta elevación causando una molestia leve o de muy alto impacto hacia el oído humano.</w:t>
      </w:r>
    </w:p>
    <w:p>
      <w:pPr>
        <w:pStyle w:val="Normal"/>
        <w:spacing w:lineRule="auto" w:line="240" w:before="0" w:after="0"/>
        <w:ind w:left="0" w:right="0" w:hanging="0"/>
        <w:rPr>
          <w:rFonts w:ascii="Times New Roman" w:hAnsi="Times New Roman" w:cs="Times New Roman"/>
          <w:i/>
          <w:i/>
          <w:iCs/>
          <w:sz w:val="20"/>
          <w:szCs w:val="20"/>
        </w:rPr>
      </w:pPr>
      <w:r>
        <w:rPr>
          <w:rFonts w:cs="Times New Roman"/>
          <w:i/>
          <w:iCs/>
          <w:sz w:val="20"/>
          <w:szCs w:val="20"/>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C. </w:t>
      </w:r>
      <w:r>
        <w:rPr>
          <w:rFonts w:cs="Times New Roman"/>
          <w:i/>
          <w:iCs/>
          <w:sz w:val="20"/>
          <w:szCs w:val="20"/>
        </w:rPr>
        <w:t>Recomendaciones ante el ruido</w:t>
      </w:r>
    </w:p>
    <w:p>
      <w:pPr>
        <w:pStyle w:val="Normal"/>
        <w:spacing w:lineRule="auto" w:line="240" w:before="0" w:after="0"/>
        <w:ind w:left="0" w:right="0" w:hanging="0"/>
        <w:rPr>
          <w:rFonts w:ascii="Times New Roman" w:hAnsi="Times New Roman"/>
          <w:sz w:val="20"/>
          <w:szCs w:val="20"/>
        </w:rPr>
      </w:pPr>
      <w:r>
        <w:rPr>
          <w:rFonts w:cs="Times New Roman"/>
          <w:sz w:val="20"/>
          <w:szCs w:val="20"/>
        </w:rPr>
        <w:t xml:space="preserve">Hay </w:t>
      </w:r>
      <w:r>
        <w:rPr>
          <w:rFonts w:cs="Times New Roman"/>
          <w:sz w:val="20"/>
          <w:szCs w:val="20"/>
        </w:rPr>
        <w:t>t</w:t>
      </w:r>
      <w:r>
        <w:rPr>
          <w:rFonts w:cs="Times New Roman"/>
          <w:sz w:val="20"/>
          <w:szCs w:val="20"/>
        </w:rPr>
        <w:t>res tipos de medidas que se pueden poner en práctica para reducir al máximo los peligros que supone el ruido a los que están expuestos los trabajadores en el lugar de trabajo:</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ListParagraph"/>
        <w:numPr>
          <w:ilvl w:val="0"/>
          <w:numId w:val="0"/>
        </w:numPr>
        <w:spacing w:lineRule="auto" w:line="240" w:before="0" w:after="0"/>
        <w:ind w:left="720" w:right="0" w:hanging="0"/>
        <w:contextualSpacing/>
        <w:rPr>
          <w:rFonts w:ascii="Times New Roman" w:hAnsi="Times New Roman"/>
          <w:sz w:val="20"/>
          <w:szCs w:val="20"/>
        </w:rPr>
      </w:pPr>
      <w:r>
        <w:rPr>
          <w:rFonts w:cs="Times New Roman"/>
          <w:sz w:val="20"/>
          <w:szCs w:val="20"/>
        </w:rPr>
        <w:t xml:space="preserve">(a) </w:t>
      </w:r>
      <w:r>
        <w:rPr>
          <w:rFonts w:cs="Times New Roman"/>
          <w:sz w:val="20"/>
          <w:szCs w:val="20"/>
        </w:rPr>
        <w:t>La reducción del ruido donde se origina</w:t>
      </w:r>
    </w:p>
    <w:p>
      <w:pPr>
        <w:pStyle w:val="ListParagraph"/>
        <w:numPr>
          <w:ilvl w:val="0"/>
          <w:numId w:val="0"/>
        </w:numPr>
        <w:spacing w:lineRule="auto" w:line="240" w:before="0" w:after="0"/>
        <w:ind w:left="720" w:right="0" w:hanging="0"/>
        <w:contextualSpacing/>
        <w:rPr>
          <w:rFonts w:ascii="Times New Roman" w:hAnsi="Times New Roman"/>
          <w:sz w:val="20"/>
          <w:szCs w:val="20"/>
        </w:rPr>
      </w:pPr>
      <w:r>
        <w:rPr>
          <w:rFonts w:cs="Times New Roman"/>
          <w:sz w:val="20"/>
          <w:szCs w:val="20"/>
        </w:rPr>
        <w:t xml:space="preserve">(b) </w:t>
      </w:r>
      <w:r>
        <w:rPr>
          <w:rFonts w:cs="Times New Roman"/>
          <w:sz w:val="20"/>
          <w:szCs w:val="20"/>
        </w:rPr>
        <w:t>El uso de protectores individuales contra el ruido</w:t>
      </w:r>
    </w:p>
    <w:p>
      <w:pPr>
        <w:pStyle w:val="ListParagraph"/>
        <w:spacing w:lineRule="auto" w:line="240" w:before="0" w:after="0"/>
        <w:ind w:left="0" w:right="0" w:hanging="0"/>
        <w:contextualSpacing/>
        <w:rPr>
          <w:rFonts w:ascii="Times New Roman" w:hAnsi="Times New Roman"/>
          <w:sz w:val="20"/>
          <w:szCs w:val="20"/>
        </w:rPr>
      </w:pPr>
      <w:r>
        <w:rPr>
          <w:rFonts w:cs="Times New Roman"/>
          <w:sz w:val="20"/>
          <w:szCs w:val="20"/>
        </w:rPr>
        <w:t>Ya se trate de cascos, tapones desechables o tapones moldeados para los oídos, proporcionar protectores individuales contra el ruido a sus empleados es primordial para preservar la audición de estos.</w:t>
      </w:r>
    </w:p>
    <w:p>
      <w:pPr>
        <w:pStyle w:val="ListParagraph"/>
        <w:numPr>
          <w:ilvl w:val="0"/>
          <w:numId w:val="0"/>
        </w:numPr>
        <w:spacing w:lineRule="auto" w:line="240" w:before="0" w:after="0"/>
        <w:ind w:left="720" w:right="0" w:hanging="0"/>
        <w:contextualSpacing/>
        <w:rPr>
          <w:rFonts w:ascii="Times New Roman" w:hAnsi="Times New Roman"/>
          <w:sz w:val="20"/>
          <w:szCs w:val="20"/>
        </w:rPr>
      </w:pPr>
      <w:r>
        <w:rPr>
          <w:rFonts w:cs="Times New Roman"/>
          <w:sz w:val="20"/>
          <w:szCs w:val="20"/>
        </w:rPr>
        <w:t xml:space="preserve">(c) </w:t>
      </w:r>
      <w:r>
        <w:rPr>
          <w:rFonts w:cs="Times New Roman"/>
          <w:sz w:val="20"/>
          <w:szCs w:val="20"/>
        </w:rPr>
        <w:t>La concienciación de los empleados</w:t>
      </w:r>
    </w:p>
    <w:p>
      <w:pPr>
        <w:pStyle w:val="ListParagraph"/>
        <w:spacing w:lineRule="auto" w:line="240" w:before="0" w:after="0"/>
        <w:ind w:left="0" w:right="0" w:hanging="0"/>
        <w:contextualSpacing/>
        <w:rPr>
          <w:rFonts w:ascii="Times New Roman" w:hAnsi="Times New Roman"/>
          <w:sz w:val="20"/>
          <w:szCs w:val="20"/>
        </w:rPr>
      </w:pPr>
      <w:r>
        <w:rPr>
          <w:rFonts w:cs="Times New Roman"/>
          <w:sz w:val="20"/>
          <w:szCs w:val="20"/>
        </w:rPr>
        <w:t>es primordial concienciar a sus empleados sobre la importancia de proteger su audición el 100 % del tiempo de exposición al ruido. De esta manera, podrá combatir ciertas ideas preconcebidas que hacen que los protectores auditivos no se usen (Álvarez, 2018).</w:t>
      </w:r>
    </w:p>
    <w:p>
      <w:pPr>
        <w:pStyle w:val="ListParagraph"/>
        <w:spacing w:lineRule="auto" w:line="240" w:before="0" w:after="0"/>
        <w:ind w:left="0" w:right="0" w:hanging="0"/>
        <w:contextualSpacing/>
        <w:rPr>
          <w:rFonts w:ascii="Times New Roman" w:hAnsi="Times New Roman"/>
          <w:sz w:val="20"/>
          <w:szCs w:val="20"/>
        </w:rPr>
      </w:pPr>
      <w:r>
        <w:rPr>
          <w:rFonts w:cs="Times New Roman"/>
          <w:sz w:val="20"/>
          <w:szCs w:val="20"/>
        </w:rPr>
        <w:t xml:space="preserve">(d) </w:t>
      </w:r>
      <w:r>
        <w:rPr>
          <w:rFonts w:cs="Times New Roman"/>
          <w:sz w:val="20"/>
          <w:szCs w:val="20"/>
        </w:rPr>
        <w:t>La puesta en marcha de una cultura de seguridad</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D. </w:t>
      </w:r>
      <w:r>
        <w:rPr>
          <w:rFonts w:cs="Times New Roman"/>
          <w:i/>
          <w:iCs/>
          <w:sz w:val="20"/>
          <w:szCs w:val="20"/>
        </w:rPr>
        <w:t>Hipótesis estadísticas</w:t>
      </w:r>
    </w:p>
    <w:p>
      <w:pPr>
        <w:pStyle w:val="ListParagraph"/>
        <w:numPr>
          <w:ilvl w:val="0"/>
          <w:numId w:val="1"/>
        </w:numPr>
        <w:spacing w:lineRule="auto" w:line="240" w:before="0" w:after="0"/>
        <w:ind w:left="0" w:right="0" w:hanging="0"/>
        <w:contextualSpacing/>
        <w:rPr>
          <w:rFonts w:ascii="Times New Roman" w:hAnsi="Times New Roman"/>
          <w:sz w:val="20"/>
          <w:szCs w:val="20"/>
        </w:rPr>
      </w:pPr>
      <w:r>
        <w:rPr>
          <w:rFonts w:cs="Times New Roman"/>
          <w:sz w:val="20"/>
          <w:szCs w:val="20"/>
        </w:rPr>
        <w:t>H</w:t>
      </w:r>
      <w:r>
        <w:rPr>
          <w:rFonts w:cs="Times New Roman"/>
          <w:sz w:val="20"/>
          <w:szCs w:val="20"/>
          <w:vertAlign w:val="subscript"/>
        </w:rPr>
        <w:t xml:space="preserve">0 </w:t>
      </w:r>
      <w:r>
        <w:rPr>
          <w:rFonts w:cs="Times New Roman"/>
          <w:sz w:val="20"/>
          <w:szCs w:val="20"/>
        </w:rPr>
        <w:t>→ El nivel de ruido que se presenta en los distintos centros de comercio (plaza Moralillo, plaza Molcaxac, mercado municipal de Tepexi de Rodríguez y mercado municipal de San Juan Ixcaquixtla) en general si exceden los 85 decibelios recomendados por la NOM 011 de la STPS.</w:t>
      </w:r>
    </w:p>
    <w:p>
      <w:pPr>
        <w:pStyle w:val="ListParagraph"/>
        <w:spacing w:lineRule="auto" w:line="240" w:before="0" w:after="0"/>
        <w:ind w:left="0" w:right="0" w:hanging="0"/>
        <w:contextualSpacing/>
        <w:rPr>
          <w:rFonts w:ascii="Times New Roman" w:hAnsi="Times New Roman" w:cs="Times New Roman"/>
          <w:sz w:val="20"/>
          <w:szCs w:val="20"/>
        </w:rPr>
      </w:pPr>
      <w:r>
        <w:rPr>
          <w:rFonts w:cs="Times New Roman"/>
          <w:sz w:val="20"/>
          <w:szCs w:val="20"/>
        </w:rPr>
      </w:r>
    </w:p>
    <w:p>
      <w:pPr>
        <w:pStyle w:val="ListParagraph"/>
        <w:numPr>
          <w:ilvl w:val="0"/>
          <w:numId w:val="1"/>
        </w:numPr>
        <w:spacing w:lineRule="auto" w:line="240" w:before="0" w:after="0"/>
        <w:ind w:left="0" w:right="0" w:hanging="0"/>
        <w:contextualSpacing/>
        <w:rPr>
          <w:rFonts w:ascii="Times New Roman" w:hAnsi="Times New Roman"/>
          <w:sz w:val="20"/>
          <w:szCs w:val="20"/>
        </w:rPr>
      </w:pPr>
      <w:r>
        <w:rPr>
          <w:rFonts w:cs="Times New Roman"/>
          <w:sz w:val="20"/>
          <w:szCs w:val="20"/>
        </w:rPr>
        <w:t>H</w:t>
      </w:r>
      <w:r>
        <w:rPr>
          <w:rFonts w:cs="Times New Roman"/>
          <w:sz w:val="20"/>
          <w:szCs w:val="20"/>
          <w:vertAlign w:val="subscript"/>
        </w:rPr>
        <w:t>1</w:t>
      </w:r>
      <w:r>
        <w:rPr>
          <w:rFonts w:cs="Times New Roman"/>
          <w:sz w:val="20"/>
          <w:szCs w:val="20"/>
        </w:rPr>
        <w:t xml:space="preserve"> → El nivel de ruido que se presenta en los distintos centros de comercio (plaza Moralillo, plaza Molcaxac, mercado municipal de Tepexi de Rodríguez y mercado municipal de San Juan Ixcaquixtla) en general no exceden los 85 decibelios recomendados por la NOM 011 de la STPS.</w:t>
      </w:r>
    </w:p>
    <w:p>
      <w:pPr>
        <w:pStyle w:val="Normal"/>
        <w:spacing w:lineRule="auto" w:line="240" w:before="0" w:after="0"/>
        <w:ind w:left="0" w:right="0" w:hanging="0"/>
        <w:rPr>
          <w:rFonts w:ascii="Times New Roman" w:hAnsi="Times New Roman"/>
          <w:b/>
          <w:b/>
          <w:bCs/>
          <w:sz w:val="20"/>
          <w:szCs w:val="20"/>
        </w:rPr>
      </w:pPr>
      <w:r>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III. RESULTADOS</w:t>
      </w:r>
    </w:p>
    <w:p>
      <w:pPr>
        <w:pStyle w:val="Normal"/>
        <w:spacing w:lineRule="auto" w:line="240" w:before="0" w:after="0"/>
        <w:ind w:left="0" w:right="0" w:hanging="0"/>
        <w:rPr>
          <w:rFonts w:ascii="Times New Roman" w:hAnsi="Times New Roman"/>
          <w:sz w:val="20"/>
          <w:szCs w:val="20"/>
        </w:rPr>
      </w:pPr>
      <w:r>
        <w:rPr>
          <w:rFonts w:cs="Times New Roman"/>
          <w:sz w:val="20"/>
          <w:szCs w:val="20"/>
        </w:rPr>
        <w:t>De acuerdo con lo establecido por La Norma oficial mexicana, NOM-011-STPS-2001, Condiciones de seguridad e higiene en los centros de trabajo donde se genere ruido los límites máximos permisibles de exposición son los siguientes:</w:t>
      </w:r>
    </w:p>
    <w:p>
      <w:pPr>
        <w:pStyle w:val="Normal"/>
        <w:spacing w:lineRule="auto" w:line="240" w:before="0" w:after="0"/>
        <w:ind w:left="0" w:right="0" w:hanging="0"/>
        <w:jc w:val="center"/>
        <w:rPr>
          <w:rFonts w:ascii="Times New Roman" w:hAnsi="Times New Roman"/>
          <w:b/>
          <w:b/>
          <w:bCs/>
          <w:sz w:val="20"/>
          <w:szCs w:val="20"/>
        </w:rPr>
      </w:pPr>
      <w:r>
        <w:rPr>
          <w:rFonts w:cs="Times New Roman"/>
          <w:b/>
          <w:bCs/>
          <w:sz w:val="20"/>
          <w:szCs w:val="20"/>
        </w:rPr>
        <w:t xml:space="preserve">Tabla 2. Límites máximos permisibles de exposición. Fuente: Obtenido de La Norma oficial mexicana, NOM-011-STPS-2001. </w:t>
      </w:r>
    </w:p>
    <w:p>
      <w:pPr>
        <w:pStyle w:val="Normal"/>
        <w:spacing w:lineRule="auto" w:line="240" w:before="0" w:after="0"/>
        <w:ind w:left="0" w:right="0" w:hanging="0"/>
        <w:jc w:val="center"/>
        <w:rPr>
          <w:rFonts w:ascii="Times New Roman" w:hAnsi="Times New Roman" w:cs="Times New Roman"/>
          <w:sz w:val="20"/>
          <w:szCs w:val="20"/>
        </w:rPr>
      </w:pPr>
      <w:r>
        <w:rPr>
          <w:rFonts w:cs="Times New Roman"/>
          <w:sz w:val="20"/>
          <w:szCs w:val="20"/>
        </w:rPr>
      </w:r>
    </w:p>
    <w:tbl>
      <w:tblPr>
        <w:tblW w:w="3402"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633"/>
        <w:gridCol w:w="1768"/>
      </w:tblGrid>
      <w:tr>
        <w:trPr>
          <w:trHeight w:val="262" w:hRule="atLeast"/>
        </w:trPr>
        <w:tc>
          <w:tcPr>
            <w:tcW w:w="1633" w:type="dxa"/>
            <w:tcBorders>
              <w:top w:val="single" w:sz="8" w:space="0" w:color="000000"/>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b/>
                <w:bCs/>
                <w:sz w:val="12"/>
                <w:szCs w:val="12"/>
              </w:rPr>
              <w:t>NER</w:t>
            </w:r>
          </w:p>
        </w:tc>
        <w:tc>
          <w:tcPr>
            <w:tcW w:w="1768" w:type="dxa"/>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b/>
                <w:bCs/>
                <w:sz w:val="12"/>
                <w:szCs w:val="12"/>
              </w:rPr>
              <w:t>TMPE</w:t>
            </w:r>
          </w:p>
        </w:tc>
      </w:tr>
      <w:tr>
        <w:trPr>
          <w:trHeight w:val="262" w:hRule="atLeast"/>
        </w:trPr>
        <w:tc>
          <w:tcPr>
            <w:tcW w:w="1633"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90 dB(A)</w:t>
            </w:r>
          </w:p>
        </w:tc>
        <w:tc>
          <w:tcPr>
            <w:tcW w:w="1768" w:type="dxa"/>
            <w:tcBorders>
              <w:bottom w:val="single" w:sz="4"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 HORAS</w:t>
            </w:r>
          </w:p>
        </w:tc>
      </w:tr>
      <w:tr>
        <w:trPr>
          <w:trHeight w:val="262" w:hRule="atLeast"/>
        </w:trPr>
        <w:tc>
          <w:tcPr>
            <w:tcW w:w="1633"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93 dB(A)</w:t>
            </w:r>
          </w:p>
        </w:tc>
        <w:tc>
          <w:tcPr>
            <w:tcW w:w="1768" w:type="dxa"/>
            <w:tcBorders>
              <w:bottom w:val="single" w:sz="4"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4 HORAS</w:t>
            </w:r>
          </w:p>
        </w:tc>
      </w:tr>
      <w:tr>
        <w:trPr>
          <w:trHeight w:val="262" w:hRule="atLeast"/>
        </w:trPr>
        <w:tc>
          <w:tcPr>
            <w:tcW w:w="1633"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96 dB(A)</w:t>
            </w:r>
          </w:p>
        </w:tc>
        <w:tc>
          <w:tcPr>
            <w:tcW w:w="1768" w:type="dxa"/>
            <w:tcBorders>
              <w:bottom w:val="single" w:sz="4"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2 HORAS</w:t>
            </w:r>
          </w:p>
        </w:tc>
      </w:tr>
      <w:tr>
        <w:trPr>
          <w:trHeight w:val="262" w:hRule="atLeast"/>
        </w:trPr>
        <w:tc>
          <w:tcPr>
            <w:tcW w:w="1633"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99 dB(A)</w:t>
            </w:r>
          </w:p>
        </w:tc>
        <w:tc>
          <w:tcPr>
            <w:tcW w:w="1768" w:type="dxa"/>
            <w:tcBorders>
              <w:bottom w:val="single" w:sz="4"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 HORA</w:t>
            </w:r>
          </w:p>
        </w:tc>
      </w:tr>
      <w:tr>
        <w:trPr>
          <w:trHeight w:val="262" w:hRule="atLeast"/>
        </w:trPr>
        <w:tc>
          <w:tcPr>
            <w:tcW w:w="1633" w:type="dxa"/>
            <w:tcBorders>
              <w:left w:val="single" w:sz="8"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102 dB(A)</w:t>
            </w:r>
          </w:p>
        </w:tc>
        <w:tc>
          <w:tcPr>
            <w:tcW w:w="1768" w:type="dxa"/>
            <w:tcBorders>
              <w:bottom w:val="single" w:sz="4"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30 MINUTOS</w:t>
            </w:r>
          </w:p>
        </w:tc>
      </w:tr>
      <w:tr>
        <w:trPr>
          <w:trHeight w:val="51" w:hRule="atLeast"/>
        </w:trPr>
        <w:tc>
          <w:tcPr>
            <w:tcW w:w="1633" w:type="dxa"/>
            <w:tcBorders>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105 dB(A)</w:t>
            </w:r>
          </w:p>
        </w:tc>
        <w:tc>
          <w:tcPr>
            <w:tcW w:w="1768" w:type="dxa"/>
            <w:tcBorders>
              <w:bottom w:val="single" w:sz="8" w:space="0" w:color="000000"/>
              <w:right w:val="single" w:sz="8" w:space="0" w:color="000000"/>
            </w:tcBorders>
            <w:shd w:color="auto" w:fill="auto"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15 MINUTOS</w:t>
            </w:r>
          </w:p>
        </w:tc>
      </w:tr>
    </w:tbl>
    <w:p>
      <w:pPr>
        <w:pStyle w:val="Normal"/>
        <w:spacing w:lineRule="auto" w:line="240" w:before="0" w:after="0"/>
        <w:ind w:left="0" w:right="0" w:hanging="0"/>
        <w:jc w:val="center"/>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Ahora bien, el límite general permitido es de 85 dB (A). Es decir, en toda área de trabajo debe tener la menor cantidad de ruido posible, en caso de que la actividad realizada no se pueda controlar su sonido, la empresa o el encargado de seguridad deberá dar capacitación a los trabajadores sobre el uso y mantenimiento del equipo de protección contra el ruido.</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Se pudo observar en los establecimientos de comercio de la Mixteca Baja a los que se asistió para realizar las muestras por lo regular son sitios concurridos y por tal motivo el ruido que se genera a veces es demasiado alto, pero al no tener techos o paredes el sonido fácilmente se dispersa, al menos en la mayoría de los mercados. Y como tal nuestras muestran varían mucho. Presentaremos los datos recolectados, así como las fechas en que se realizaron dichas muestras.</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Cabe mencionar que la planeación de los horarios y días para realizar la visita al área de estudio puede que influyera en las medidas, ya que cada lugar solo tiene ciertos días en que están constantes las actividades de venta y compra, y otros los cuales solo se colocan semanalmente.</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El día lunes 7 de noviembre se hizo la petición del dispositivo de medición (sonómetro) al encargado de los aparatos de medición del Instituto Tecnológico Superior de Tepexi de Rodríguez (ITSTR), la primera visita fue a:</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A. </w:t>
      </w:r>
      <w:r>
        <w:rPr>
          <w:rFonts w:cs="Times New Roman"/>
          <w:i/>
          <w:iCs/>
          <w:sz w:val="20"/>
          <w:szCs w:val="20"/>
        </w:rPr>
        <w:t>Mercado del Moralillo</w:t>
      </w:r>
    </w:p>
    <w:p>
      <w:pPr>
        <w:pStyle w:val="Normal"/>
        <w:spacing w:lineRule="auto" w:line="240" w:before="0" w:after="0"/>
        <w:ind w:left="0" w:right="0" w:hanging="0"/>
        <w:rPr>
          <w:rFonts w:ascii="Times New Roman" w:hAnsi="Times New Roman"/>
          <w:sz w:val="20"/>
          <w:szCs w:val="20"/>
        </w:rPr>
      </w:pPr>
      <w:r>
        <w:rPr>
          <w:rFonts w:cs="Times New Roman"/>
          <w:sz w:val="20"/>
          <w:szCs w:val="20"/>
        </w:rPr>
        <w:t>El muestreo se llevó a cabo el día 8 de noviembre de 2022, aproximadamente entre las 10 hrs, de la mañana y las 12 hrs, de la tarde. Al llegar al mercado primero se tuvo que dividir e identificar las áreas más concurridas en las que posiblemente el ruido fuese demasiado o tenga mayor presencia.</w:t>
      </w:r>
    </w:p>
    <w:p>
      <w:pPr>
        <w:pStyle w:val="Normal"/>
        <w:spacing w:lineRule="auto" w:line="240" w:before="0" w:after="0"/>
        <w:ind w:left="0" w:right="0" w:hanging="0"/>
        <w:rPr>
          <w:rFonts w:ascii="Times New Roman" w:hAnsi="Times New Roman"/>
          <w:sz w:val="20"/>
          <w:szCs w:val="20"/>
        </w:rPr>
      </w:pPr>
      <w:r>
        <w:rPr>
          <w:rFonts w:cs="Times New Roman"/>
          <w:sz w:val="20"/>
          <w:szCs w:val="20"/>
        </w:rPr>
        <w:t xml:space="preserve">La primera área que decidimos estudiar fue una a la cual denominamos como taquería, en donde se ubicaban puestos de comida muy variados, además de que contaba con música, un grupo norteño que se ganaba la vida yendo de mesa en mesa tocando las melodías que habían practicado, por lo cual el ruido no se hizo esperar. </w:t>
      </w:r>
    </w:p>
    <w:p>
      <w:pPr>
        <w:pStyle w:val="Normal"/>
        <w:spacing w:lineRule="auto" w:line="240" w:before="0" w:after="0"/>
        <w:ind w:left="0" w:right="0" w:hanging="0"/>
        <w:rPr>
          <w:rFonts w:ascii="Times New Roman" w:hAnsi="Times New Roman"/>
          <w:sz w:val="20"/>
          <w:szCs w:val="20"/>
        </w:rPr>
      </w:pPr>
      <w:r>
        <w:rPr>
          <w:rFonts w:cs="Times New Roman"/>
          <w:sz w:val="20"/>
          <w:szCs w:val="20"/>
        </w:rPr>
        <w:t>Las mediciones resultantes de esa área fueron las más altas de todo el mercado del Moralillo las cuales en la mayoría de los casos sobrepasaban los 100 dB.</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Las demás áreas fueron las siguientes;</w:t>
      </w:r>
    </w:p>
    <w:p>
      <w:pPr>
        <w:pStyle w:val="ListParagraph"/>
        <w:numPr>
          <w:ilvl w:val="0"/>
          <w:numId w:val="4"/>
        </w:numPr>
        <w:spacing w:lineRule="auto" w:line="240" w:before="0" w:after="0"/>
        <w:ind w:left="0" w:right="0" w:hanging="0"/>
        <w:contextualSpacing/>
        <w:rPr>
          <w:rFonts w:ascii="Times New Roman" w:hAnsi="Times New Roman"/>
          <w:sz w:val="20"/>
          <w:szCs w:val="20"/>
        </w:rPr>
      </w:pPr>
      <w:r>
        <w:rPr>
          <w:rFonts w:cs="Times New Roman"/>
          <w:sz w:val="20"/>
          <w:szCs w:val="20"/>
        </w:rPr>
        <w:t>Taquería: donde se encuentran la mayoría de puestos alimenticios.</w:t>
      </w:r>
    </w:p>
    <w:p>
      <w:pPr>
        <w:pStyle w:val="ListParagraph"/>
        <w:numPr>
          <w:ilvl w:val="0"/>
          <w:numId w:val="4"/>
        </w:numPr>
        <w:spacing w:lineRule="auto" w:line="240" w:before="0" w:after="0"/>
        <w:ind w:left="0" w:right="0" w:hanging="0"/>
        <w:contextualSpacing/>
        <w:rPr>
          <w:rFonts w:ascii="Times New Roman" w:hAnsi="Times New Roman"/>
          <w:sz w:val="20"/>
          <w:szCs w:val="20"/>
        </w:rPr>
      </w:pPr>
      <w:r>
        <w:rPr>
          <w:rFonts w:cs="Times New Roman"/>
          <w:sz w:val="20"/>
          <w:szCs w:val="20"/>
        </w:rPr>
        <w:t>Temporada: frutas de temporada y otras que no son de temporada.</w:t>
      </w:r>
    </w:p>
    <w:p>
      <w:pPr>
        <w:pStyle w:val="ListParagraph"/>
        <w:numPr>
          <w:ilvl w:val="0"/>
          <w:numId w:val="4"/>
        </w:numPr>
        <w:spacing w:lineRule="auto" w:line="240" w:before="0" w:after="0"/>
        <w:ind w:left="0" w:right="0" w:hanging="0"/>
        <w:contextualSpacing/>
        <w:rPr>
          <w:rFonts w:ascii="Times New Roman" w:hAnsi="Times New Roman"/>
          <w:sz w:val="20"/>
          <w:szCs w:val="20"/>
        </w:rPr>
      </w:pPr>
      <w:r>
        <w:rPr>
          <w:rFonts w:cs="Times New Roman"/>
          <w:sz w:val="20"/>
          <w:szCs w:val="20"/>
        </w:rPr>
        <w:t>Carnicerías: venta de carne y otros derivados de origen animal.</w:t>
      </w:r>
    </w:p>
    <w:p>
      <w:pPr>
        <w:pStyle w:val="ListParagraph"/>
        <w:numPr>
          <w:ilvl w:val="0"/>
          <w:numId w:val="4"/>
        </w:numPr>
        <w:spacing w:lineRule="auto" w:line="240" w:before="0" w:after="0"/>
        <w:ind w:left="0" w:right="0" w:hanging="0"/>
        <w:contextualSpacing/>
        <w:rPr>
          <w:rFonts w:ascii="Times New Roman" w:hAnsi="Times New Roman"/>
          <w:sz w:val="20"/>
          <w:szCs w:val="20"/>
        </w:rPr>
      </w:pPr>
      <w:r>
        <w:rPr>
          <w:rFonts w:cs="Times New Roman"/>
          <w:sz w:val="20"/>
          <w:szCs w:val="20"/>
        </w:rPr>
        <w:t>Verduras: se encuentran chiles secos, verduras y variedad de semillas.</w:t>
      </w:r>
    </w:p>
    <w:p>
      <w:pPr>
        <w:pStyle w:val="ListParagraph"/>
        <w:numPr>
          <w:ilvl w:val="0"/>
          <w:numId w:val="4"/>
        </w:numPr>
        <w:spacing w:lineRule="auto" w:line="240" w:before="0" w:after="0"/>
        <w:ind w:left="0" w:right="0" w:hanging="0"/>
        <w:contextualSpacing/>
        <w:rPr>
          <w:rFonts w:ascii="Times New Roman" w:hAnsi="Times New Roman"/>
          <w:sz w:val="20"/>
          <w:szCs w:val="20"/>
        </w:rPr>
      </w:pPr>
      <w:r>
        <w:rPr>
          <w:rFonts w:cs="Times New Roman"/>
          <w:sz w:val="20"/>
          <w:szCs w:val="20"/>
        </w:rPr>
        <w:t>Compra – venta de animales: intercambio de animales de crianza y engorda.</w:t>
      </w:r>
    </w:p>
    <w:p>
      <w:pPr>
        <w:pStyle w:val="Normal"/>
        <w:spacing w:lineRule="auto" w:line="240" w:before="0" w:after="0"/>
        <w:ind w:left="0" w:right="0" w:hanging="0"/>
        <w:rPr>
          <w:rFonts w:ascii="Times New Roman" w:hAnsi="Times New Roman"/>
          <w:sz w:val="20"/>
          <w:szCs w:val="20"/>
        </w:rPr>
      </w:pPr>
      <w:r>
        <w:rPr>
          <w:rFonts w:cs="Times New Roman"/>
          <w:sz w:val="20"/>
          <w:szCs w:val="20"/>
        </w:rPr>
        <w:t>Estos son las muestras recolectadas de cada área del mercado del Moralillo.</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jc w:val="center"/>
        <w:rPr>
          <w:b/>
          <w:b/>
          <w:bCs/>
        </w:rPr>
      </w:pPr>
      <w:r>
        <w:rPr>
          <w:rFonts w:cs="Times New Roman"/>
          <w:b/>
          <w:bCs/>
          <w:sz w:val="20"/>
          <w:szCs w:val="20"/>
        </w:rPr>
        <w:t>Tabla 3. Muestras de ruido mercado Moralillo. Fuente: Elaboración propia.</w:t>
      </w:r>
    </w:p>
    <w:tbl>
      <w:tblPr>
        <w:tblpPr w:vertAnchor="text" w:horzAnchor="text" w:leftFromText="141" w:rightFromText="141" w:tblpX="234" w:tblpY="126"/>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924"/>
        <w:gridCol w:w="347"/>
        <w:gridCol w:w="269"/>
        <w:gridCol w:w="268"/>
        <w:gridCol w:w="343"/>
        <w:gridCol w:w="342"/>
        <w:gridCol w:w="343"/>
        <w:gridCol w:w="343"/>
        <w:gridCol w:w="342"/>
        <w:gridCol w:w="268"/>
        <w:gridCol w:w="347"/>
        <w:gridCol w:w="398"/>
      </w:tblGrid>
      <w:tr>
        <w:trPr>
          <w:trHeight w:val="240" w:hRule="atLeast"/>
        </w:trPr>
        <w:tc>
          <w:tcPr>
            <w:tcW w:w="924" w:type="dxa"/>
            <w:tcBorders>
              <w:top w:val="single" w:sz="18" w:space="0" w:color="000000"/>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Áreas</w:t>
            </w:r>
          </w:p>
        </w:tc>
        <w:tc>
          <w:tcPr>
            <w:tcW w:w="3212" w:type="dxa"/>
            <w:gridSpan w:val="10"/>
            <w:tcBorders>
              <w:top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Muestras en decibeles (dB)</w:t>
            </w:r>
          </w:p>
        </w:tc>
        <w:tc>
          <w:tcPr>
            <w:tcW w:w="398" w:type="dxa"/>
            <w:tcBorders>
              <w:top w:val="single" w:sz="18"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 xml:space="preserve">Media </w:t>
            </w:r>
          </w:p>
        </w:tc>
      </w:tr>
      <w:tr>
        <w:trPr>
          <w:trHeight w:val="240" w:hRule="atLeast"/>
        </w:trPr>
        <w:tc>
          <w:tcPr>
            <w:tcW w:w="924"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TAQUERIA</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102.3</w:t>
            </w:r>
          </w:p>
        </w:tc>
        <w:tc>
          <w:tcPr>
            <w:tcW w:w="2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97.6</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98.8</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100.7</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105.1</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100.2</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103.1</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100.5</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94.5</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102.1</w:t>
            </w:r>
          </w:p>
        </w:tc>
        <w:tc>
          <w:tcPr>
            <w:tcW w:w="398"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100.49</w:t>
            </w:r>
          </w:p>
        </w:tc>
      </w:tr>
      <w:tr>
        <w:trPr>
          <w:trHeight w:val="240" w:hRule="atLeast"/>
        </w:trPr>
        <w:tc>
          <w:tcPr>
            <w:tcW w:w="924"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TEMPORADA</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96.6</w:t>
            </w:r>
          </w:p>
        </w:tc>
        <w:tc>
          <w:tcPr>
            <w:tcW w:w="2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83.5</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80.1</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87.9</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80.1</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81.5</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86.4</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82.4</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86.3</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87.5</w:t>
            </w:r>
          </w:p>
        </w:tc>
        <w:tc>
          <w:tcPr>
            <w:tcW w:w="398"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85.23</w:t>
            </w:r>
          </w:p>
        </w:tc>
      </w:tr>
      <w:tr>
        <w:trPr>
          <w:trHeight w:val="240" w:hRule="atLeast"/>
        </w:trPr>
        <w:tc>
          <w:tcPr>
            <w:tcW w:w="924"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CARNICERIAS</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77.6</w:t>
            </w:r>
          </w:p>
        </w:tc>
        <w:tc>
          <w:tcPr>
            <w:tcW w:w="2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75.6</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78</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72.2</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76.6</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81.6</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87.4</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71.7</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75.4</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82</w:t>
            </w:r>
          </w:p>
        </w:tc>
        <w:tc>
          <w:tcPr>
            <w:tcW w:w="398"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77.81</w:t>
            </w:r>
          </w:p>
        </w:tc>
      </w:tr>
      <w:tr>
        <w:trPr>
          <w:trHeight w:val="240" w:hRule="atLeast"/>
        </w:trPr>
        <w:tc>
          <w:tcPr>
            <w:tcW w:w="924"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VERDURAS</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76.6</w:t>
            </w:r>
          </w:p>
        </w:tc>
        <w:tc>
          <w:tcPr>
            <w:tcW w:w="26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80.7</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82.6</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80.1</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81.1</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76.1</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79.5</w:t>
            </w:r>
          </w:p>
        </w:tc>
        <w:tc>
          <w:tcPr>
            <w:tcW w:w="3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82.1</w:t>
            </w:r>
          </w:p>
        </w:tc>
        <w:tc>
          <w:tcPr>
            <w:tcW w:w="26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77.6</w:t>
            </w:r>
          </w:p>
        </w:tc>
        <w:tc>
          <w:tcPr>
            <w:tcW w:w="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85.2</w:t>
            </w:r>
          </w:p>
        </w:tc>
        <w:tc>
          <w:tcPr>
            <w:tcW w:w="398"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80.16</w:t>
            </w:r>
          </w:p>
        </w:tc>
      </w:tr>
      <w:tr>
        <w:trPr>
          <w:trHeight w:val="330" w:hRule="atLeast"/>
        </w:trPr>
        <w:tc>
          <w:tcPr>
            <w:tcW w:w="924" w:type="dxa"/>
            <w:tcBorders>
              <w:left w:val="single" w:sz="18" w:space="0" w:color="000000"/>
              <w:bottom w:val="single" w:sz="18"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COMPRA-VENTA ANIMALES</w:t>
            </w:r>
          </w:p>
        </w:tc>
        <w:tc>
          <w:tcPr>
            <w:tcW w:w="347"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64.5</w:t>
            </w:r>
          </w:p>
        </w:tc>
        <w:tc>
          <w:tcPr>
            <w:tcW w:w="26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73.5</w:t>
            </w:r>
          </w:p>
        </w:tc>
        <w:tc>
          <w:tcPr>
            <w:tcW w:w="268"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82.6</w:t>
            </w:r>
          </w:p>
        </w:tc>
        <w:tc>
          <w:tcPr>
            <w:tcW w:w="343"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75.9</w:t>
            </w:r>
          </w:p>
        </w:tc>
        <w:tc>
          <w:tcPr>
            <w:tcW w:w="342"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67.3</w:t>
            </w:r>
          </w:p>
        </w:tc>
        <w:tc>
          <w:tcPr>
            <w:tcW w:w="343"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76.6</w:t>
            </w:r>
          </w:p>
        </w:tc>
        <w:tc>
          <w:tcPr>
            <w:tcW w:w="343"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77.6</w:t>
            </w:r>
          </w:p>
        </w:tc>
        <w:tc>
          <w:tcPr>
            <w:tcW w:w="342"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76.1</w:t>
            </w:r>
          </w:p>
        </w:tc>
        <w:tc>
          <w:tcPr>
            <w:tcW w:w="268"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78.2</w:t>
            </w:r>
          </w:p>
        </w:tc>
        <w:tc>
          <w:tcPr>
            <w:tcW w:w="347"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81.2</w:t>
            </w:r>
          </w:p>
        </w:tc>
        <w:tc>
          <w:tcPr>
            <w:tcW w:w="398" w:type="dxa"/>
            <w:tcBorders>
              <w:bottom w:val="single" w:sz="18"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75.35</w:t>
            </w:r>
          </w:p>
        </w:tc>
      </w:tr>
    </w:tbl>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drawing>
          <wp:anchor behindDoc="0" distT="0" distB="0" distL="114300" distR="114300" simplePos="0" locked="0" layoutInCell="0" allowOverlap="1" relativeHeight="13">
            <wp:simplePos x="0" y="0"/>
            <wp:positionH relativeFrom="column">
              <wp:posOffset>118110</wp:posOffset>
            </wp:positionH>
            <wp:positionV relativeFrom="paragraph">
              <wp:posOffset>673100</wp:posOffset>
            </wp:positionV>
            <wp:extent cx="2688590" cy="932815"/>
            <wp:effectExtent l="0" t="0" r="0" b="0"/>
            <wp:wrapTopAndBottom/>
            <wp:docPr id="3" name="Imagen2" descr="Gr&amp;#225;fica Xbarra-R de TAQUERIA, ..., CVENTA AN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Gr&amp;#225;fica Xbarra-R de TAQUERIA, ..., CVENTA ANIMALES"/>
                    <pic:cNvPicPr>
                      <a:picLocks noChangeAspect="1" noChangeArrowheads="1"/>
                    </pic:cNvPicPr>
                  </pic:nvPicPr>
                  <pic:blipFill>
                    <a:blip r:embed="rId8"/>
                    <a:srcRect l="728" t="1654" r="1444" b="47411"/>
                    <a:stretch>
                      <a:fillRect/>
                    </a:stretch>
                  </pic:blipFill>
                  <pic:spPr bwMode="auto">
                    <a:xfrm>
                      <a:off x="0" y="0"/>
                      <a:ext cx="2688590" cy="932815"/>
                    </a:xfrm>
                    <a:prstGeom prst="rect">
                      <a:avLst/>
                    </a:prstGeom>
                  </pic:spPr>
                </pic:pic>
              </a:graphicData>
            </a:graphic>
          </wp:anchor>
        </w:drawing>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Fonts w:cs="Times New Roman"/>
          <w:i/>
          <w:iCs/>
          <w:sz w:val="20"/>
          <w:szCs w:val="20"/>
        </w:rPr>
        <w:t>Figura 2. Gráfico X mercado Moralillo. Fuente: Elaboración propia.</w:t>
      </w:r>
    </w:p>
    <w:p>
      <w:pPr>
        <w:pStyle w:val="Normal"/>
        <w:spacing w:lineRule="auto" w:line="240" w:before="0" w:after="0"/>
        <w:ind w:left="0" w:right="0" w:hanging="0"/>
        <w:jc w:val="center"/>
        <w:rPr>
          <w:rFonts w:ascii="Times New Roman" w:hAnsi="Times New Roman"/>
          <w:sz w:val="20"/>
          <w:szCs w:val="20"/>
        </w:rPr>
      </w:pPr>
      <w:r>
        <w:rPr/>
      </w:r>
    </w:p>
    <w:p>
      <w:pPr>
        <w:pStyle w:val="Normal"/>
        <w:spacing w:lineRule="auto" w:line="240" w:before="0" w:after="0"/>
        <w:ind w:left="0" w:right="0" w:hanging="0"/>
        <w:jc w:val="center"/>
        <w:rPr>
          <w:rFonts w:ascii="Times New Roman" w:hAnsi="Times New Roman"/>
          <w:b/>
          <w:b/>
          <w:bCs/>
          <w:sz w:val="20"/>
          <w:szCs w:val="20"/>
        </w:rPr>
      </w:pPr>
      <w:r>
        <w:rPr>
          <w:b/>
          <w:bCs/>
          <w:sz w:val="20"/>
          <w:szCs w:val="20"/>
        </w:rPr>
        <w:t>Tabla 4. Promedios y límites de cada área. Fuente: Elaboración propia.</w:t>
      </w:r>
    </w:p>
    <w:p>
      <w:pPr>
        <w:pStyle w:val="Normal"/>
        <w:spacing w:lineRule="auto" w:line="240" w:before="0" w:after="0"/>
        <w:ind w:left="0" w:right="0" w:hanging="0"/>
        <w:jc w:val="center"/>
        <w:rPr>
          <w:rFonts w:ascii="Times New Roman" w:hAnsi="Times New Roman"/>
          <w:sz w:val="20"/>
          <w:szCs w:val="20"/>
        </w:rPr>
      </w:pPr>
      <w:r>
        <w:rPr>
          <w:sz w:val="20"/>
          <w:szCs w:val="20"/>
        </w:rPr>
      </w:r>
    </w:p>
    <w:tbl>
      <w:tblPr>
        <w:tblW w:w="396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590"/>
        <w:gridCol w:w="593"/>
        <w:gridCol w:w="602"/>
        <w:gridCol w:w="547"/>
        <w:gridCol w:w="637"/>
      </w:tblGrid>
      <w:tr>
        <w:trPr>
          <w:trHeight w:val="216" w:hRule="atLeast"/>
        </w:trPr>
        <w:tc>
          <w:tcPr>
            <w:tcW w:w="1590" w:type="dxa"/>
            <w:tcBorders>
              <w:top w:val="single" w:sz="18"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Áreas</w:t>
            </w:r>
          </w:p>
        </w:tc>
        <w:tc>
          <w:tcPr>
            <w:tcW w:w="593" w:type="dxa"/>
            <w:tcBorders>
              <w:top w:val="single" w:sz="18"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 xml:space="preserve">Media </w:t>
            </w:r>
          </w:p>
        </w:tc>
        <w:tc>
          <w:tcPr>
            <w:tcW w:w="602" w:type="dxa"/>
            <w:tcBorders>
              <w:top w:val="single" w:sz="18"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LCS</w:t>
            </w:r>
          </w:p>
        </w:tc>
        <w:tc>
          <w:tcPr>
            <w:tcW w:w="547" w:type="dxa"/>
            <w:tcBorders>
              <w:top w:val="single" w:sz="18"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LC</w:t>
            </w:r>
          </w:p>
        </w:tc>
        <w:tc>
          <w:tcPr>
            <w:tcW w:w="637" w:type="dxa"/>
            <w:tcBorders>
              <w:top w:val="single" w:sz="18"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 xml:space="preserve">LCI </w:t>
            </w:r>
          </w:p>
        </w:tc>
      </w:tr>
      <w:tr>
        <w:trPr>
          <w:trHeight w:val="216" w:hRule="atLeast"/>
        </w:trPr>
        <w:tc>
          <w:tcPr>
            <w:tcW w:w="1590"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TAQUERIA</w:t>
            </w:r>
          </w:p>
        </w:tc>
        <w:tc>
          <w:tcPr>
            <w:tcW w:w="5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100.49</w:t>
            </w:r>
          </w:p>
        </w:tc>
        <w:tc>
          <w:tcPr>
            <w:tcW w:w="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w:t>
            </w:r>
          </w:p>
        </w:tc>
        <w:tc>
          <w:tcPr>
            <w:tcW w:w="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85.00</w:t>
            </w:r>
          </w:p>
        </w:tc>
        <w:tc>
          <w:tcPr>
            <w:tcW w:w="637"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w:t>
            </w:r>
          </w:p>
        </w:tc>
      </w:tr>
      <w:tr>
        <w:trPr>
          <w:trHeight w:val="216" w:hRule="atLeast"/>
        </w:trPr>
        <w:tc>
          <w:tcPr>
            <w:tcW w:w="1590"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TEMPORADA</w:t>
            </w:r>
          </w:p>
        </w:tc>
        <w:tc>
          <w:tcPr>
            <w:tcW w:w="5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85.23</w:t>
            </w:r>
          </w:p>
        </w:tc>
        <w:tc>
          <w:tcPr>
            <w:tcW w:w="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w:t>
            </w:r>
          </w:p>
        </w:tc>
        <w:tc>
          <w:tcPr>
            <w:tcW w:w="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85.00</w:t>
            </w:r>
          </w:p>
        </w:tc>
        <w:tc>
          <w:tcPr>
            <w:tcW w:w="637"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w:t>
            </w:r>
          </w:p>
        </w:tc>
      </w:tr>
      <w:tr>
        <w:trPr>
          <w:trHeight w:val="216" w:hRule="atLeast"/>
        </w:trPr>
        <w:tc>
          <w:tcPr>
            <w:tcW w:w="1590"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CARNICERIAS</w:t>
            </w:r>
          </w:p>
        </w:tc>
        <w:tc>
          <w:tcPr>
            <w:tcW w:w="5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77.81</w:t>
            </w:r>
          </w:p>
        </w:tc>
        <w:tc>
          <w:tcPr>
            <w:tcW w:w="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w:t>
            </w:r>
          </w:p>
        </w:tc>
        <w:tc>
          <w:tcPr>
            <w:tcW w:w="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85.00</w:t>
            </w:r>
          </w:p>
        </w:tc>
        <w:tc>
          <w:tcPr>
            <w:tcW w:w="637"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w:t>
            </w:r>
          </w:p>
        </w:tc>
      </w:tr>
      <w:tr>
        <w:trPr>
          <w:trHeight w:val="216" w:hRule="atLeast"/>
        </w:trPr>
        <w:tc>
          <w:tcPr>
            <w:tcW w:w="1590"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VERDURAS</w:t>
            </w:r>
          </w:p>
        </w:tc>
        <w:tc>
          <w:tcPr>
            <w:tcW w:w="5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80.16</w:t>
            </w:r>
          </w:p>
        </w:tc>
        <w:tc>
          <w:tcPr>
            <w:tcW w:w="6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w:t>
            </w:r>
          </w:p>
        </w:tc>
        <w:tc>
          <w:tcPr>
            <w:tcW w:w="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85.00</w:t>
            </w:r>
          </w:p>
        </w:tc>
        <w:tc>
          <w:tcPr>
            <w:tcW w:w="637"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w:t>
            </w:r>
          </w:p>
        </w:tc>
      </w:tr>
      <w:tr>
        <w:trPr>
          <w:trHeight w:val="356" w:hRule="atLeast"/>
        </w:trPr>
        <w:tc>
          <w:tcPr>
            <w:tcW w:w="1590" w:type="dxa"/>
            <w:tcBorders>
              <w:top w:val="single" w:sz="4" w:space="0" w:color="000000"/>
              <w:left w:val="single" w:sz="18"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COMPRA-VENTA ANIMALES</w:t>
            </w:r>
          </w:p>
        </w:tc>
        <w:tc>
          <w:tcPr>
            <w:tcW w:w="593"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75.35</w:t>
            </w:r>
          </w:p>
        </w:tc>
        <w:tc>
          <w:tcPr>
            <w:tcW w:w="602"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w:t>
            </w:r>
          </w:p>
        </w:tc>
        <w:tc>
          <w:tcPr>
            <w:tcW w:w="547"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85.00</w:t>
            </w:r>
          </w:p>
        </w:tc>
        <w:tc>
          <w:tcPr>
            <w:tcW w:w="637" w:type="dxa"/>
            <w:tcBorders>
              <w:top w:val="single" w:sz="4" w:space="0" w:color="000000"/>
              <w:left w:val="single" w:sz="4" w:space="0" w:color="000000"/>
              <w:bottom w:val="single" w:sz="18"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w:t>
            </w:r>
          </w:p>
        </w:tc>
      </w:tr>
    </w:tbl>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t>Para todas las zonas de estudio se decidieron colocar como LCS (Limite Central Superior) y LCI (Limite Central Inferior) 95 y 70 dB respectivamente, y 85 dB como límite central debido a que es lo que marca la NOM 011 De la STPS que es lo adecuado.</w:t>
      </w:r>
    </w:p>
    <w:p>
      <w:pPr>
        <w:pStyle w:val="Normal"/>
        <w:spacing w:lineRule="auto" w:line="240" w:before="0" w:after="0"/>
        <w:ind w:left="0" w:right="0" w:hanging="0"/>
        <w:jc w:val="center"/>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 xml:space="preserve">Como se observa en la </w:t>
      </w:r>
      <w:r>
        <w:rPr>
          <w:rFonts w:cs="Times New Roman"/>
          <w:sz w:val="20"/>
          <w:szCs w:val="20"/>
        </w:rPr>
        <w:t>F</w:t>
      </w:r>
      <w:r>
        <w:rPr>
          <w:rFonts w:cs="Times New Roman"/>
          <w:sz w:val="20"/>
          <w:szCs w:val="20"/>
        </w:rPr>
        <w:t xml:space="preserve">igura 2, gráfica de control X, en el mercado del Moralillo, las muestras de ruido son muy irregulares, en la zona de taquería el ruido es mucho más elevado que en las demás zonas del Moralillo llegando hasta los 105 decibelios, debido a que cuando se hizo la recolección de muestras había música y con parlantes o altavoces que dificultaban a los clientes ordenar. A diferencia de las demás zonas en donde el promedio de </w:t>
      </w:r>
      <w:r/>
      <w:r>
        <w:rPr>
          <w:rFonts w:cs="Times New Roman"/>
          <w:sz w:val="20"/>
          <w:szCs w:val="20"/>
        </w:rPr>
        <w:drawing>
          <wp:anchor behindDoc="0" distT="0" distB="0" distL="0" distR="0" simplePos="0" locked="0" layoutInCell="0" allowOverlap="1" relativeHeight="11">
            <wp:simplePos x="0" y="0"/>
            <wp:positionH relativeFrom="column">
              <wp:posOffset>-52070</wp:posOffset>
            </wp:positionH>
            <wp:positionV relativeFrom="paragraph">
              <wp:posOffset>1962150</wp:posOffset>
            </wp:positionV>
            <wp:extent cx="2879725" cy="1769110"/>
            <wp:effectExtent l="0" t="0" r="0" b="0"/>
            <wp:wrapTopAndBottom/>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t>r</w:t>
      </w:r>
      <w:r>
        <w:rPr>
          <w:rFonts w:cs="Times New Roman"/>
          <w:sz w:val="20"/>
          <w:szCs w:val="20"/>
        </w:rPr>
        <w:t xml:space="preserve">uido fue disminuyendo por completo. Entonces en esta zona el ruido si llega a ser molesto en las zonas donde se ubiquen puestos de comida, debido a que son una opción para los artistas y grupos que ven la oportunidad de negocio. </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jc w:val="center"/>
        <w:rPr/>
      </w:pPr>
      <w:r>
        <w:rPr>
          <w:rFonts w:cs="Times New Roman"/>
          <w:i/>
          <w:iCs/>
          <w:sz w:val="20"/>
          <w:szCs w:val="20"/>
        </w:rPr>
        <w:t>Figura 3. Grafica Xbarra-R mercado Moralillo. Fuente: Elaboración propia en Minitab Statistical Software.</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Se puede decir que en esta área los decibelios pueden pasar de una cifra menor a una mayor repentinamente, pero, en general, el ruido del mercado no representa un riesgo a la salud el promedio se encuentra en lo permisible por la NOM 011 de la STPS, como lo demuestra la Figura 3.</w:t>
      </w:r>
    </w:p>
    <w:p>
      <w:pPr>
        <w:pStyle w:val="Normal"/>
        <w:spacing w:lineRule="auto" w:line="240" w:before="0" w:after="0"/>
        <w:ind w:left="0" w:right="0" w:hanging="0"/>
        <w:jc w:val="center"/>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El software Minitab Statistical Software, realiza sus propios cálculos para obtener el LCS y LCI, lo importante es que realiza un promedio de los datos y se comprueba que el promedio esta dentro de lo establecido por la NOM 011 de la STPS. Además, que muestra una pequeña variabilidad n los datos, el comportamiento de estos no es tan disperso.</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B. </w:t>
      </w:r>
      <w:r>
        <w:rPr>
          <w:rFonts w:cs="Times New Roman"/>
          <w:i/>
          <w:iCs/>
          <w:sz w:val="20"/>
          <w:szCs w:val="20"/>
        </w:rPr>
        <w:t>Mercado Municipal Tepexi de Rodríguez</w:t>
      </w:r>
    </w:p>
    <w:p>
      <w:pPr>
        <w:pStyle w:val="Normal"/>
        <w:spacing w:lineRule="auto" w:line="240" w:before="0" w:after="0"/>
        <w:ind w:left="0" w:right="0" w:hanging="0"/>
        <w:rPr>
          <w:rFonts w:ascii="Times New Roman" w:hAnsi="Times New Roman"/>
          <w:sz w:val="20"/>
          <w:szCs w:val="20"/>
        </w:rPr>
      </w:pPr>
      <w:r>
        <w:rPr>
          <w:rFonts w:cs="Times New Roman"/>
          <w:sz w:val="20"/>
          <w:szCs w:val="20"/>
        </w:rPr>
        <w:t>La Tabla 5 muestra las áreas de las diferentes secciones en que se dividió el mercado de Tepexi para su mejor estudio. Llevado a cabo el día domingo 13 de noviembre de 2022 a partir de las 13 horas.</w:t>
      </w:r>
    </w:p>
    <w:p>
      <w:pPr>
        <w:pStyle w:val="Normal"/>
        <w:spacing w:lineRule="auto" w:line="240" w:before="0" w:after="0"/>
        <w:ind w:left="0" w:right="0" w:hanging="0"/>
        <w:rPr>
          <w:rFonts w:ascii="Times New Roman" w:hAnsi="Times New Roman"/>
          <w:sz w:val="20"/>
          <w:szCs w:val="20"/>
        </w:rPr>
      </w:pPr>
      <w:r>
        <w:rPr>
          <w:sz w:val="20"/>
          <w:szCs w:val="20"/>
        </w:rPr>
      </w:r>
    </w:p>
    <w:tbl>
      <w:tblPr>
        <w:tblpPr w:vertAnchor="text" w:horzAnchor="text" w:leftFromText="141" w:rightFromText="141" w:tblpX="0" w:tblpY="677"/>
        <w:tblW w:w="4535" w:type="dxa"/>
        <w:jc w:val="left"/>
        <w:tblInd w:w="-22" w:type="dxa"/>
        <w:tblLayout w:type="fixed"/>
        <w:tblCellMar>
          <w:top w:w="0" w:type="dxa"/>
          <w:left w:w="70" w:type="dxa"/>
          <w:bottom w:w="0" w:type="dxa"/>
          <w:right w:w="70" w:type="dxa"/>
        </w:tblCellMar>
        <w:tblLook w:val="04a0" w:noHBand="0" w:noVBand="1" w:firstColumn="1" w:lastRow="0" w:lastColumn="0" w:firstRow="1"/>
      </w:tblPr>
      <w:tblGrid>
        <w:gridCol w:w="902"/>
        <w:gridCol w:w="334"/>
        <w:gridCol w:w="330"/>
        <w:gridCol w:w="329"/>
        <w:gridCol w:w="330"/>
        <w:gridCol w:w="329"/>
        <w:gridCol w:w="330"/>
        <w:gridCol w:w="329"/>
        <w:gridCol w:w="329"/>
        <w:gridCol w:w="329"/>
        <w:gridCol w:w="332"/>
        <w:gridCol w:w="331"/>
      </w:tblGrid>
      <w:tr>
        <w:trPr>
          <w:trHeight w:val="319" w:hRule="atLeast"/>
        </w:trPr>
        <w:tc>
          <w:tcPr>
            <w:tcW w:w="902" w:type="dxa"/>
            <w:tcBorders>
              <w:top w:val="single" w:sz="18" w:space="0" w:color="000000"/>
              <w:left w:val="single" w:sz="18" w:space="0" w:color="000000"/>
              <w:bottom w:val="single" w:sz="4" w:space="0" w:color="000000"/>
              <w:right w:val="single" w:sz="8"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Área</w:t>
            </w:r>
          </w:p>
        </w:tc>
        <w:tc>
          <w:tcPr>
            <w:tcW w:w="3301" w:type="dxa"/>
            <w:gridSpan w:val="10"/>
            <w:tcBorders>
              <w:top w:val="single" w:sz="18" w:space="0" w:color="000000"/>
              <w:bottom w:val="single" w:sz="4" w:space="0" w:color="000000"/>
              <w:right w:val="single" w:sz="4"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Muestras de cada área en decibeles (dB)</w:t>
            </w:r>
          </w:p>
        </w:tc>
        <w:tc>
          <w:tcPr>
            <w:tcW w:w="331" w:type="dxa"/>
            <w:tcBorders>
              <w:top w:val="single" w:sz="18" w:space="0" w:color="000000"/>
              <w:bottom w:val="single" w:sz="4" w:space="0" w:color="000000"/>
              <w:right w:val="single" w:sz="18"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 xml:space="preserve">Media </w:t>
            </w:r>
          </w:p>
        </w:tc>
      </w:tr>
      <w:tr>
        <w:trPr>
          <w:trHeight w:val="255" w:hRule="atLeast"/>
        </w:trPr>
        <w:tc>
          <w:tcPr>
            <w:tcW w:w="902"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FLORES</w:t>
            </w:r>
          </w:p>
        </w:tc>
        <w:tc>
          <w:tcPr>
            <w:tcW w:w="33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71.2</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77.6</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72.8</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77.4</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68.4</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77.4</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68.4</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68.2</w:t>
            </w:r>
          </w:p>
        </w:tc>
        <w:tc>
          <w:tcPr>
            <w:tcW w:w="3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66.2</w:t>
            </w:r>
          </w:p>
        </w:tc>
        <w:tc>
          <w:tcPr>
            <w:tcW w:w="331"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71.56</w:t>
            </w:r>
          </w:p>
        </w:tc>
      </w:tr>
      <w:tr>
        <w:trPr>
          <w:trHeight w:val="255" w:hRule="atLeast"/>
        </w:trPr>
        <w:tc>
          <w:tcPr>
            <w:tcW w:w="902"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CARNES</w:t>
            </w:r>
          </w:p>
        </w:tc>
        <w:tc>
          <w:tcPr>
            <w:tcW w:w="33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68.5</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71.6</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69.9</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74.5</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77.2</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77.8</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64.3</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65.2</w:t>
            </w:r>
          </w:p>
        </w:tc>
        <w:tc>
          <w:tcPr>
            <w:tcW w:w="3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67.7</w:t>
            </w:r>
          </w:p>
        </w:tc>
        <w:tc>
          <w:tcPr>
            <w:tcW w:w="331"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70.27</w:t>
            </w:r>
          </w:p>
        </w:tc>
      </w:tr>
      <w:tr>
        <w:trPr>
          <w:trHeight w:val="255" w:hRule="atLeast"/>
        </w:trPr>
        <w:tc>
          <w:tcPr>
            <w:tcW w:w="902"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COMIDA</w:t>
            </w:r>
          </w:p>
        </w:tc>
        <w:tc>
          <w:tcPr>
            <w:tcW w:w="33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65.5</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75.4</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66.3</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78.4</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81.2</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68.6</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67.2</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68.4</w:t>
            </w:r>
          </w:p>
        </w:tc>
        <w:tc>
          <w:tcPr>
            <w:tcW w:w="3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70.1</w:t>
            </w:r>
          </w:p>
        </w:tc>
        <w:tc>
          <w:tcPr>
            <w:tcW w:w="331"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72.21</w:t>
            </w:r>
          </w:p>
        </w:tc>
      </w:tr>
      <w:tr>
        <w:trPr>
          <w:trHeight w:val="378" w:hRule="atLeast"/>
        </w:trPr>
        <w:tc>
          <w:tcPr>
            <w:tcW w:w="902"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ESTACIONAMIENTO</w:t>
            </w:r>
          </w:p>
        </w:tc>
        <w:tc>
          <w:tcPr>
            <w:tcW w:w="33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61.5</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76.6</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65.4</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68.3</w:t>
            </w:r>
          </w:p>
        </w:tc>
        <w:tc>
          <w:tcPr>
            <w:tcW w:w="33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67.2</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66.2</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w:t>
            </w:r>
          </w:p>
        </w:tc>
        <w:tc>
          <w:tcPr>
            <w:tcW w:w="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60.5</w:t>
            </w:r>
          </w:p>
        </w:tc>
        <w:tc>
          <w:tcPr>
            <w:tcW w:w="3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61.1</w:t>
            </w:r>
          </w:p>
        </w:tc>
        <w:tc>
          <w:tcPr>
            <w:tcW w:w="331"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65.48</w:t>
            </w:r>
          </w:p>
        </w:tc>
      </w:tr>
      <w:tr>
        <w:trPr>
          <w:trHeight w:val="323" w:hRule="atLeast"/>
        </w:trPr>
        <w:tc>
          <w:tcPr>
            <w:tcW w:w="902" w:type="dxa"/>
            <w:tcBorders>
              <w:left w:val="single" w:sz="18" w:space="0" w:color="000000"/>
              <w:bottom w:val="single" w:sz="18"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TERCER PISO</w:t>
            </w:r>
          </w:p>
        </w:tc>
        <w:tc>
          <w:tcPr>
            <w:tcW w:w="334"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w:t>
            </w:r>
          </w:p>
        </w:tc>
        <w:tc>
          <w:tcPr>
            <w:tcW w:w="330"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59.1</w:t>
            </w:r>
          </w:p>
        </w:tc>
        <w:tc>
          <w:tcPr>
            <w:tcW w:w="32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68.6</w:t>
            </w:r>
          </w:p>
        </w:tc>
        <w:tc>
          <w:tcPr>
            <w:tcW w:w="330"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75.4</w:t>
            </w:r>
          </w:p>
        </w:tc>
        <w:tc>
          <w:tcPr>
            <w:tcW w:w="32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73.3</w:t>
            </w:r>
          </w:p>
        </w:tc>
        <w:tc>
          <w:tcPr>
            <w:tcW w:w="330"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80.1</w:t>
            </w:r>
          </w:p>
        </w:tc>
        <w:tc>
          <w:tcPr>
            <w:tcW w:w="32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w:t>
            </w:r>
          </w:p>
        </w:tc>
        <w:tc>
          <w:tcPr>
            <w:tcW w:w="32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78.1</w:t>
            </w:r>
          </w:p>
        </w:tc>
        <w:tc>
          <w:tcPr>
            <w:tcW w:w="32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81.4</w:t>
            </w:r>
          </w:p>
        </w:tc>
        <w:tc>
          <w:tcPr>
            <w:tcW w:w="332"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68.1</w:t>
            </w:r>
          </w:p>
        </w:tc>
        <w:tc>
          <w:tcPr>
            <w:tcW w:w="331" w:type="dxa"/>
            <w:tcBorders>
              <w:bottom w:val="single" w:sz="18"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72.71</w:t>
            </w:r>
          </w:p>
        </w:tc>
      </w:tr>
    </w:tbl>
    <w:p>
      <w:pPr>
        <w:pStyle w:val="Normal"/>
        <w:spacing w:lineRule="auto" w:line="240" w:before="0" w:after="0"/>
        <w:ind w:left="0" w:right="0" w:hanging="0"/>
        <w:jc w:val="center"/>
        <w:rPr>
          <w:rFonts w:ascii="Times New Roman" w:hAnsi="Times New Roman"/>
          <w:b/>
          <w:b/>
          <w:bCs/>
          <w:sz w:val="20"/>
          <w:szCs w:val="20"/>
        </w:rPr>
      </w:pPr>
      <w:r/>
      <w:r>
        <w:rPr>
          <w:rFonts w:cs="Times New Roman"/>
          <w:b/>
          <w:bCs/>
          <w:sz w:val="20"/>
          <w:szCs w:val="20"/>
        </w:rPr>
        <w:t>Tabla 5. Muestras de ruido mercado Municipal Tepexi de Rodríguez. Fuente: Elaboración propia.</w:t>
      </w:r>
    </w:p>
    <w:p>
      <w:pPr>
        <w:pStyle w:val="Normal"/>
        <w:spacing w:lineRule="auto" w:line="240" w:before="0" w:after="0"/>
        <w:ind w:left="0" w:right="0" w:hanging="0"/>
        <w:jc w:val="center"/>
        <w:rPr>
          <w:rFonts w:cs="Times New Roman"/>
        </w:rPr>
      </w:pPr>
      <w:r>
        <w:rPr>
          <w:rFonts w:cs="Times New Roman"/>
        </w:rPr>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jc w:val="center"/>
        <w:rPr>
          <w:rFonts w:ascii="Times New Roman" w:hAnsi="Times New Roman"/>
          <w:b/>
          <w:b/>
          <w:bCs/>
          <w:sz w:val="20"/>
          <w:szCs w:val="20"/>
        </w:rPr>
      </w:pPr>
      <w:r>
        <w:rPr/>
      </w:r>
    </w:p>
    <w:p>
      <w:pPr>
        <w:pStyle w:val="Normal"/>
        <w:spacing w:lineRule="auto" w:line="240" w:before="0" w:after="0"/>
        <w:ind w:left="0" w:right="0" w:hanging="0"/>
        <w:jc w:val="center"/>
        <w:rPr>
          <w:rFonts w:ascii="Times New Roman" w:hAnsi="Times New Roman"/>
          <w:b/>
          <w:b/>
          <w:bCs/>
          <w:sz w:val="20"/>
          <w:szCs w:val="20"/>
        </w:rPr>
      </w:pPr>
      <w:r>
        <w:rPr>
          <w:rFonts w:cs="Times New Roman"/>
          <w:b/>
          <w:bCs/>
          <w:sz w:val="20"/>
          <w:szCs w:val="20"/>
        </w:rPr>
        <w:t>Tabla 6. Promedio y límites de cada área. Fuente: Elaboración propia.</w:t>
      </w:r>
    </w:p>
    <w:tbl>
      <w:tblPr>
        <w:tblpPr w:vertAnchor="text" w:horzAnchor="text" w:leftFromText="141" w:rightFromText="141" w:tblpX="519" w:tblpY="80"/>
        <w:tblW w:w="3402"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541"/>
        <w:gridCol w:w="552"/>
        <w:gridCol w:w="442"/>
        <w:gridCol w:w="382"/>
        <w:gridCol w:w="485"/>
      </w:tblGrid>
      <w:tr>
        <w:trPr>
          <w:trHeight w:val="280" w:hRule="atLeast"/>
        </w:trPr>
        <w:tc>
          <w:tcPr>
            <w:tcW w:w="1541" w:type="dxa"/>
            <w:tcBorders>
              <w:top w:val="single" w:sz="8" w:space="0" w:color="000000"/>
              <w:left w:val="single" w:sz="8"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b/>
                <w:b/>
                <w:bCs/>
                <w:sz w:val="12"/>
                <w:szCs w:val="12"/>
              </w:rPr>
            </w:pPr>
            <w:r>
              <w:rPr>
                <w:rFonts w:eastAsia="Times New Roman" w:cs="Times New Roman"/>
                <w:b/>
                <w:bCs/>
                <w:sz w:val="12"/>
                <w:szCs w:val="12"/>
              </w:rPr>
              <w:t>Área</w:t>
            </w:r>
          </w:p>
        </w:tc>
        <w:tc>
          <w:tcPr>
            <w:tcW w:w="552" w:type="dxa"/>
            <w:tcBorders>
              <w:top w:val="single" w:sz="8"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b/>
                <w:b/>
                <w:bCs/>
                <w:sz w:val="12"/>
                <w:szCs w:val="12"/>
              </w:rPr>
            </w:pPr>
            <w:r>
              <w:rPr>
                <w:rFonts w:eastAsia="Times New Roman" w:cs="Times New Roman"/>
                <w:b/>
                <w:bCs/>
                <w:sz w:val="12"/>
                <w:szCs w:val="12"/>
              </w:rPr>
              <w:t xml:space="preserve">Media </w:t>
            </w:r>
          </w:p>
        </w:tc>
        <w:tc>
          <w:tcPr>
            <w:tcW w:w="442" w:type="dxa"/>
            <w:tcBorders>
              <w:top w:val="single" w:sz="8"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b/>
                <w:b/>
                <w:bCs/>
                <w:sz w:val="12"/>
                <w:szCs w:val="12"/>
              </w:rPr>
            </w:pPr>
            <w:r>
              <w:rPr>
                <w:rFonts w:eastAsia="Times New Roman" w:cs="Times New Roman"/>
                <w:b/>
                <w:bCs/>
                <w:sz w:val="12"/>
                <w:szCs w:val="12"/>
              </w:rPr>
              <w:t>LCS</w:t>
            </w:r>
          </w:p>
        </w:tc>
        <w:tc>
          <w:tcPr>
            <w:tcW w:w="382" w:type="dxa"/>
            <w:tcBorders>
              <w:top w:val="single" w:sz="8"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b/>
                <w:b/>
                <w:bCs/>
                <w:sz w:val="12"/>
                <w:szCs w:val="12"/>
              </w:rPr>
            </w:pPr>
            <w:r>
              <w:rPr>
                <w:rFonts w:eastAsia="Times New Roman" w:cs="Times New Roman"/>
                <w:b/>
                <w:bCs/>
                <w:sz w:val="12"/>
                <w:szCs w:val="12"/>
              </w:rPr>
              <w:t>LC</w:t>
            </w:r>
          </w:p>
        </w:tc>
        <w:tc>
          <w:tcPr>
            <w:tcW w:w="485" w:type="dxa"/>
            <w:tcBorders>
              <w:top w:val="single" w:sz="8" w:space="0" w:color="000000"/>
              <w:bottom w:val="single" w:sz="4" w:space="0" w:color="000000"/>
              <w:right w:val="single" w:sz="8" w:space="0" w:color="000000"/>
            </w:tcBorders>
            <w:shd w:color="000000" w:fill="E7E6E6" w:val="clear"/>
            <w:vAlign w:val="center"/>
          </w:tcPr>
          <w:p>
            <w:pPr>
              <w:pStyle w:val="Normal"/>
              <w:widowControl w:val="false"/>
              <w:spacing w:lineRule="auto" w:line="240"/>
              <w:jc w:val="center"/>
              <w:rPr>
                <w:rFonts w:eastAsia="Times New Roman" w:cs="Times New Roman"/>
                <w:b/>
                <w:b/>
                <w:bCs/>
                <w:sz w:val="12"/>
                <w:szCs w:val="12"/>
              </w:rPr>
            </w:pPr>
            <w:r>
              <w:rPr>
                <w:rFonts w:eastAsia="Times New Roman" w:cs="Times New Roman"/>
                <w:b/>
                <w:bCs/>
                <w:sz w:val="12"/>
                <w:szCs w:val="12"/>
              </w:rPr>
              <w:t>LCI</w:t>
            </w:r>
          </w:p>
        </w:tc>
      </w:tr>
      <w:tr>
        <w:trPr>
          <w:trHeight w:val="280" w:hRule="atLeast"/>
        </w:trPr>
        <w:tc>
          <w:tcPr>
            <w:tcW w:w="1541"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FLORES</w:t>
            </w:r>
          </w:p>
        </w:tc>
        <w:tc>
          <w:tcPr>
            <w:tcW w:w="55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71.56</w:t>
            </w:r>
          </w:p>
        </w:tc>
        <w:tc>
          <w:tcPr>
            <w:tcW w:w="44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w:t>
            </w:r>
          </w:p>
        </w:tc>
        <w:tc>
          <w:tcPr>
            <w:tcW w:w="38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w:t>
            </w:r>
          </w:p>
        </w:tc>
        <w:tc>
          <w:tcPr>
            <w:tcW w:w="485" w:type="dxa"/>
            <w:tcBorders>
              <w:bottom w:val="single" w:sz="4" w:space="0" w:color="000000"/>
              <w:right w:val="single" w:sz="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w:t>
            </w:r>
          </w:p>
        </w:tc>
      </w:tr>
      <w:tr>
        <w:trPr>
          <w:trHeight w:val="280" w:hRule="atLeast"/>
        </w:trPr>
        <w:tc>
          <w:tcPr>
            <w:tcW w:w="1541"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CARNES</w:t>
            </w:r>
          </w:p>
        </w:tc>
        <w:tc>
          <w:tcPr>
            <w:tcW w:w="55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70.27</w:t>
            </w:r>
          </w:p>
        </w:tc>
        <w:tc>
          <w:tcPr>
            <w:tcW w:w="44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w:t>
            </w:r>
          </w:p>
        </w:tc>
        <w:tc>
          <w:tcPr>
            <w:tcW w:w="38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w:t>
            </w:r>
          </w:p>
        </w:tc>
        <w:tc>
          <w:tcPr>
            <w:tcW w:w="485" w:type="dxa"/>
            <w:tcBorders>
              <w:bottom w:val="single" w:sz="4" w:space="0" w:color="000000"/>
              <w:right w:val="single" w:sz="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w:t>
            </w:r>
          </w:p>
        </w:tc>
      </w:tr>
      <w:tr>
        <w:trPr>
          <w:trHeight w:val="140" w:hRule="atLeast"/>
        </w:trPr>
        <w:tc>
          <w:tcPr>
            <w:tcW w:w="1541"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COMIDA</w:t>
            </w:r>
          </w:p>
        </w:tc>
        <w:tc>
          <w:tcPr>
            <w:tcW w:w="55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72.21</w:t>
            </w:r>
          </w:p>
        </w:tc>
        <w:tc>
          <w:tcPr>
            <w:tcW w:w="44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w:t>
            </w:r>
          </w:p>
        </w:tc>
        <w:tc>
          <w:tcPr>
            <w:tcW w:w="38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w:t>
            </w:r>
          </w:p>
        </w:tc>
        <w:tc>
          <w:tcPr>
            <w:tcW w:w="485" w:type="dxa"/>
            <w:tcBorders>
              <w:bottom w:val="single" w:sz="4" w:space="0" w:color="000000"/>
              <w:right w:val="single" w:sz="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w:t>
            </w:r>
          </w:p>
        </w:tc>
      </w:tr>
      <w:tr>
        <w:trPr>
          <w:trHeight w:val="237" w:hRule="atLeast"/>
        </w:trPr>
        <w:tc>
          <w:tcPr>
            <w:tcW w:w="1541"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ESTACIONAMIENTO</w:t>
            </w:r>
          </w:p>
        </w:tc>
        <w:tc>
          <w:tcPr>
            <w:tcW w:w="55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65.48</w:t>
            </w:r>
          </w:p>
        </w:tc>
        <w:tc>
          <w:tcPr>
            <w:tcW w:w="44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w:t>
            </w:r>
          </w:p>
        </w:tc>
        <w:tc>
          <w:tcPr>
            <w:tcW w:w="382" w:type="dxa"/>
            <w:tcBorders>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w:t>
            </w:r>
          </w:p>
        </w:tc>
        <w:tc>
          <w:tcPr>
            <w:tcW w:w="485" w:type="dxa"/>
            <w:tcBorders>
              <w:bottom w:val="single" w:sz="4" w:space="0" w:color="000000"/>
              <w:right w:val="single" w:sz="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w:t>
            </w:r>
          </w:p>
        </w:tc>
      </w:tr>
      <w:tr>
        <w:trPr>
          <w:trHeight w:val="268" w:hRule="atLeast"/>
        </w:trPr>
        <w:tc>
          <w:tcPr>
            <w:tcW w:w="1541" w:type="dxa"/>
            <w:tcBorders>
              <w:left w:val="single" w:sz="8" w:space="0" w:color="000000"/>
              <w:bottom w:val="single" w:sz="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TERCER PISO</w:t>
            </w:r>
          </w:p>
        </w:tc>
        <w:tc>
          <w:tcPr>
            <w:tcW w:w="552" w:type="dxa"/>
            <w:tcBorders>
              <w:bottom w:val="single" w:sz="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72.71</w:t>
            </w:r>
          </w:p>
        </w:tc>
        <w:tc>
          <w:tcPr>
            <w:tcW w:w="442" w:type="dxa"/>
            <w:tcBorders>
              <w:bottom w:val="single" w:sz="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w:t>
            </w:r>
          </w:p>
        </w:tc>
        <w:tc>
          <w:tcPr>
            <w:tcW w:w="382" w:type="dxa"/>
            <w:tcBorders>
              <w:bottom w:val="single" w:sz="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w:t>
            </w:r>
          </w:p>
        </w:tc>
        <w:tc>
          <w:tcPr>
            <w:tcW w:w="485" w:type="dxa"/>
            <w:tcBorders>
              <w:bottom w:val="single" w:sz="8" w:space="0" w:color="000000"/>
              <w:right w:val="single" w:sz="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w:t>
            </w:r>
          </w:p>
        </w:tc>
      </w:tr>
    </w:tbl>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cs="Times New Roman"/>
          <w:i/>
          <w:i/>
          <w:iCs/>
          <w:sz w:val="20"/>
          <w:szCs w:val="20"/>
        </w:rPr>
      </w:pPr>
      <w:r>
        <w:rPr/>
      </w:r>
    </w:p>
    <w:p>
      <w:pPr>
        <w:pStyle w:val="Normal"/>
        <w:spacing w:lineRule="auto" w:line="240" w:before="0" w:after="0"/>
        <w:ind w:left="0" w:right="0" w:hanging="0"/>
        <w:jc w:val="center"/>
        <w:rPr>
          <w:rFonts w:ascii="Times New Roman" w:hAnsi="Times New Roman" w:cs="Times New Roman"/>
          <w:i/>
          <w:i/>
          <w:iCs/>
          <w:sz w:val="20"/>
          <w:szCs w:val="20"/>
        </w:rPr>
      </w:pPr>
      <w:r>
        <w:rPr/>
      </w:r>
    </w:p>
    <w:p>
      <w:pPr>
        <w:pStyle w:val="Normal"/>
        <w:spacing w:lineRule="auto" w:line="240" w:before="0" w:after="0"/>
        <w:ind w:left="0" w:right="0" w:hanging="0"/>
        <w:jc w:val="center"/>
        <w:rPr>
          <w:rFonts w:ascii="Times New Roman" w:hAnsi="Times New Roman" w:cs="Times New Roman"/>
          <w:i/>
          <w:i/>
          <w:iCs/>
          <w:sz w:val="20"/>
          <w:szCs w:val="20"/>
        </w:rPr>
      </w:pPr>
      <w:r>
        <w:rPr/>
      </w:r>
    </w:p>
    <w:p>
      <w:pPr>
        <w:pStyle w:val="Normal"/>
        <w:spacing w:lineRule="auto" w:line="240" w:before="0" w:after="0"/>
        <w:ind w:left="0" w:right="0" w:hanging="0"/>
        <w:jc w:val="center"/>
        <w:rPr>
          <w:rFonts w:ascii="Times New Roman" w:hAnsi="Times New Roman" w:cs="Times New Roman"/>
          <w:i/>
          <w:i/>
          <w:iCs/>
          <w:sz w:val="20"/>
          <w:szCs w:val="20"/>
        </w:rPr>
      </w:pPr>
      <w:r>
        <w:rPr/>
      </w:r>
    </w:p>
    <w:p>
      <w:pPr>
        <w:pStyle w:val="Normal"/>
        <w:spacing w:lineRule="auto" w:line="240" w:before="0" w:after="0"/>
        <w:ind w:left="0" w:right="0" w:hanging="0"/>
        <w:jc w:val="center"/>
        <w:rPr/>
      </w:pPr>
      <w:r/>
      <w:r>
        <w:rPr>
          <w:rFonts w:cs="Times New Roman"/>
          <w:i/>
          <w:iCs/>
          <w:sz w:val="20"/>
          <w:szCs w:val="20"/>
        </w:rPr>
        <w:drawing>
          <wp:anchor behindDoc="0" distT="0" distB="0" distL="0" distR="0" simplePos="0" locked="0" layoutInCell="0" allowOverlap="1" relativeHeight="15">
            <wp:simplePos x="0" y="0"/>
            <wp:positionH relativeFrom="column">
              <wp:posOffset>93345</wp:posOffset>
            </wp:positionH>
            <wp:positionV relativeFrom="paragraph">
              <wp:posOffset>141605</wp:posOffset>
            </wp:positionV>
            <wp:extent cx="2779395" cy="1787525"/>
            <wp:effectExtent l="0" t="0" r="0" b="0"/>
            <wp:wrapTopAndBottom/>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t>F</w:t>
      </w:r>
      <w:r>
        <w:rPr>
          <w:rFonts w:cs="Times New Roman"/>
          <w:i/>
          <w:iCs/>
          <w:sz w:val="20"/>
          <w:szCs w:val="20"/>
        </w:rPr>
        <w:t>igura 4. Gráfico X mercado Municipal Tepexi de Rodríguez. Fuente: Elaboración propia.</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 xml:space="preserve">En la Figura 4, la gráfica muestra que los datos recabados en el Mercado Municipal de Tepexi de Rodríguez, no presentan altos índices de ruido y que su variabilidad es irregular ya que la línea que muestra el comportamiento de los datos tiene altas y bajas. </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Además, si se toma en cuenta los datos de las tablas y de la gráfica, ni los datos, ni su promedio tienen números que sobrepasen el nivel de ruido establecido por la Norma 011 de la STPS - 2011 (secretaria del Trabajo y Previsión Social), así que se puede decir que en este lugar el sonido puede variar, pero no a tal grado ser un riesgo a la salud de los transeúntes y vendedores que laboran en dicho establecimiento.</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drawing>
          <wp:inline distT="0" distB="0" distL="0" distR="0">
            <wp:extent cx="3102610" cy="1005205"/>
            <wp:effectExtent l="0" t="0" r="0" b="0"/>
            <wp:docPr id="6" name="Imagen 1850953494" descr="Gr&amp;#225;fica Xbarra-R de FLORES, ..., TERCER P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850953494" descr="Gr&amp;#225;fica Xbarra-R de FLORES, ..., TERCER PISO"/>
                    <pic:cNvPicPr>
                      <a:picLocks noChangeAspect="1" noChangeArrowheads="1"/>
                    </pic:cNvPicPr>
                  </pic:nvPicPr>
                  <pic:blipFill>
                    <a:blip r:embed="rId11"/>
                    <a:srcRect l="1286" t="1594" r="820" b="47638"/>
                    <a:stretch>
                      <a:fillRect/>
                    </a:stretch>
                  </pic:blipFill>
                  <pic:spPr bwMode="auto">
                    <a:xfrm>
                      <a:off x="0" y="0"/>
                      <a:ext cx="3102610" cy="1005205"/>
                    </a:xfrm>
                    <a:prstGeom prst="rect">
                      <a:avLst/>
                    </a:prstGeom>
                  </pic:spPr>
                </pic:pic>
              </a:graphicData>
            </a:graphic>
          </wp:inline>
        </w:drawing>
      </w:r>
    </w:p>
    <w:p>
      <w:pPr>
        <w:pStyle w:val="Normal"/>
        <w:spacing w:lineRule="auto" w:line="240" w:before="0" w:after="0"/>
        <w:ind w:left="0" w:right="0" w:hanging="0"/>
        <w:jc w:val="center"/>
        <w:rPr>
          <w:i/>
          <w:i/>
          <w:iCs/>
        </w:rPr>
      </w:pPr>
      <w:r>
        <w:rPr>
          <w:rFonts w:cs="Times New Roman"/>
          <w:i/>
          <w:iCs/>
          <w:sz w:val="20"/>
          <w:szCs w:val="20"/>
        </w:rPr>
        <w:t>Figura 5. Grafica Xbarra-R mercado Tepexi de Rodríguez. Fuente: Elaboración propia en Minitab Statistical Software.</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t>En Minitab, los resultados no difieren demasiado, solo se observa que la dispersión de los datos es mayor, el promedio se queda en 70 decibelios. En el mercado de Tepexi de Rodríguez el ruido no es un riesgo a la salud de los vendedores y transeúntes.</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C. </w:t>
      </w:r>
      <w:r>
        <w:rPr>
          <w:rFonts w:cs="Times New Roman"/>
          <w:i/>
          <w:iCs/>
          <w:sz w:val="20"/>
          <w:szCs w:val="20"/>
        </w:rPr>
        <w:t>Mercado de Molcaxac</w:t>
      </w:r>
    </w:p>
    <w:p>
      <w:pPr>
        <w:pStyle w:val="Normal"/>
        <w:spacing w:lineRule="auto" w:line="240" w:before="0" w:after="0"/>
        <w:ind w:left="0" w:right="0" w:hanging="0"/>
        <w:rPr>
          <w:rFonts w:ascii="Times New Roman" w:hAnsi="Times New Roman"/>
          <w:sz w:val="20"/>
          <w:szCs w:val="20"/>
        </w:rPr>
      </w:pPr>
      <w:r>
        <w:rPr>
          <w:rFonts w:cs="Times New Roman"/>
          <w:sz w:val="20"/>
          <w:szCs w:val="20"/>
        </w:rPr>
        <w:t>En la Tabla anterior se observa la división del Mercado de Molcaxac y los datos recolectados el día jueves 10 de noviembre del 2022.</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rFonts w:cs="Times New Roman"/>
          <w:b/>
          <w:bCs/>
          <w:sz w:val="20"/>
          <w:szCs w:val="20"/>
        </w:rPr>
        <w:t>Tabla 7. Muestras de ruido mercado Molcaxac. Fuente: Elaboración propia.</w:t>
      </w:r>
    </w:p>
    <w:tbl>
      <w:tblPr>
        <w:tblW w:w="4535" w:type="dxa"/>
        <w:jc w:val="left"/>
        <w:tblInd w:w="1" w:type="dxa"/>
        <w:tblLayout w:type="fixed"/>
        <w:tblCellMar>
          <w:top w:w="0" w:type="dxa"/>
          <w:left w:w="70" w:type="dxa"/>
          <w:bottom w:w="0" w:type="dxa"/>
          <w:right w:w="70" w:type="dxa"/>
        </w:tblCellMar>
        <w:tblLook w:val="04a0" w:noHBand="0" w:noVBand="1" w:firstColumn="1" w:lastRow="0" w:lastColumn="0" w:firstRow="1"/>
      </w:tblPr>
      <w:tblGrid>
        <w:gridCol w:w="850"/>
        <w:gridCol w:w="297"/>
        <w:gridCol w:w="339"/>
        <w:gridCol w:w="338"/>
        <w:gridCol w:w="338"/>
        <w:gridCol w:w="339"/>
        <w:gridCol w:w="340"/>
        <w:gridCol w:w="338"/>
        <w:gridCol w:w="338"/>
        <w:gridCol w:w="272"/>
        <w:gridCol w:w="338"/>
        <w:gridCol w:w="407"/>
      </w:tblGrid>
      <w:tr>
        <w:trPr>
          <w:trHeight w:val="317" w:hRule="atLeast"/>
        </w:trPr>
        <w:tc>
          <w:tcPr>
            <w:tcW w:w="850" w:type="dxa"/>
            <w:tcBorders>
              <w:top w:val="single" w:sz="18" w:space="0" w:color="000000"/>
              <w:left w:val="single" w:sz="18" w:space="0" w:color="000000"/>
              <w:bottom w:val="single" w:sz="8" w:space="0" w:color="000000"/>
              <w:right w:val="single" w:sz="8" w:space="0" w:color="000000"/>
            </w:tcBorders>
            <w:shd w:color="000000" w:fill="D0CECE"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Área</w:t>
            </w:r>
          </w:p>
        </w:tc>
        <w:tc>
          <w:tcPr>
            <w:tcW w:w="3277" w:type="dxa"/>
            <w:gridSpan w:val="10"/>
            <w:tcBorders>
              <w:top w:val="single" w:sz="18" w:space="0" w:color="000000"/>
              <w:bottom w:val="single" w:sz="8" w:space="0" w:color="000000"/>
              <w:right w:val="single" w:sz="8" w:space="0" w:color="000000"/>
            </w:tcBorders>
            <w:shd w:color="000000" w:fill="D0CECE" w:val="clear"/>
            <w:vAlign w:val="bottom"/>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Muestras de cada área en decibeles dB</w:t>
            </w:r>
          </w:p>
        </w:tc>
        <w:tc>
          <w:tcPr>
            <w:tcW w:w="407" w:type="dxa"/>
            <w:tcBorders>
              <w:top w:val="single" w:sz="18" w:space="0" w:color="000000"/>
              <w:right w:val="single" w:sz="18" w:space="0" w:color="000000"/>
            </w:tcBorders>
            <w:shd w:color="000000" w:fill="D0CECE"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MEDIA</w:t>
            </w:r>
          </w:p>
        </w:tc>
      </w:tr>
      <w:tr>
        <w:trPr>
          <w:trHeight w:val="301" w:hRule="atLeast"/>
        </w:trPr>
        <w:tc>
          <w:tcPr>
            <w:tcW w:w="850" w:type="dxa"/>
            <w:tcBorders>
              <w:top w:val="single" w:sz="4" w:space="0" w:color="000000"/>
              <w:left w:val="single" w:sz="18"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VERDULERIA</w:t>
            </w:r>
          </w:p>
        </w:tc>
        <w:tc>
          <w:tcPr>
            <w:tcW w:w="297"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62.3</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59.1</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58.8</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60.1</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w:t>
            </w:r>
          </w:p>
        </w:tc>
        <w:tc>
          <w:tcPr>
            <w:tcW w:w="3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59.5</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59.5</w:t>
            </w:r>
          </w:p>
        </w:tc>
        <w:tc>
          <w:tcPr>
            <w:tcW w:w="338" w:type="dxa"/>
            <w:tcBorders>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67.7</w:t>
            </w:r>
          </w:p>
        </w:tc>
        <w:tc>
          <w:tcPr>
            <w:tcW w:w="272"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59.6</w:t>
            </w:r>
          </w:p>
        </w:tc>
        <w:tc>
          <w:tcPr>
            <w:tcW w:w="338"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58.2</w:t>
            </w:r>
          </w:p>
        </w:tc>
        <w:tc>
          <w:tcPr>
            <w:tcW w:w="407" w:type="dxa"/>
            <w:tcBorders>
              <w:top w:val="single" w:sz="8" w:space="0" w:color="000000"/>
              <w:left w:val="single" w:sz="8"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60.68</w:t>
            </w:r>
          </w:p>
        </w:tc>
      </w:tr>
      <w:tr>
        <w:trPr>
          <w:trHeight w:val="301" w:hRule="atLeast"/>
        </w:trPr>
        <w:tc>
          <w:tcPr>
            <w:tcW w:w="850" w:type="dxa"/>
            <w:tcBorders>
              <w:left w:val="single" w:sz="18"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SEMILLAS</w:t>
            </w:r>
          </w:p>
        </w:tc>
        <w:tc>
          <w:tcPr>
            <w:tcW w:w="297"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66.6</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68.4</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72.4</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66.6</w:t>
            </w:r>
          </w:p>
        </w:tc>
        <w:tc>
          <w:tcPr>
            <w:tcW w:w="3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66.1</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65.1</w:t>
            </w:r>
          </w:p>
        </w:tc>
        <w:tc>
          <w:tcPr>
            <w:tcW w:w="338" w:type="dxa"/>
            <w:tcBorders>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66.8</w:t>
            </w:r>
          </w:p>
        </w:tc>
        <w:tc>
          <w:tcPr>
            <w:tcW w:w="272"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65.7</w:t>
            </w:r>
          </w:p>
        </w:tc>
        <w:tc>
          <w:tcPr>
            <w:tcW w:w="338"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64.5</w:t>
            </w:r>
          </w:p>
        </w:tc>
        <w:tc>
          <w:tcPr>
            <w:tcW w:w="407" w:type="dxa"/>
            <w:tcBorders>
              <w:left w:val="single" w:sz="8"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66.82</w:t>
            </w:r>
          </w:p>
        </w:tc>
      </w:tr>
      <w:tr>
        <w:trPr>
          <w:trHeight w:val="301" w:hRule="atLeast"/>
        </w:trPr>
        <w:tc>
          <w:tcPr>
            <w:tcW w:w="850" w:type="dxa"/>
            <w:tcBorders>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CARNES</w:t>
            </w:r>
          </w:p>
        </w:tc>
        <w:tc>
          <w:tcPr>
            <w:tcW w:w="297"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77.6</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68.2</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67.6</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67.9</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60.1</w:t>
            </w:r>
          </w:p>
        </w:tc>
        <w:tc>
          <w:tcPr>
            <w:tcW w:w="3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67.3</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68.9</w:t>
            </w:r>
          </w:p>
        </w:tc>
        <w:tc>
          <w:tcPr>
            <w:tcW w:w="338" w:type="dxa"/>
            <w:tcBorders>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64.9</w:t>
            </w:r>
          </w:p>
        </w:tc>
        <w:tc>
          <w:tcPr>
            <w:tcW w:w="272"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69</w:t>
            </w:r>
          </w:p>
        </w:tc>
        <w:tc>
          <w:tcPr>
            <w:tcW w:w="338"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62.7</w:t>
            </w:r>
          </w:p>
        </w:tc>
        <w:tc>
          <w:tcPr>
            <w:tcW w:w="407" w:type="dxa"/>
            <w:tcBorders>
              <w:left w:val="single" w:sz="8"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67.42</w:t>
            </w:r>
          </w:p>
        </w:tc>
      </w:tr>
      <w:tr>
        <w:trPr>
          <w:trHeight w:val="301" w:hRule="atLeast"/>
        </w:trPr>
        <w:tc>
          <w:tcPr>
            <w:tcW w:w="850" w:type="dxa"/>
            <w:tcBorders>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AREA DE ZAPATOS Y FLORES</w:t>
            </w:r>
          </w:p>
        </w:tc>
        <w:tc>
          <w:tcPr>
            <w:tcW w:w="297" w:type="dxa"/>
            <w:tcBorders>
              <w:left w:val="single" w:sz="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58.8</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65.4</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61</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w:t>
            </w:r>
          </w:p>
        </w:tc>
        <w:tc>
          <w:tcPr>
            <w:tcW w:w="3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67.8</w:t>
            </w:r>
          </w:p>
        </w:tc>
        <w:tc>
          <w:tcPr>
            <w:tcW w:w="3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57.8</w:t>
            </w:r>
          </w:p>
        </w:tc>
        <w:tc>
          <w:tcPr>
            <w:tcW w:w="3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65.6</w:t>
            </w:r>
          </w:p>
        </w:tc>
        <w:tc>
          <w:tcPr>
            <w:tcW w:w="338" w:type="dxa"/>
            <w:tcBorders>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62.3</w:t>
            </w:r>
          </w:p>
        </w:tc>
        <w:tc>
          <w:tcPr>
            <w:tcW w:w="272"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58.4</w:t>
            </w:r>
          </w:p>
        </w:tc>
        <w:tc>
          <w:tcPr>
            <w:tcW w:w="338"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64.2</w:t>
            </w:r>
          </w:p>
        </w:tc>
        <w:tc>
          <w:tcPr>
            <w:tcW w:w="407" w:type="dxa"/>
            <w:tcBorders>
              <w:left w:val="single" w:sz="8"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62.73</w:t>
            </w:r>
          </w:p>
        </w:tc>
      </w:tr>
      <w:tr>
        <w:trPr>
          <w:trHeight w:val="317" w:hRule="atLeast"/>
        </w:trPr>
        <w:tc>
          <w:tcPr>
            <w:tcW w:w="850" w:type="dxa"/>
            <w:tcBorders>
              <w:left w:val="single" w:sz="18"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COMIDA</w:t>
            </w:r>
          </w:p>
        </w:tc>
        <w:tc>
          <w:tcPr>
            <w:tcW w:w="297" w:type="dxa"/>
            <w:tcBorders>
              <w:left w:val="single" w:sz="8"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67.8</w:t>
            </w:r>
          </w:p>
        </w:tc>
        <w:tc>
          <w:tcPr>
            <w:tcW w:w="33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69.6</w:t>
            </w:r>
          </w:p>
        </w:tc>
        <w:tc>
          <w:tcPr>
            <w:tcW w:w="338"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65.5</w:t>
            </w:r>
          </w:p>
        </w:tc>
        <w:tc>
          <w:tcPr>
            <w:tcW w:w="338"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w:t>
            </w:r>
          </w:p>
        </w:tc>
        <w:tc>
          <w:tcPr>
            <w:tcW w:w="339"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68.5</w:t>
            </w:r>
          </w:p>
        </w:tc>
        <w:tc>
          <w:tcPr>
            <w:tcW w:w="340"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70.3</w:t>
            </w:r>
          </w:p>
        </w:tc>
        <w:tc>
          <w:tcPr>
            <w:tcW w:w="338"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73.9</w:t>
            </w:r>
          </w:p>
        </w:tc>
        <w:tc>
          <w:tcPr>
            <w:tcW w:w="338" w:type="dxa"/>
            <w:tcBorders>
              <w:bottom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67.8</w:t>
            </w:r>
          </w:p>
        </w:tc>
        <w:tc>
          <w:tcPr>
            <w:tcW w:w="272" w:type="dxa"/>
            <w:tcBorders>
              <w:left w:val="single" w:sz="4" w:space="0" w:color="000000"/>
              <w:bottom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67.8</w:t>
            </w:r>
          </w:p>
        </w:tc>
        <w:tc>
          <w:tcPr>
            <w:tcW w:w="338" w:type="dxa"/>
            <w:tcBorders>
              <w:left w:val="single" w:sz="4" w:space="0" w:color="000000"/>
              <w:bottom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74.5</w:t>
            </w:r>
          </w:p>
        </w:tc>
        <w:tc>
          <w:tcPr>
            <w:tcW w:w="407" w:type="dxa"/>
            <w:tcBorders>
              <w:left w:val="single" w:sz="8" w:space="0" w:color="000000"/>
              <w:bottom w:val="single" w:sz="18"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69.17</w:t>
            </w:r>
          </w:p>
        </w:tc>
      </w:tr>
    </w:tbl>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jc w:val="center"/>
        <w:rPr>
          <w:rFonts w:ascii="Times New Roman" w:hAnsi="Times New Roman"/>
          <w:b/>
          <w:b/>
          <w:bCs/>
          <w:sz w:val="20"/>
          <w:szCs w:val="20"/>
        </w:rPr>
      </w:pPr>
      <w:r>
        <w:rPr>
          <w:b/>
          <w:bCs/>
          <w:sz w:val="20"/>
          <w:szCs w:val="20"/>
        </w:rPr>
        <w:t>Tabla 8. Promedios y límites de cada área. Fuente: Elaboración propia.</w:t>
      </w:r>
    </w:p>
    <w:tbl>
      <w:tblPr>
        <w:tblpPr w:vertAnchor="text" w:horzAnchor="text" w:leftFromText="141" w:rightFromText="141" w:tblpX="-22" w:tblpY="93"/>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259"/>
        <w:gridCol w:w="642"/>
        <w:gridCol w:w="535"/>
        <w:gridCol w:w="549"/>
        <w:gridCol w:w="550"/>
      </w:tblGrid>
      <w:tr>
        <w:trPr>
          <w:trHeight w:val="242" w:hRule="atLeast"/>
        </w:trPr>
        <w:tc>
          <w:tcPr>
            <w:tcW w:w="2259" w:type="dxa"/>
            <w:tcBorders>
              <w:top w:val="single" w:sz="18" w:space="0" w:color="000000"/>
              <w:left w:val="single" w:sz="18"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Área</w:t>
            </w:r>
          </w:p>
        </w:tc>
        <w:tc>
          <w:tcPr>
            <w:tcW w:w="642" w:type="dxa"/>
            <w:tcBorders>
              <w:top w:val="single" w:sz="18" w:space="0" w:color="000000"/>
              <w:left w:val="single" w:sz="4"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MEDIA</w:t>
            </w:r>
          </w:p>
        </w:tc>
        <w:tc>
          <w:tcPr>
            <w:tcW w:w="535" w:type="dxa"/>
            <w:tcBorders>
              <w:top w:val="single" w:sz="18" w:space="0" w:color="000000"/>
              <w:left w:val="single" w:sz="4"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color w:val="auto"/>
                <w:sz w:val="12"/>
                <w:szCs w:val="12"/>
              </w:rPr>
            </w:pPr>
            <w:r>
              <w:rPr>
                <w:rFonts w:eastAsia="Times New Roman" w:cs="Times New Roman"/>
                <w:color w:val="auto"/>
                <w:sz w:val="12"/>
                <w:szCs w:val="12"/>
              </w:rPr>
              <w:t>LCS</w:t>
            </w:r>
          </w:p>
        </w:tc>
        <w:tc>
          <w:tcPr>
            <w:tcW w:w="549" w:type="dxa"/>
            <w:tcBorders>
              <w:top w:val="single" w:sz="18" w:space="0" w:color="000000"/>
              <w:left w:val="single" w:sz="4" w:space="0" w:color="000000"/>
              <w:bottom w:val="single" w:sz="4" w:space="0" w:color="000000"/>
              <w:right w:val="single" w:sz="4" w:space="0" w:color="000000"/>
            </w:tcBorders>
            <w:shd w:color="000000" w:fill="E7E6E6" w:val="clear"/>
            <w:vAlign w:val="center"/>
          </w:tcPr>
          <w:p>
            <w:pPr>
              <w:pStyle w:val="Normal"/>
              <w:widowControl w:val="false"/>
              <w:spacing w:lineRule="auto" w:line="240"/>
              <w:jc w:val="center"/>
              <w:rPr>
                <w:rFonts w:eastAsia="Times New Roman" w:cs="Times New Roman"/>
                <w:color w:val="auto"/>
                <w:sz w:val="12"/>
                <w:szCs w:val="12"/>
              </w:rPr>
            </w:pPr>
            <w:r>
              <w:rPr>
                <w:rFonts w:eastAsia="Times New Roman" w:cs="Times New Roman"/>
                <w:color w:val="auto"/>
                <w:sz w:val="12"/>
                <w:szCs w:val="12"/>
              </w:rPr>
              <w:t>LC</w:t>
            </w:r>
          </w:p>
        </w:tc>
        <w:tc>
          <w:tcPr>
            <w:tcW w:w="550" w:type="dxa"/>
            <w:tcBorders>
              <w:top w:val="single" w:sz="18" w:space="0" w:color="000000"/>
              <w:left w:val="single" w:sz="4" w:space="0" w:color="000000"/>
              <w:bottom w:val="single" w:sz="4" w:space="0" w:color="000000"/>
              <w:right w:val="single" w:sz="18" w:space="0" w:color="000000"/>
            </w:tcBorders>
            <w:shd w:color="000000" w:fill="E7E6E6" w:val="clear"/>
            <w:vAlign w:val="center"/>
          </w:tcPr>
          <w:p>
            <w:pPr>
              <w:pStyle w:val="Normal"/>
              <w:widowControl w:val="false"/>
              <w:spacing w:lineRule="auto" w:line="240"/>
              <w:jc w:val="center"/>
              <w:rPr>
                <w:rFonts w:eastAsia="Times New Roman" w:cs="Times New Roman"/>
                <w:color w:val="auto"/>
                <w:sz w:val="12"/>
                <w:szCs w:val="12"/>
              </w:rPr>
            </w:pPr>
            <w:r>
              <w:rPr>
                <w:rFonts w:eastAsia="Times New Roman" w:cs="Times New Roman"/>
                <w:color w:val="auto"/>
                <w:sz w:val="12"/>
                <w:szCs w:val="12"/>
              </w:rPr>
              <w:t>LCI</w:t>
            </w:r>
          </w:p>
        </w:tc>
      </w:tr>
      <w:tr>
        <w:trPr>
          <w:trHeight w:val="242" w:hRule="atLeast"/>
        </w:trPr>
        <w:tc>
          <w:tcPr>
            <w:tcW w:w="2259" w:type="dxa"/>
            <w:tcBorders>
              <w:top w:val="single" w:sz="4" w:space="0" w:color="000000"/>
              <w:left w:val="single" w:sz="18" w:space="0" w:color="000000"/>
              <w:bottom w:val="single" w:sz="4" w:space="0" w:color="000000"/>
              <w:right w:val="single" w:sz="4" w:space="0" w:color="000000"/>
            </w:tcBorders>
            <w:shd w:color="000000" w:fill="FFFFFF"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VERDULERIA</w:t>
            </w:r>
          </w:p>
        </w:tc>
        <w:tc>
          <w:tcPr>
            <w:tcW w:w="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60.68</w:t>
            </w:r>
          </w:p>
        </w:tc>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95.00</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85.00</w:t>
            </w:r>
          </w:p>
        </w:tc>
        <w:tc>
          <w:tcPr>
            <w:tcW w:w="550"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70.00</w:t>
            </w:r>
          </w:p>
        </w:tc>
      </w:tr>
      <w:tr>
        <w:trPr>
          <w:trHeight w:val="242" w:hRule="atLeast"/>
        </w:trPr>
        <w:tc>
          <w:tcPr>
            <w:tcW w:w="2259" w:type="dxa"/>
            <w:tcBorders>
              <w:top w:val="single" w:sz="4" w:space="0" w:color="000000"/>
              <w:left w:val="single" w:sz="18" w:space="0" w:color="000000"/>
              <w:bottom w:val="single" w:sz="4" w:space="0" w:color="000000"/>
              <w:right w:val="single" w:sz="4" w:space="0" w:color="000000"/>
            </w:tcBorders>
            <w:shd w:color="000000" w:fill="FFFFFF"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SEMILLAS</w:t>
            </w:r>
          </w:p>
        </w:tc>
        <w:tc>
          <w:tcPr>
            <w:tcW w:w="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66.82</w:t>
            </w:r>
          </w:p>
        </w:tc>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95.00</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85.00</w:t>
            </w:r>
          </w:p>
        </w:tc>
        <w:tc>
          <w:tcPr>
            <w:tcW w:w="550"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70.00</w:t>
            </w:r>
          </w:p>
        </w:tc>
      </w:tr>
      <w:tr>
        <w:trPr>
          <w:trHeight w:val="242" w:hRule="atLeast"/>
        </w:trPr>
        <w:tc>
          <w:tcPr>
            <w:tcW w:w="2259"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CARNES</w:t>
            </w:r>
          </w:p>
        </w:tc>
        <w:tc>
          <w:tcPr>
            <w:tcW w:w="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67.42</w:t>
            </w:r>
          </w:p>
        </w:tc>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95.00</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85.00</w:t>
            </w:r>
          </w:p>
        </w:tc>
        <w:tc>
          <w:tcPr>
            <w:tcW w:w="550"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70.00</w:t>
            </w:r>
          </w:p>
        </w:tc>
      </w:tr>
      <w:tr>
        <w:trPr>
          <w:trHeight w:val="242" w:hRule="atLeast"/>
        </w:trPr>
        <w:tc>
          <w:tcPr>
            <w:tcW w:w="2259"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AREA DE ZAPATOS Y FLORES</w:t>
            </w:r>
          </w:p>
        </w:tc>
        <w:tc>
          <w:tcPr>
            <w:tcW w:w="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62.73</w:t>
            </w:r>
          </w:p>
        </w:tc>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95.00</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85.00</w:t>
            </w:r>
          </w:p>
        </w:tc>
        <w:tc>
          <w:tcPr>
            <w:tcW w:w="550"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70.00</w:t>
            </w:r>
          </w:p>
        </w:tc>
      </w:tr>
      <w:tr>
        <w:trPr>
          <w:trHeight w:val="254" w:hRule="atLeast"/>
        </w:trPr>
        <w:tc>
          <w:tcPr>
            <w:tcW w:w="2259" w:type="dxa"/>
            <w:tcBorders>
              <w:top w:val="single" w:sz="4" w:space="0" w:color="000000"/>
              <w:left w:val="single" w:sz="18" w:space="0" w:color="000000"/>
              <w:bottom w:val="single" w:sz="1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COMIDA</w:t>
            </w:r>
          </w:p>
        </w:tc>
        <w:tc>
          <w:tcPr>
            <w:tcW w:w="642"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69.17</w:t>
            </w:r>
          </w:p>
        </w:tc>
        <w:tc>
          <w:tcPr>
            <w:tcW w:w="535"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95.00</w:t>
            </w:r>
          </w:p>
        </w:tc>
        <w:tc>
          <w:tcPr>
            <w:tcW w:w="549"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85.00</w:t>
            </w:r>
          </w:p>
        </w:tc>
        <w:tc>
          <w:tcPr>
            <w:tcW w:w="550" w:type="dxa"/>
            <w:tcBorders>
              <w:top w:val="single" w:sz="4" w:space="0" w:color="000000"/>
              <w:left w:val="single" w:sz="4" w:space="0" w:color="000000"/>
              <w:bottom w:val="single" w:sz="18" w:space="0" w:color="000000"/>
              <w:right w:val="single" w:sz="18" w:space="0" w:color="000000"/>
            </w:tcBorders>
            <w:shd w:color="auto" w:fill="auto" w:val="clear"/>
            <w:vAlign w:val="center"/>
          </w:tcPr>
          <w:p>
            <w:pPr>
              <w:pStyle w:val="Normal"/>
              <w:widowControl w:val="false"/>
              <w:spacing w:lineRule="auto" w:line="240"/>
              <w:jc w:val="center"/>
              <w:rPr>
                <w:rFonts w:eastAsia="Times New Roman" w:cs="Times New Roman"/>
                <w:sz w:val="12"/>
                <w:szCs w:val="12"/>
              </w:rPr>
            </w:pPr>
            <w:r>
              <w:rPr>
                <w:rFonts w:eastAsia="Times New Roman" w:cs="Times New Roman"/>
                <w:sz w:val="12"/>
                <w:szCs w:val="12"/>
              </w:rPr>
              <w:t>70.00</w:t>
            </w:r>
          </w:p>
        </w:tc>
      </w:tr>
    </w:tbl>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rPr>
      </w:r>
    </w:p>
    <w:p>
      <w:pPr>
        <w:pStyle w:val="Normal"/>
        <w:spacing w:lineRule="auto" w:line="240" w:before="0" w:after="0"/>
        <w:ind w:left="0" w:right="0" w:hanging="0"/>
        <w:jc w:val="center"/>
        <w:rPr>
          <w:rFonts w:ascii="Times New Roman" w:hAnsi="Times New Roman"/>
          <w:i/>
          <w:i/>
          <w:iCs/>
          <w:sz w:val="20"/>
          <w:szCs w:val="20"/>
        </w:rPr>
      </w:pPr>
      <w:r/>
      <w:r>
        <w:rPr>
          <w:rFonts w:cs="Times New Roman"/>
          <w:i/>
          <w:iCs/>
          <w:sz w:val="20"/>
          <w:szCs w:val="20"/>
        </w:rPr>
        <w:drawing>
          <wp:anchor behindDoc="0" distT="0" distB="0" distL="0" distR="0" simplePos="0" locked="0" layoutInCell="0" allowOverlap="1" relativeHeight="14">
            <wp:simplePos x="0" y="0"/>
            <wp:positionH relativeFrom="column">
              <wp:posOffset>-17780</wp:posOffset>
            </wp:positionH>
            <wp:positionV relativeFrom="paragraph">
              <wp:posOffset>39370</wp:posOffset>
            </wp:positionV>
            <wp:extent cx="2895600" cy="1814830"/>
            <wp:effectExtent l="0" t="0" r="0" b="0"/>
            <wp:wrapTopAndBottom/>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t>F</w:t>
      </w:r>
      <w:r>
        <w:rPr>
          <w:rFonts w:cs="Times New Roman"/>
          <w:i/>
          <w:iCs/>
          <w:sz w:val="20"/>
          <w:szCs w:val="20"/>
        </w:rPr>
        <w:t>iguras 6. Gráfico X mercado de Molcaxac. Fuente: Elaboración propia.</w:t>
      </w:r>
      <w:r>
        <w:rPr>
          <w:i/>
          <w:iCs/>
          <w:sz w:val="20"/>
          <w:szCs w:val="20"/>
          <w14:ligatures w14:val="standardContextual"/>
        </w:rPr>
        <w:t xml:space="preserve"> </w:t>
      </w:r>
    </w:p>
    <w:p>
      <w:pPr>
        <w:pStyle w:val="Normal"/>
        <w:spacing w:lineRule="auto" w:line="240" w:before="0" w:after="0"/>
        <w:ind w:left="0" w:right="0" w:hanging="0"/>
        <w:jc w:val="center"/>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Se puede observar que los datos de la gráfica en promedio no llegan incluso al límite central inferior, por lo que se dice que en esta zona el ruido generado es mínimo, los valores más altos los registra el área de comida. Lo cual resulta sorprendente ya que el mercado tiene demasiada cercanía a la carretera principal que atraviesa el municipio, la cual es bastante concurrida y pasan autobuses, camiones de carga, etc. Y no es normal que un lugar así de transitado presente niveles de ruido casi imperceptibles, los compradores incluso esto no parece incomodarles ni siquiera un poco.</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drawing>
          <wp:inline distT="0" distB="0" distL="0" distR="0">
            <wp:extent cx="2830195" cy="958850"/>
            <wp:effectExtent l="0" t="0" r="0" b="0"/>
            <wp:docPr id="8"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
                    <pic:cNvPicPr>
                      <a:picLocks noChangeAspect="1" noChangeArrowheads="1"/>
                    </pic:cNvPicPr>
                  </pic:nvPicPr>
                  <pic:blipFill>
                    <a:blip r:embed="rId13"/>
                    <a:srcRect l="860" t="1506" r="1089" b="47411"/>
                    <a:stretch>
                      <a:fillRect/>
                    </a:stretch>
                  </pic:blipFill>
                  <pic:spPr bwMode="auto">
                    <a:xfrm>
                      <a:off x="0" y="0"/>
                      <a:ext cx="2830195" cy="95885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i/>
          <w:i/>
          <w:iCs/>
          <w:sz w:val="20"/>
          <w:szCs w:val="20"/>
        </w:rPr>
      </w:pPr>
      <w:r>
        <w:rPr>
          <w:rFonts w:cs="Times New Roman"/>
          <w:i/>
          <w:iCs/>
          <w:sz w:val="20"/>
          <w:szCs w:val="20"/>
        </w:rPr>
        <w:t>Figura 7. Grafica Xbarra-R mercado Molcaxac. Fuente: Elaboración propia en Minitab Statistical Software.</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t xml:space="preserve">En la Figura 7, nuevamente el software Minitab, realiza cálculos de manera automática al comparar los datos obtenidos en él y los datos de la figura 6 se observa que las muestras están por debajo de los 70 decibelios, por lo cual no hay ningún riesgo a la salud auditiva de los vendedores y transeúntes que comercializan en el área. </w:t>
      </w:r>
    </w:p>
    <w:p>
      <w:pPr>
        <w:pStyle w:val="Normal"/>
        <w:spacing w:lineRule="auto" w:line="240" w:before="0" w:after="0"/>
        <w:ind w:left="0" w:right="0" w:hanging="0"/>
        <w:rPr>
          <w:rFonts w:ascii="Times New Roman" w:hAnsi="Times New Roman"/>
          <w:sz w:val="20"/>
          <w:szCs w:val="20"/>
        </w:rPr>
      </w:pPr>
      <w:r>
        <w:rPr>
          <w:sz w:val="20"/>
          <w:szCs w:val="20"/>
        </w:rPr>
        <w:t>Y que el promedio es el más bajo que el de cualquier otra zona estudiada con 65.36 decibelios.</w:t>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
    </w:p>
    <w:p>
      <w:pPr>
        <w:pStyle w:val="Normal"/>
        <w:spacing w:lineRule="auto" w:line="240" w:before="0" w:after="0"/>
        <w:ind w:left="0" w:right="0" w:hanging="0"/>
        <w:rPr>
          <w:rFonts w:ascii="Times New Roman" w:hAnsi="Times New Roman"/>
          <w:sz w:val="20"/>
          <w:szCs w:val="20"/>
        </w:rPr>
      </w:pPr>
      <w:r>
        <w:rPr>
          <w:rFonts w:cs="Times New Roman"/>
          <w:i/>
          <w:iCs/>
          <w:sz w:val="20"/>
          <w:szCs w:val="20"/>
        </w:rPr>
        <w:t xml:space="preserve">D. </w:t>
      </w:r>
      <w:r>
        <w:rPr>
          <w:rFonts w:cs="Times New Roman"/>
          <w:i/>
          <w:iCs/>
          <w:sz w:val="20"/>
          <w:szCs w:val="20"/>
        </w:rPr>
        <w:t>Mercado de San Juan Ixcaquixtla</w:t>
      </w:r>
    </w:p>
    <w:p>
      <w:pPr>
        <w:pStyle w:val="Normal"/>
        <w:spacing w:lineRule="auto" w:line="240" w:before="0" w:after="0"/>
        <w:ind w:left="0" w:right="0" w:hanging="0"/>
        <w:rPr>
          <w:rFonts w:ascii="Times New Roman" w:hAnsi="Times New Roman"/>
          <w:sz w:val="20"/>
          <w:szCs w:val="20"/>
        </w:rPr>
      </w:pPr>
      <w:r>
        <w:rPr>
          <w:rFonts w:cs="Times New Roman"/>
          <w:sz w:val="20"/>
          <w:szCs w:val="20"/>
        </w:rPr>
        <w:t>La visita al mercado se llevó a cabo el día domingo 13 de noviembre de 2022. De acuerdo a los habitantes del municipio el domingo es el día más ajetreado del mercado, así que resulta perfecto para la investigación.</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b/>
          <w:b/>
          <w:bCs/>
          <w:sz w:val="20"/>
          <w:szCs w:val="20"/>
        </w:rPr>
      </w:pPr>
      <w:r>
        <w:rPr>
          <w:rFonts w:cs="Times New Roman"/>
          <w:b/>
          <w:bCs/>
          <w:sz w:val="20"/>
          <w:szCs w:val="20"/>
        </w:rPr>
        <w:t>Tabla 9. Muestras de ruido mercado de San Juan Ixcaquixtla. Fuente: Elaboración propia.</w:t>
      </w:r>
    </w:p>
    <w:tbl>
      <w:tblPr>
        <w:tblpPr w:vertAnchor="text" w:horzAnchor="text" w:leftFromText="141" w:rightFromText="141" w:tblpX="217" w:tblpY="142"/>
        <w:tblW w:w="4253"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846"/>
        <w:gridCol w:w="343"/>
        <w:gridCol w:w="290"/>
        <w:gridCol w:w="345"/>
        <w:gridCol w:w="296"/>
        <w:gridCol w:w="297"/>
        <w:gridCol w:w="295"/>
        <w:gridCol w:w="296"/>
        <w:gridCol w:w="296"/>
        <w:gridCol w:w="238"/>
        <w:gridCol w:w="295"/>
        <w:gridCol w:w="414"/>
      </w:tblGrid>
      <w:tr>
        <w:trPr>
          <w:trHeight w:val="315" w:hRule="atLeast"/>
        </w:trPr>
        <w:tc>
          <w:tcPr>
            <w:tcW w:w="846" w:type="dxa"/>
            <w:tcBorders>
              <w:top w:val="single" w:sz="18" w:space="0" w:color="000000"/>
              <w:left w:val="single" w:sz="18" w:space="0" w:color="000000"/>
              <w:bottom w:val="single" w:sz="8" w:space="0" w:color="000000"/>
              <w:right w:val="single" w:sz="8"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b/>
                <w:bCs/>
                <w:sz w:val="12"/>
                <w:szCs w:val="12"/>
              </w:rPr>
              <w:t>Área</w:t>
            </w:r>
          </w:p>
        </w:tc>
        <w:tc>
          <w:tcPr>
            <w:tcW w:w="2991" w:type="dxa"/>
            <w:gridSpan w:val="10"/>
            <w:tcBorders>
              <w:top w:val="single" w:sz="18" w:space="0" w:color="000000"/>
              <w:bottom w:val="single" w:sz="8" w:space="0" w:color="000000"/>
              <w:right w:val="single" w:sz="4"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b/>
                <w:bCs/>
                <w:sz w:val="12"/>
                <w:szCs w:val="12"/>
              </w:rPr>
              <w:t>Muestras de cada área en decibeles dB</w:t>
            </w:r>
          </w:p>
        </w:tc>
        <w:tc>
          <w:tcPr>
            <w:tcW w:w="414" w:type="dxa"/>
            <w:tcBorders>
              <w:top w:val="single" w:sz="18" w:space="0" w:color="000000"/>
              <w:bottom w:val="single" w:sz="8" w:space="0" w:color="000000"/>
              <w:right w:val="single" w:sz="18"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b/>
                <w:b/>
                <w:bCs/>
                <w:sz w:val="12"/>
                <w:szCs w:val="12"/>
              </w:rPr>
            </w:pPr>
            <w:r>
              <w:rPr>
                <w:rFonts w:eastAsia="Times New Roman" w:cs="Times New Roman"/>
                <w:b/>
                <w:bCs/>
                <w:sz w:val="12"/>
                <w:szCs w:val="12"/>
              </w:rPr>
              <w:t>MEDIA</w:t>
            </w:r>
          </w:p>
        </w:tc>
      </w:tr>
      <w:tr>
        <w:trPr>
          <w:trHeight w:val="315" w:hRule="atLeast"/>
        </w:trPr>
        <w:tc>
          <w:tcPr>
            <w:tcW w:w="846"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AV. Nava</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78.2</w:t>
            </w:r>
          </w:p>
        </w:tc>
        <w:tc>
          <w:tcPr>
            <w:tcW w:w="29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73.8</w:t>
            </w:r>
          </w:p>
        </w:tc>
        <w:tc>
          <w:tcPr>
            <w:tcW w:w="3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75.6</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73.8</w:t>
            </w:r>
          </w:p>
        </w:tc>
        <w:tc>
          <w:tcPr>
            <w:tcW w:w="2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75.2</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68.7</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72.4</w:t>
            </w:r>
          </w:p>
        </w:tc>
        <w:tc>
          <w:tcPr>
            <w:tcW w:w="2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79.1</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73.7</w:t>
            </w:r>
          </w:p>
        </w:tc>
        <w:tc>
          <w:tcPr>
            <w:tcW w:w="414"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74.35</w:t>
            </w:r>
          </w:p>
        </w:tc>
      </w:tr>
      <w:tr>
        <w:trPr>
          <w:trHeight w:val="315" w:hRule="atLeast"/>
        </w:trPr>
        <w:tc>
          <w:tcPr>
            <w:tcW w:w="846"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FRENTE A MERCADO</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w:t>
            </w:r>
          </w:p>
        </w:tc>
        <w:tc>
          <w:tcPr>
            <w:tcW w:w="29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67.6</w:t>
            </w:r>
          </w:p>
        </w:tc>
        <w:tc>
          <w:tcPr>
            <w:tcW w:w="3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65.8</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63.8</w:t>
            </w:r>
          </w:p>
        </w:tc>
        <w:tc>
          <w:tcPr>
            <w:tcW w:w="2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65.2</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66.9</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65.7</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63.1</w:t>
            </w:r>
          </w:p>
        </w:tc>
        <w:tc>
          <w:tcPr>
            <w:tcW w:w="2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68.6</w:t>
            </w:r>
          </w:p>
        </w:tc>
        <w:tc>
          <w:tcPr>
            <w:tcW w:w="414"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66.07</w:t>
            </w:r>
          </w:p>
        </w:tc>
      </w:tr>
      <w:tr>
        <w:trPr>
          <w:trHeight w:val="315" w:hRule="atLeast"/>
        </w:trPr>
        <w:tc>
          <w:tcPr>
            <w:tcW w:w="846"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ZONA DE COCINAS</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68.4</w:t>
            </w:r>
          </w:p>
        </w:tc>
        <w:tc>
          <w:tcPr>
            <w:tcW w:w="29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65.2</w:t>
            </w:r>
          </w:p>
        </w:tc>
        <w:tc>
          <w:tcPr>
            <w:tcW w:w="3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63.5</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64.2</w:t>
            </w:r>
          </w:p>
        </w:tc>
        <w:tc>
          <w:tcPr>
            <w:tcW w:w="2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67.8</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69.7</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61.5</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65.5</w:t>
            </w:r>
          </w:p>
        </w:tc>
        <w:tc>
          <w:tcPr>
            <w:tcW w:w="2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63.3</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65.3</w:t>
            </w:r>
          </w:p>
        </w:tc>
        <w:tc>
          <w:tcPr>
            <w:tcW w:w="414"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65.44</w:t>
            </w:r>
          </w:p>
        </w:tc>
      </w:tr>
      <w:tr>
        <w:trPr>
          <w:trHeight w:val="495" w:hRule="atLeast"/>
        </w:trPr>
        <w:tc>
          <w:tcPr>
            <w:tcW w:w="846" w:type="dxa"/>
            <w:tcBorders>
              <w:left w:val="single" w:sz="18" w:space="0" w:color="000000"/>
              <w:bottom w:val="single" w:sz="4"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PARTE LATERAL DERECHA DEL MERCADO</w:t>
            </w:r>
          </w:p>
        </w:tc>
        <w:tc>
          <w:tcPr>
            <w:tcW w:w="3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63.5</w:t>
            </w:r>
          </w:p>
        </w:tc>
        <w:tc>
          <w:tcPr>
            <w:tcW w:w="29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65.5</w:t>
            </w:r>
          </w:p>
        </w:tc>
        <w:tc>
          <w:tcPr>
            <w:tcW w:w="3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67.4</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61</w:t>
            </w:r>
          </w:p>
        </w:tc>
        <w:tc>
          <w:tcPr>
            <w:tcW w:w="29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65.2</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67.3</w:t>
            </w:r>
          </w:p>
        </w:tc>
        <w:tc>
          <w:tcPr>
            <w:tcW w:w="29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64.9</w:t>
            </w:r>
          </w:p>
        </w:tc>
        <w:tc>
          <w:tcPr>
            <w:tcW w:w="23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62</w:t>
            </w:r>
          </w:p>
        </w:tc>
        <w:tc>
          <w:tcPr>
            <w:tcW w:w="2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66.5</w:t>
            </w:r>
          </w:p>
        </w:tc>
        <w:tc>
          <w:tcPr>
            <w:tcW w:w="414" w:type="dxa"/>
            <w:tcBorders>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64.73</w:t>
            </w:r>
          </w:p>
        </w:tc>
      </w:tr>
      <w:tr>
        <w:trPr>
          <w:trHeight w:val="495" w:hRule="atLeast"/>
        </w:trPr>
        <w:tc>
          <w:tcPr>
            <w:tcW w:w="846" w:type="dxa"/>
            <w:tcBorders>
              <w:left w:val="single" w:sz="18" w:space="0" w:color="000000"/>
              <w:bottom w:val="single" w:sz="18" w:space="0" w:color="000000"/>
              <w:right w:val="single" w:sz="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PARTE LATERAL IZQUIERDA DEL MERCADO</w:t>
            </w:r>
          </w:p>
        </w:tc>
        <w:tc>
          <w:tcPr>
            <w:tcW w:w="343"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63.1</w:t>
            </w:r>
          </w:p>
        </w:tc>
        <w:tc>
          <w:tcPr>
            <w:tcW w:w="290"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67.1</w:t>
            </w:r>
          </w:p>
        </w:tc>
        <w:tc>
          <w:tcPr>
            <w:tcW w:w="345"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64.6</w:t>
            </w:r>
          </w:p>
        </w:tc>
        <w:tc>
          <w:tcPr>
            <w:tcW w:w="296"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67.7</w:t>
            </w:r>
          </w:p>
        </w:tc>
        <w:tc>
          <w:tcPr>
            <w:tcW w:w="297"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77.4</w:t>
            </w:r>
          </w:p>
        </w:tc>
        <w:tc>
          <w:tcPr>
            <w:tcW w:w="295"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w:t>
            </w:r>
          </w:p>
        </w:tc>
        <w:tc>
          <w:tcPr>
            <w:tcW w:w="296"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66.8</w:t>
            </w:r>
          </w:p>
        </w:tc>
        <w:tc>
          <w:tcPr>
            <w:tcW w:w="296"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64.5</w:t>
            </w:r>
          </w:p>
        </w:tc>
        <w:tc>
          <w:tcPr>
            <w:tcW w:w="238"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66.6</w:t>
            </w:r>
          </w:p>
        </w:tc>
        <w:tc>
          <w:tcPr>
            <w:tcW w:w="295" w:type="dxa"/>
            <w:tcBorders>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w:t>
            </w:r>
          </w:p>
        </w:tc>
        <w:tc>
          <w:tcPr>
            <w:tcW w:w="414" w:type="dxa"/>
            <w:tcBorders>
              <w:bottom w:val="single" w:sz="18"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67.28</w:t>
            </w:r>
          </w:p>
        </w:tc>
      </w:tr>
    </w:tbl>
    <w:p>
      <w:pPr>
        <w:pStyle w:val="Normal"/>
        <w:spacing w:lineRule="auto" w:line="240" w:before="0" w:after="0"/>
        <w:ind w:left="0" w:right="0" w:hanging="0"/>
        <w:jc w:val="center"/>
        <w:rPr>
          <w:rFonts w:cs="Times New Roman"/>
        </w:rPr>
      </w:pPr>
      <w:r>
        <w:rPr>
          <w:rFonts w:cs="Times New Roman"/>
        </w:rPr>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b/>
          <w:b/>
          <w:bCs/>
          <w:sz w:val="20"/>
          <w:szCs w:val="20"/>
        </w:rPr>
      </w:pPr>
      <w:r>
        <w:rPr/>
      </w:r>
    </w:p>
    <w:p>
      <w:pPr>
        <w:pStyle w:val="Normal"/>
        <w:spacing w:lineRule="auto" w:line="240" w:before="0" w:after="0"/>
        <w:ind w:left="0" w:right="0" w:hanging="0"/>
        <w:jc w:val="center"/>
        <w:rPr>
          <w:rFonts w:ascii="Times New Roman" w:hAnsi="Times New Roman"/>
          <w:b/>
          <w:b/>
          <w:bCs/>
          <w:sz w:val="20"/>
          <w:szCs w:val="20"/>
        </w:rPr>
      </w:pPr>
      <w:r>
        <w:rPr/>
      </w:r>
    </w:p>
    <w:p>
      <w:pPr>
        <w:pStyle w:val="Normal"/>
        <w:spacing w:lineRule="auto" w:line="240" w:before="0" w:after="0"/>
        <w:ind w:left="0" w:right="0" w:hanging="0"/>
        <w:jc w:val="center"/>
        <w:rPr>
          <w:rFonts w:ascii="Times New Roman" w:hAnsi="Times New Roman"/>
          <w:b/>
          <w:b/>
          <w:bCs/>
          <w:sz w:val="20"/>
          <w:szCs w:val="20"/>
        </w:rPr>
      </w:pPr>
      <w:r>
        <w:rPr>
          <w:rFonts w:cs="Times New Roman"/>
          <w:b/>
          <w:bCs/>
          <w:sz w:val="20"/>
          <w:szCs w:val="20"/>
        </w:rPr>
        <w:t xml:space="preserve">Tabla </w:t>
      </w:r>
      <w:r>
        <w:rPr>
          <w:rFonts w:cs="Times New Roman"/>
          <w:b/>
          <w:bCs/>
          <w:sz w:val="20"/>
          <w:szCs w:val="20"/>
        </w:rPr>
        <w:t>10</w:t>
      </w:r>
      <w:r>
        <w:rPr>
          <w:rFonts w:cs="Times New Roman"/>
          <w:b/>
          <w:bCs/>
          <w:sz w:val="20"/>
          <w:szCs w:val="20"/>
        </w:rPr>
        <w:t>. Promedios y límites de cada área. Fuente: Elaboración propia.</w:t>
      </w:r>
    </w:p>
    <w:tbl>
      <w:tblPr>
        <w:tblW w:w="453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207"/>
        <w:gridCol w:w="650"/>
        <w:gridCol w:w="600"/>
        <w:gridCol w:w="512"/>
        <w:gridCol w:w="566"/>
      </w:tblGrid>
      <w:tr>
        <w:trPr>
          <w:trHeight w:val="235" w:hRule="atLeast"/>
        </w:trPr>
        <w:tc>
          <w:tcPr>
            <w:tcW w:w="2207" w:type="dxa"/>
            <w:tcBorders>
              <w:top w:val="single" w:sz="18" w:space="0" w:color="000000"/>
              <w:left w:val="single" w:sz="18" w:space="0" w:color="000000"/>
              <w:bottom w:val="single" w:sz="4" w:space="0" w:color="000000"/>
              <w:right w:val="single" w:sz="4"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Muestras</w:t>
            </w:r>
          </w:p>
        </w:tc>
        <w:tc>
          <w:tcPr>
            <w:tcW w:w="650" w:type="dxa"/>
            <w:tcBorders>
              <w:top w:val="single" w:sz="18" w:space="0" w:color="000000"/>
              <w:left w:val="single" w:sz="4" w:space="0" w:color="000000"/>
              <w:bottom w:val="single" w:sz="4" w:space="0" w:color="000000"/>
              <w:right w:val="single" w:sz="4"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MEDIA</w:t>
            </w:r>
          </w:p>
        </w:tc>
        <w:tc>
          <w:tcPr>
            <w:tcW w:w="600" w:type="dxa"/>
            <w:tcBorders>
              <w:top w:val="single" w:sz="18" w:space="0" w:color="000000"/>
              <w:left w:val="single" w:sz="4" w:space="0" w:color="000000"/>
              <w:bottom w:val="single" w:sz="4" w:space="0" w:color="000000"/>
              <w:right w:val="single" w:sz="4"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auto"/>
                <w:sz w:val="12"/>
                <w:szCs w:val="12"/>
              </w:rPr>
            </w:pPr>
            <w:r>
              <w:rPr>
                <w:rFonts w:eastAsia="Times New Roman" w:cs="Times New Roman"/>
                <w:color w:val="auto"/>
                <w:sz w:val="12"/>
                <w:szCs w:val="12"/>
              </w:rPr>
              <w:t>LCS</w:t>
            </w:r>
          </w:p>
        </w:tc>
        <w:tc>
          <w:tcPr>
            <w:tcW w:w="512" w:type="dxa"/>
            <w:tcBorders>
              <w:top w:val="single" w:sz="18" w:space="0" w:color="000000"/>
              <w:left w:val="single" w:sz="4" w:space="0" w:color="000000"/>
              <w:bottom w:val="single" w:sz="4" w:space="0" w:color="000000"/>
              <w:right w:val="single" w:sz="4"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auto"/>
                <w:sz w:val="12"/>
                <w:szCs w:val="12"/>
              </w:rPr>
            </w:pPr>
            <w:r>
              <w:rPr>
                <w:rFonts w:eastAsia="Times New Roman" w:cs="Times New Roman"/>
                <w:color w:val="auto"/>
                <w:sz w:val="12"/>
                <w:szCs w:val="12"/>
              </w:rPr>
              <w:t>LC</w:t>
            </w:r>
          </w:p>
        </w:tc>
        <w:tc>
          <w:tcPr>
            <w:tcW w:w="566" w:type="dxa"/>
            <w:tcBorders>
              <w:top w:val="single" w:sz="18" w:space="0" w:color="000000"/>
              <w:left w:val="single" w:sz="4" w:space="0" w:color="000000"/>
              <w:bottom w:val="single" w:sz="4" w:space="0" w:color="000000"/>
              <w:right w:val="single" w:sz="18" w:space="0" w:color="000000"/>
            </w:tcBorders>
            <w:shd w:color="000000" w:fill="E7E6E6"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color w:val="auto"/>
                <w:sz w:val="12"/>
                <w:szCs w:val="12"/>
              </w:rPr>
            </w:pPr>
            <w:r>
              <w:rPr>
                <w:rFonts w:eastAsia="Times New Roman" w:cs="Times New Roman"/>
                <w:color w:val="auto"/>
                <w:sz w:val="12"/>
                <w:szCs w:val="12"/>
              </w:rPr>
              <w:t>LCI</w:t>
            </w:r>
          </w:p>
        </w:tc>
      </w:tr>
      <w:tr>
        <w:trPr>
          <w:trHeight w:val="235" w:hRule="atLeast"/>
        </w:trPr>
        <w:tc>
          <w:tcPr>
            <w:tcW w:w="2207"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AV. Nava</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74.35</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95.00</w:t>
            </w:r>
          </w:p>
        </w:tc>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w:t>
            </w:r>
          </w:p>
        </w:tc>
        <w:tc>
          <w:tcPr>
            <w:tcW w:w="566"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70.00</w:t>
            </w:r>
          </w:p>
        </w:tc>
      </w:tr>
      <w:tr>
        <w:trPr>
          <w:trHeight w:val="235" w:hRule="atLeast"/>
        </w:trPr>
        <w:tc>
          <w:tcPr>
            <w:tcW w:w="2207"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FRENTE A MERCADO</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66.07</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95.00</w:t>
            </w:r>
          </w:p>
        </w:tc>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w:t>
            </w:r>
          </w:p>
        </w:tc>
        <w:tc>
          <w:tcPr>
            <w:tcW w:w="566"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70.00</w:t>
            </w:r>
          </w:p>
        </w:tc>
      </w:tr>
      <w:tr>
        <w:trPr>
          <w:trHeight w:val="235" w:hRule="atLeast"/>
        </w:trPr>
        <w:tc>
          <w:tcPr>
            <w:tcW w:w="2207"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ZONA DE COCINAS</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65.44</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95.00</w:t>
            </w:r>
          </w:p>
        </w:tc>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w:t>
            </w:r>
          </w:p>
        </w:tc>
        <w:tc>
          <w:tcPr>
            <w:tcW w:w="566"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70.00</w:t>
            </w:r>
          </w:p>
        </w:tc>
      </w:tr>
      <w:tr>
        <w:trPr>
          <w:trHeight w:val="436" w:hRule="atLeast"/>
        </w:trPr>
        <w:tc>
          <w:tcPr>
            <w:tcW w:w="2207" w:type="dxa"/>
            <w:tcBorders>
              <w:top w:val="single" w:sz="4" w:space="0" w:color="000000"/>
              <w:left w:val="single" w:sz="18"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PARTE LATERAL DERECHA DEL MERCADO</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64.73</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95.00</w:t>
            </w:r>
          </w:p>
        </w:tc>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w:t>
            </w:r>
          </w:p>
        </w:tc>
        <w:tc>
          <w:tcPr>
            <w:tcW w:w="566" w:type="dxa"/>
            <w:tcBorders>
              <w:top w:val="single" w:sz="4" w:space="0" w:color="000000"/>
              <w:left w:val="single" w:sz="4" w:space="0" w:color="000000"/>
              <w:bottom w:val="single" w:sz="4"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70.00</w:t>
            </w:r>
          </w:p>
        </w:tc>
      </w:tr>
      <w:tr>
        <w:trPr>
          <w:trHeight w:val="389" w:hRule="atLeast"/>
        </w:trPr>
        <w:tc>
          <w:tcPr>
            <w:tcW w:w="2207" w:type="dxa"/>
            <w:tcBorders>
              <w:top w:val="single" w:sz="4" w:space="0" w:color="000000"/>
              <w:left w:val="single" w:sz="18"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PARTE LATERAL IZQUIERDA DEL MERCADO</w:t>
            </w:r>
          </w:p>
        </w:tc>
        <w:tc>
          <w:tcPr>
            <w:tcW w:w="650"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67.28</w:t>
            </w:r>
          </w:p>
        </w:tc>
        <w:tc>
          <w:tcPr>
            <w:tcW w:w="600"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95.00</w:t>
            </w:r>
          </w:p>
        </w:tc>
        <w:tc>
          <w:tcPr>
            <w:tcW w:w="512" w:type="dxa"/>
            <w:tcBorders>
              <w:top w:val="single" w:sz="4" w:space="0" w:color="000000"/>
              <w:left w:val="single" w:sz="4" w:space="0" w:color="000000"/>
              <w:bottom w:val="single" w:sz="18" w:space="0" w:color="000000"/>
              <w:right w:val="single" w:sz="4"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85</w:t>
            </w:r>
          </w:p>
        </w:tc>
        <w:tc>
          <w:tcPr>
            <w:tcW w:w="566" w:type="dxa"/>
            <w:tcBorders>
              <w:top w:val="single" w:sz="4" w:space="0" w:color="000000"/>
              <w:left w:val="single" w:sz="4" w:space="0" w:color="000000"/>
              <w:bottom w:val="single" w:sz="18" w:space="0" w:color="000000"/>
              <w:right w:val="single" w:sz="18" w:space="0" w:color="000000"/>
            </w:tcBorders>
            <w:shd w:color="auto" w:fill="auto" w:val="clear"/>
            <w:vAlign w:val="center"/>
          </w:tcPr>
          <w:p>
            <w:pPr>
              <w:pStyle w:val="Normal"/>
              <w:widowControl w:val="false"/>
              <w:spacing w:lineRule="auto" w:line="240" w:before="0" w:after="0"/>
              <w:ind w:left="0" w:right="0" w:hanging="0"/>
              <w:jc w:val="center"/>
              <w:rPr>
                <w:rFonts w:ascii="Times New Roman" w:hAnsi="Times New Roman" w:eastAsia="Times New Roman" w:cs="Times New Roman"/>
                <w:sz w:val="12"/>
                <w:szCs w:val="12"/>
              </w:rPr>
            </w:pPr>
            <w:r>
              <w:rPr>
                <w:rFonts w:eastAsia="Times New Roman" w:cs="Times New Roman"/>
                <w:sz w:val="12"/>
                <w:szCs w:val="12"/>
              </w:rPr>
              <w:t>70.00</w:t>
            </w:r>
          </w:p>
        </w:tc>
      </w:tr>
    </w:tbl>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jc w:val="center"/>
        <w:rPr>
          <w:rFonts w:ascii="Times New Roman" w:hAnsi="Times New Roman"/>
          <w:i/>
          <w:i/>
          <w:iCs/>
          <w:sz w:val="20"/>
          <w:szCs w:val="20"/>
        </w:rPr>
      </w:pPr>
      <w:r/>
      <w:r>
        <w:rPr>
          <w:rFonts w:cs="Times New Roman"/>
          <w:i/>
          <w:iCs/>
          <w:sz w:val="20"/>
          <w:szCs w:val="20"/>
        </w:rPr>
        <w:drawing>
          <wp:anchor behindDoc="0" distT="0" distB="0" distL="0" distR="0" simplePos="0" locked="0" layoutInCell="0" allowOverlap="1" relativeHeight="8">
            <wp:simplePos x="0" y="0"/>
            <wp:positionH relativeFrom="column">
              <wp:posOffset>128270</wp:posOffset>
            </wp:positionH>
            <wp:positionV relativeFrom="paragraph">
              <wp:posOffset>14605</wp:posOffset>
            </wp:positionV>
            <wp:extent cx="2844165" cy="2266315"/>
            <wp:effectExtent l="0" t="0" r="0" b="0"/>
            <wp:wrapTopAndBottom/>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t>F</w:t>
      </w:r>
      <w:r>
        <w:rPr>
          <w:rFonts w:cs="Times New Roman"/>
          <w:i/>
          <w:iCs/>
          <w:sz w:val="20"/>
          <w:szCs w:val="20"/>
        </w:rPr>
        <w:t xml:space="preserve">igura </w:t>
      </w:r>
      <w:r>
        <w:rPr>
          <w:rFonts w:cs="Times New Roman"/>
          <w:i/>
          <w:iCs/>
          <w:sz w:val="20"/>
          <w:szCs w:val="20"/>
        </w:rPr>
        <w:t>8</w:t>
      </w:r>
      <w:r>
        <w:rPr>
          <w:rFonts w:cs="Times New Roman"/>
          <w:i/>
          <w:iCs/>
          <w:sz w:val="20"/>
          <w:szCs w:val="20"/>
        </w:rPr>
        <w:t>. Gráfico X mercado de San Juan Ixcaquixtla. Fuente: Elaboración propia.</w:t>
      </w:r>
      <w:r>
        <w:rPr>
          <w:i/>
          <w:iCs/>
          <w:sz w:val="20"/>
          <w:szCs w:val="20"/>
          <w14:ligatures w14:val="standardContextual"/>
        </w:rPr>
        <w:t xml:space="preserve"> </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Se observa que los datos obtenidos en un principio comenzaron un poco elevados, pero sin que sobrepasara el límite permitido de 85 decibeles. Posteriormente tuvieron un deceso a partir del área frontal del mercado y decayeron bastante, aunque al final hubo un pequeño incremento. Aunque si ser demasiado, en general los niveles de ruido del mercado de San Juan Ixcaquixtla no son un riesgo para la salud de los trabajadores y transeúntes. Fue más fácil en este lugar identificar las áreas para el estudio debido a que los puestos y espacios por donde transita la gente están alrededor del mercado y por dentro es muy amplio tanto a lo ancho como a lo alto y eso beneficia mucho para que el sonido se libere sin tener que afectar tanto.</w:t>
      </w:r>
    </w:p>
    <w:p>
      <w:pPr>
        <w:pStyle w:val="Normal"/>
        <w:spacing w:lineRule="auto" w:line="240" w:before="0" w:after="0"/>
        <w:ind w:left="0" w:right="0" w:hanging="0"/>
        <w:rPr>
          <w:rFonts w:ascii="Times New Roman" w:hAnsi="Times New Roman"/>
          <w:sz w:val="20"/>
          <w:szCs w:val="20"/>
          <w14:ligatures w14:val="standardContextual"/>
        </w:rPr>
      </w:pPr>
      <w:r>
        <w:rPr>
          <w:sz w:val="20"/>
          <w:szCs w:val="20"/>
          <w14:ligatures w14:val="standardContextual"/>
        </w:rPr>
      </w:r>
    </w:p>
    <w:p>
      <w:pPr>
        <w:pStyle w:val="Normal"/>
        <w:spacing w:lineRule="auto" w:line="240" w:before="0" w:after="0"/>
        <w:ind w:left="0" w:right="0" w:hanging="0"/>
        <w:rPr>
          <w:rFonts w:ascii="Times New Roman" w:hAnsi="Times New Roman"/>
          <w:sz w:val="20"/>
          <w:szCs w:val="20"/>
        </w:rPr>
      </w:pPr>
      <w:r>
        <w:rPr/>
        <w:drawing>
          <wp:inline distT="0" distB="0" distL="0" distR="0">
            <wp:extent cx="2779395" cy="970915"/>
            <wp:effectExtent l="0" t="0" r="0" b="0"/>
            <wp:docPr id="10"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 descr=""/>
                    <pic:cNvPicPr>
                      <a:picLocks noChangeAspect="1" noChangeArrowheads="1"/>
                    </pic:cNvPicPr>
                  </pic:nvPicPr>
                  <pic:blipFill>
                    <a:blip r:embed="rId15"/>
                    <a:srcRect l="1299" t="1722" r="1227" b="47224"/>
                    <a:stretch>
                      <a:fillRect/>
                    </a:stretch>
                  </pic:blipFill>
                  <pic:spPr bwMode="auto">
                    <a:xfrm>
                      <a:off x="0" y="0"/>
                      <a:ext cx="2779395" cy="97091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i/>
          <w:i/>
          <w:iCs/>
          <w:sz w:val="20"/>
          <w:szCs w:val="20"/>
        </w:rPr>
      </w:pPr>
      <w:r>
        <w:rPr>
          <w:rFonts w:cs="Times New Roman"/>
          <w:i/>
          <w:iCs/>
          <w:sz w:val="20"/>
          <w:szCs w:val="20"/>
        </w:rPr>
        <w:t xml:space="preserve">Figura </w:t>
      </w:r>
      <w:r>
        <w:rPr>
          <w:rFonts w:cs="Times New Roman"/>
          <w:i/>
          <w:iCs/>
          <w:sz w:val="20"/>
          <w:szCs w:val="20"/>
        </w:rPr>
        <w:t>9</w:t>
      </w:r>
      <w:r>
        <w:rPr>
          <w:rFonts w:cs="Times New Roman"/>
          <w:i/>
          <w:iCs/>
          <w:sz w:val="20"/>
          <w:szCs w:val="20"/>
        </w:rPr>
        <w:t>. Grafica Xbarra-R mercado San Juan Ixcaquixtla. Fuente: Elaboración propia en Minitab Statistical Software.</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sz w:val="20"/>
          <w:szCs w:val="20"/>
        </w:rPr>
        <w:t>Durante el tiempo que se tomó el muestreo de los datos se notó que la mayoría de los puestos estaban por los alrededores del edificio principal lo cual hace posible que el sonido se libere más rápido que en otros mercados. Esto provoco que las muestras obtenidas fueran menores a los 70 decibelios, pero con cierta variabilidad. En la Figura 7, en la gráfica se pude ver que los datos no están tan dispersos y que el promedio tampoco rebasa los 70 decibelios. No hay riesgo a la salud auditiva en este mercado.</w:t>
      </w:r>
    </w:p>
    <w:p>
      <w:pPr>
        <w:pStyle w:val="Normal"/>
        <w:spacing w:lineRule="auto" w:line="240" w:before="0" w:after="0"/>
        <w:ind w:left="0" w:right="0" w:hanging="0"/>
        <w:rPr>
          <w:rFonts w:ascii="Times New Roman" w:hAnsi="Times New Roman"/>
          <w:b/>
          <w:b/>
          <w:bCs/>
          <w:sz w:val="20"/>
          <w:szCs w:val="20"/>
        </w:rPr>
      </w:pPr>
      <w:r>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IV. DISCUSIÓN</w:t>
      </w:r>
    </w:p>
    <w:p>
      <w:pPr>
        <w:pStyle w:val="Normal"/>
        <w:spacing w:lineRule="auto" w:line="240" w:before="0" w:after="0"/>
        <w:ind w:left="0" w:right="0" w:hanging="0"/>
        <w:rPr>
          <w:rFonts w:ascii="Times New Roman" w:hAnsi="Times New Roman"/>
          <w:sz w:val="20"/>
          <w:szCs w:val="20"/>
        </w:rPr>
      </w:pPr>
      <w:r>
        <w:rPr>
          <w:rFonts w:cs="Times New Roman"/>
          <w:sz w:val="20"/>
          <w:szCs w:val="20"/>
        </w:rPr>
        <w:t>El tema de contaminación por ruido ambiental no es considerado un tema de obligación/prioridad por parte de las autoridades, únicamente consideran aquel ruido generado por fuentes fijas y el ruido en los lugares de trabajo. En algunos trabajos los autores revelan resultados semejantes al presente estudio; tal es el caso realizado en la ciudad de Medellín, Colombia, donde se identificó que, de los 16 puntos evaluados, 15 (94%) superan los 65 dBA (decibelios) (Ortega B., 2005).</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Así mismo los resultados expuestos por Medrano &amp; Antezana (2006) se hace mención que, en Bolivia, en la ciudad de Cochabamba, registraron, evaluaron y determinaron que los niveles de ruido a los que está expuesta la población, mediante la presentación de un mapa de ruido, define que al menos el 75% de la ciudad presenta niveles de contaminación acústica por encima de los 68 dBA durante el día (Huáscar Medrano Hervás, 2006).</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Tomando en cuenta los resultados de las prácticas anteriores y comparándolos con resultados obtenidos, se observa que hay una similitud en ellos, el ruido va desde los 65 hasta los 75 decibelios, aunque en este caso las zonas de estudio fueron menos que los presentados en los párrafos anteriores ya que se establecen 4 áreas de estudio. Los trabajos de estudio de Medellín y los resultados de Medrano &amp; Antezana en relación con la investigación de los mercados de la Mixteca baja de Puebla presentan muchas similitudes en sus resultados.</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V. CONCLUSIONES</w:t>
      </w:r>
    </w:p>
    <w:p>
      <w:pPr>
        <w:pStyle w:val="Normal"/>
        <w:spacing w:lineRule="auto" w:line="240" w:before="0" w:after="0"/>
        <w:ind w:left="0" w:right="0" w:hanging="0"/>
        <w:rPr>
          <w:rFonts w:ascii="Times New Roman" w:hAnsi="Times New Roman"/>
          <w:sz w:val="20"/>
          <w:szCs w:val="20"/>
        </w:rPr>
      </w:pPr>
      <w:r>
        <w:rPr>
          <w:rFonts w:cs="Times New Roman"/>
          <w:sz w:val="20"/>
          <w:szCs w:val="20"/>
        </w:rPr>
        <w:t>De acuerdo a un estudio realizado por Juan Negreira, Doctor Ingeniero Acústico. Se demostró que los niveles de ruido dependían fuertemente de la altura de los techos, del número de pisos del establecimiento, del tipo de galerías y pasillos, así como de los coeficientes de absorción acústica de los revestimientos. Los valores de TR medidos oscilaban entre 1.7 y 3.2 segundos, y los del nivel de ruido desde 67 dB a 70 dB.</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Tomando en cuenta los datos anteriores y la hipótesis planteada, se concluye que:</w:t>
      </w:r>
    </w:p>
    <w:p>
      <w:pPr>
        <w:pStyle w:val="Normal"/>
        <w:spacing w:lineRule="auto" w:line="240" w:before="0" w:after="0"/>
        <w:ind w:left="0" w:right="0" w:hanging="0"/>
        <w:rPr>
          <w:rFonts w:ascii="Times New Roman" w:hAnsi="Times New Roman"/>
          <w:sz w:val="20"/>
          <w:szCs w:val="20"/>
        </w:rPr>
      </w:pPr>
      <w:r>
        <w:rPr>
          <w:rFonts w:cs="Times New Roman"/>
          <w:sz w:val="20"/>
          <w:szCs w:val="20"/>
        </w:rPr>
        <w:t xml:space="preserve">El nivel de ruido que se presenta en los distintos centros de comercio (Plaza Moralillo, Plaza Molcaxac, Mercado Municipal de Tepexi de Rodríguez y Mercado Municipal de San Juan Ixcaquixtla) en general no excede los decibelios recomendados por la NOM 011 de la STPS. </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En cuanto a la pregunta de investigación:</w:t>
      </w:r>
    </w:p>
    <w:p>
      <w:pPr>
        <w:pStyle w:val="Normal"/>
        <w:spacing w:lineRule="auto" w:line="240" w:before="0" w:after="0"/>
        <w:ind w:left="0" w:right="0" w:hanging="0"/>
        <w:rPr>
          <w:rFonts w:ascii="Times New Roman" w:hAnsi="Times New Roman"/>
          <w:sz w:val="20"/>
          <w:szCs w:val="20"/>
        </w:rPr>
      </w:pPr>
      <w:r>
        <w:rPr>
          <w:rFonts w:cs="Times New Roman"/>
          <w:sz w:val="20"/>
          <w:szCs w:val="20"/>
        </w:rPr>
        <w:t>¿Dentro de las zonas comerciales de la Mixteca Baja en Puebla los niveles de ruido se encuentran dentro de los decibelios (dB) soportados por el oído humano?</w:t>
      </w:r>
    </w:p>
    <w:p>
      <w:pPr>
        <w:pStyle w:val="Normal"/>
        <w:spacing w:lineRule="auto" w:line="240" w:before="0" w:after="0"/>
        <w:ind w:left="0" w:right="0" w:hanging="0"/>
        <w:rPr>
          <w:rFonts w:ascii="Times New Roman" w:hAnsi="Times New Roman"/>
          <w:sz w:val="20"/>
          <w:szCs w:val="20"/>
        </w:rPr>
      </w:pPr>
      <w:r>
        <w:rPr>
          <w:rFonts w:cs="Times New Roman"/>
          <w:sz w:val="20"/>
          <w:szCs w:val="20"/>
        </w:rPr>
        <w:t>Mediante el análisis de las distintas zonas comerciales y con base en los datos recabados, la percepción del ruido al medio día siendo esta la hora más transcurrida y con mayor movimiento peatonal los niveles sonoros están dentro de los parámetros permitidos.</w:t>
      </w:r>
    </w:p>
    <w:p>
      <w:pPr>
        <w:pStyle w:val="Normal"/>
        <w:spacing w:lineRule="auto" w:line="240" w:before="0" w:after="0"/>
        <w:ind w:left="0" w:right="0" w:hanging="0"/>
        <w:rPr>
          <w:rFonts w:ascii="Times New Roman" w:hAnsi="Times New Roman"/>
          <w:sz w:val="20"/>
          <w:szCs w:val="20"/>
        </w:rPr>
      </w:pPr>
      <w:r>
        <w:rPr>
          <w:rFonts w:cs="Times New Roman"/>
          <w:sz w:val="20"/>
          <w:szCs w:val="20"/>
        </w:rPr>
        <w:t>Si, el ruido en las zonas comerciales de la Mixteca Baja en Puebla se encuentra dentro de los decibelios soportados por el oído humano. Aunque el nivel de ruido puede variar un poco, de acuerdo a la hora, fecha, en especial cuando son temporadas festivas, etc.</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 xml:space="preserve">En </w:t>
      </w:r>
      <w:bookmarkStart w:id="2" w:name="_Hlk129765509"/>
      <w:r>
        <w:rPr>
          <w:rFonts w:cs="Times New Roman"/>
          <w:sz w:val="20"/>
          <w:szCs w:val="20"/>
        </w:rPr>
        <w:t>Minitab Statistical Software</w:t>
      </w:r>
      <w:bookmarkEnd w:id="2"/>
      <w:r>
        <w:rPr>
          <w:rFonts w:cs="Times New Roman"/>
          <w:sz w:val="20"/>
          <w:szCs w:val="20"/>
        </w:rPr>
        <w:t>, arrojaron resultados bastante similares con una media de 74.350 decibelios.</w:t>
      </w:r>
    </w:p>
    <w:p>
      <w:pPr>
        <w:pStyle w:val="Normal"/>
        <w:spacing w:lineRule="auto" w:line="240" w:before="0" w:after="0"/>
        <w:ind w:left="0" w:right="0" w:hanging="0"/>
        <w:rPr>
          <w:rFonts w:ascii="Times New Roman" w:hAnsi="Times New Roman"/>
          <w:sz w:val="20"/>
          <w:szCs w:val="20"/>
        </w:rPr>
      </w:pPr>
      <w:r>
        <w:rPr>
          <w:rFonts w:cs="Times New Roman"/>
          <w:sz w:val="20"/>
          <w:szCs w:val="20"/>
        </w:rPr>
        <w:t>Primero se insertaron los 200 datos en una sola columna, posteriormente se hizo el análisis de los datos colocando el nivel de significancia del 95% y colocar el valor de nuestra hipótesis el cual es: más menos 85 y así se obtuvo:</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b/>
          <w:b/>
          <w:bCs/>
          <w:color w:val="000000"/>
        </w:rPr>
      </w:pPr>
      <w:r>
        <w:rPr>
          <w:rFonts w:cs="Segoe UI"/>
          <w:b/>
          <w:bCs/>
          <w:color w:val="000000"/>
          <w:sz w:val="20"/>
          <w:szCs w:val="20"/>
        </w:rPr>
        <w:t>Estadísticas descriptivas</w:t>
      </w:r>
    </w:p>
    <w:tbl>
      <w:tblPr>
        <w:tblW w:w="3872" w:type="dxa"/>
        <w:jc w:val="center"/>
        <w:tblInd w:w="0" w:type="dxa"/>
        <w:tblLayout w:type="fixed"/>
        <w:tblCellMar>
          <w:top w:w="15" w:type="dxa"/>
          <w:left w:w="30" w:type="dxa"/>
          <w:bottom w:w="0" w:type="dxa"/>
          <w:right w:w="30" w:type="dxa"/>
        </w:tblCellMar>
        <w:tblLook w:val="0000" w:noHBand="0" w:noVBand="0" w:firstColumn="0" w:lastRow="0" w:lastColumn="0" w:firstRow="0"/>
      </w:tblPr>
      <w:tblGrid>
        <w:gridCol w:w="299"/>
        <w:gridCol w:w="721"/>
        <w:gridCol w:w="991"/>
        <w:gridCol w:w="945"/>
        <w:gridCol w:w="916"/>
      </w:tblGrid>
      <w:tr>
        <w:trPr/>
        <w:tc>
          <w:tcPr>
            <w:tcW w:w="299" w:type="dxa"/>
            <w:tcBorders>
              <w:bottom w:val="single" w:sz="6" w:space="0" w:color="383838"/>
            </w:tcBorders>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N</w:t>
            </w:r>
          </w:p>
        </w:tc>
        <w:tc>
          <w:tcPr>
            <w:tcW w:w="721" w:type="dxa"/>
            <w:tcBorders>
              <w:bottom w:val="single" w:sz="6" w:space="0" w:color="383838"/>
            </w:tcBorders>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Media</w:t>
            </w:r>
          </w:p>
        </w:tc>
        <w:tc>
          <w:tcPr>
            <w:tcW w:w="991" w:type="dxa"/>
            <w:tcBorders>
              <w:bottom w:val="single" w:sz="6" w:space="0" w:color="383838"/>
            </w:tcBorders>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Desv.Est.</w:t>
            </w:r>
          </w:p>
        </w:tc>
        <w:tc>
          <w:tcPr>
            <w:tcW w:w="945" w:type="dxa"/>
            <w:tcBorders>
              <w:bottom w:val="single" w:sz="6" w:space="0" w:color="383838"/>
            </w:tcBorders>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Error</w:t>
              <w:br/>
              <w:t>estándar</w:t>
              <w:br/>
              <w:t>de la</w:t>
              <w:br/>
              <w:t>media</w:t>
            </w:r>
          </w:p>
        </w:tc>
        <w:tc>
          <w:tcPr>
            <w:tcW w:w="916" w:type="dxa"/>
            <w:tcBorders>
              <w:bottom w:val="single" w:sz="6" w:space="0" w:color="383838"/>
            </w:tcBorders>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Límite</w:t>
              <w:br/>
              <w:t>superior</w:t>
              <w:br/>
              <w:t>de 95%</w:t>
              <w:br/>
              <w:t>para μ</w:t>
            </w:r>
          </w:p>
        </w:tc>
      </w:tr>
      <w:tr>
        <w:trPr/>
        <w:tc>
          <w:tcPr>
            <w:tcW w:w="299" w:type="dxa"/>
            <w:tcBorders/>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10</w:t>
            </w:r>
          </w:p>
        </w:tc>
        <w:tc>
          <w:tcPr>
            <w:tcW w:w="721" w:type="dxa"/>
            <w:tcBorders/>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74.350</w:t>
            </w:r>
          </w:p>
        </w:tc>
        <w:tc>
          <w:tcPr>
            <w:tcW w:w="991" w:type="dxa"/>
            <w:tcBorders/>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2.949</w:t>
            </w:r>
          </w:p>
        </w:tc>
        <w:tc>
          <w:tcPr>
            <w:tcW w:w="945" w:type="dxa"/>
            <w:tcBorders/>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0.932</w:t>
            </w:r>
          </w:p>
        </w:tc>
        <w:tc>
          <w:tcPr>
            <w:tcW w:w="916" w:type="dxa"/>
            <w:tcBorders/>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76.059</w:t>
            </w:r>
          </w:p>
        </w:tc>
      </w:tr>
    </w:tbl>
    <w:p>
      <w:pPr>
        <w:pStyle w:val="Normal"/>
        <w:spacing w:lineRule="auto" w:line="240" w:before="0" w:after="0"/>
        <w:ind w:left="0" w:right="0" w:hanging="0"/>
        <w:rPr>
          <w:rFonts w:ascii="Times New Roman" w:hAnsi="Times New Roman"/>
          <w:sz w:val="20"/>
          <w:szCs w:val="20"/>
        </w:rPr>
      </w:pPr>
      <w:r>
        <w:rPr>
          <w:rFonts w:cs="system-ui"/>
          <w:i/>
          <w:iCs/>
          <w:sz w:val="20"/>
          <w:szCs w:val="20"/>
        </w:rPr>
        <w:t>μ: media de población de C1</w:t>
      </w:r>
    </w:p>
    <w:p>
      <w:pPr>
        <w:pStyle w:val="Normal"/>
        <w:spacing w:lineRule="auto" w:line="240" w:before="0" w:after="0"/>
        <w:ind w:left="0" w:right="0" w:hanging="0"/>
        <w:rPr>
          <w:color w:val="000000"/>
        </w:rPr>
      </w:pPr>
      <w:r>
        <w:rPr>
          <w:rFonts w:cs="Segoe UI"/>
          <w:b/>
          <w:bCs/>
          <w:color w:val="000000"/>
          <w:sz w:val="20"/>
          <w:szCs w:val="20"/>
        </w:rPr>
        <w:t>Prueba</w:t>
      </w:r>
    </w:p>
    <w:tbl>
      <w:tblPr>
        <w:tblW w:w="2222" w:type="dxa"/>
        <w:jc w:val="center"/>
        <w:tblInd w:w="0" w:type="dxa"/>
        <w:tblLayout w:type="fixed"/>
        <w:tblCellMar>
          <w:top w:w="15" w:type="dxa"/>
          <w:left w:w="30" w:type="dxa"/>
          <w:bottom w:w="0" w:type="dxa"/>
          <w:right w:w="30" w:type="dxa"/>
        </w:tblCellMar>
        <w:tblLook w:val="0000" w:noHBand="0" w:noVBand="0" w:firstColumn="0" w:lastRow="0" w:lastColumn="0" w:firstRow="0"/>
      </w:tblPr>
      <w:tblGrid>
        <w:gridCol w:w="824"/>
        <w:gridCol w:w="526"/>
        <w:gridCol w:w="300"/>
        <w:gridCol w:w="572"/>
      </w:tblGrid>
      <w:tr>
        <w:trPr/>
        <w:tc>
          <w:tcPr>
            <w:tcW w:w="1350" w:type="dxa"/>
            <w:gridSpan w:val="2"/>
            <w:tcBorders/>
            <w:shd w:color="auto" w:fill="FEFEFE" w:val="clear"/>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Hipótesis nula</w:t>
            </w:r>
          </w:p>
        </w:tc>
        <w:tc>
          <w:tcPr>
            <w:tcW w:w="872" w:type="dxa"/>
            <w:gridSpan w:val="2"/>
            <w:tcBorders/>
            <w:shd w:color="auto" w:fill="FEFEFE" w:val="clear"/>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H₀: μ = 85</w:t>
            </w:r>
          </w:p>
        </w:tc>
      </w:tr>
      <w:tr>
        <w:trPr/>
        <w:tc>
          <w:tcPr>
            <w:tcW w:w="1350" w:type="dxa"/>
            <w:gridSpan w:val="2"/>
            <w:tcBorders/>
            <w:shd w:color="auto" w:fill="FEFEFE" w:val="clear"/>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Hipótesis alterna</w:t>
            </w:r>
          </w:p>
        </w:tc>
        <w:tc>
          <w:tcPr>
            <w:tcW w:w="872" w:type="dxa"/>
            <w:gridSpan w:val="2"/>
            <w:tcBorders/>
            <w:shd w:color="auto" w:fill="FEFEFE" w:val="clear"/>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H₁: μ &lt; 85</w:t>
            </w:r>
          </w:p>
        </w:tc>
      </w:tr>
      <w:tr>
        <w:trPr/>
        <w:tc>
          <w:tcPr>
            <w:tcW w:w="824" w:type="dxa"/>
            <w:tcBorders>
              <w:bottom w:val="single" w:sz="6" w:space="0" w:color="383838"/>
            </w:tcBorders>
            <w:shd w:color="auto" w:fill="FEFEFE" w:val="clear"/>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Valor T</w:t>
            </w:r>
          </w:p>
        </w:tc>
        <w:tc>
          <w:tcPr>
            <w:tcW w:w="826" w:type="dxa"/>
            <w:gridSpan w:val="2"/>
            <w:tcBorders>
              <w:bottom w:val="single" w:sz="6" w:space="0" w:color="383838"/>
            </w:tcBorders>
            <w:shd w:color="auto" w:fill="FEFEFE" w:val="clear"/>
            <w:vAlign w:val="bottom"/>
          </w:tcPr>
          <w:p>
            <w:pPr>
              <w:pStyle w:val="Normal"/>
              <w:widowControl w:val="false"/>
              <w:spacing w:lineRule="auto" w:line="240" w:before="0" w:after="0"/>
              <w:ind w:left="0" w:right="0" w:hanging="0"/>
              <w:rPr>
                <w:rFonts w:ascii="Times New Roman" w:hAnsi="Times New Roman" w:cs="Segoe UI"/>
                <w:b/>
                <w:b/>
                <w:bCs/>
                <w:sz w:val="12"/>
                <w:szCs w:val="12"/>
              </w:rPr>
            </w:pPr>
            <w:r>
              <w:rPr>
                <w:rFonts w:cs="Segoe UI"/>
                <w:b/>
                <w:bCs/>
                <w:sz w:val="12"/>
                <w:szCs w:val="12"/>
              </w:rPr>
              <w:t>Valor p</w:t>
            </w:r>
          </w:p>
        </w:tc>
        <w:tc>
          <w:tcPr>
            <w:tcW w:w="572" w:type="dxa"/>
            <w:tcBorders/>
            <w:tcMar>
              <w:top w:w="0" w:type="dxa"/>
              <w:left w:w="60" w:type="dxa"/>
              <w:right w:w="60" w:type="dxa"/>
            </w:tcMar>
          </w:tcPr>
          <w:p>
            <w:pPr>
              <w:pStyle w:val="Normal"/>
              <w:widowControl w:val="false"/>
              <w:spacing w:lineRule="auto" w:line="240" w:before="0" w:after="0"/>
              <w:ind w:left="0" w:right="0" w:hanging="0"/>
              <w:rPr>
                <w:rFonts w:ascii="Times New Roman" w:hAnsi="Times New Roman"/>
                <w:sz w:val="12"/>
                <w:szCs w:val="12"/>
              </w:rPr>
            </w:pPr>
            <w:r>
              <w:rPr>
                <w:sz w:val="12"/>
                <w:szCs w:val="12"/>
              </w:rPr>
            </w:r>
          </w:p>
        </w:tc>
      </w:tr>
      <w:tr>
        <w:trPr/>
        <w:tc>
          <w:tcPr>
            <w:tcW w:w="824" w:type="dxa"/>
            <w:tcBorders/>
            <w:shd w:color="auto" w:fill="FEFEFE" w:val="clear"/>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-11.42</w:t>
            </w:r>
          </w:p>
        </w:tc>
        <w:tc>
          <w:tcPr>
            <w:tcW w:w="826" w:type="dxa"/>
            <w:gridSpan w:val="2"/>
            <w:tcBorders/>
            <w:shd w:color="auto" w:fill="FEFEFE" w:val="clear"/>
          </w:tcPr>
          <w:p>
            <w:pPr>
              <w:pStyle w:val="Normal"/>
              <w:widowControl w:val="false"/>
              <w:spacing w:lineRule="auto" w:line="240" w:before="0" w:after="0"/>
              <w:ind w:left="0" w:right="0" w:hanging="0"/>
              <w:rPr>
                <w:rFonts w:ascii="Times New Roman" w:hAnsi="Times New Roman" w:cs="system-ui"/>
                <w:sz w:val="12"/>
                <w:szCs w:val="12"/>
              </w:rPr>
            </w:pPr>
            <w:r>
              <w:rPr>
                <w:rFonts w:cs="system-ui"/>
                <w:sz w:val="12"/>
                <w:szCs w:val="12"/>
              </w:rPr>
              <w:t>0.000</w:t>
            </w:r>
          </w:p>
        </w:tc>
        <w:tc>
          <w:tcPr>
            <w:tcW w:w="572" w:type="dxa"/>
            <w:tcBorders/>
            <w:tcMar>
              <w:top w:w="0" w:type="dxa"/>
              <w:left w:w="60" w:type="dxa"/>
              <w:right w:w="60" w:type="dxa"/>
            </w:tcMar>
          </w:tcPr>
          <w:p>
            <w:pPr>
              <w:pStyle w:val="Normal"/>
              <w:widowControl w:val="false"/>
              <w:spacing w:lineRule="auto" w:line="240" w:before="0" w:after="0"/>
              <w:ind w:left="0" w:right="0" w:hanging="0"/>
              <w:rPr>
                <w:rFonts w:ascii="Times New Roman" w:hAnsi="Times New Roman"/>
                <w:sz w:val="12"/>
                <w:szCs w:val="12"/>
              </w:rPr>
            </w:pPr>
            <w:r>
              <w:rPr>
                <w:sz w:val="12"/>
                <w:szCs w:val="12"/>
              </w:rPr>
            </w:r>
          </w:p>
        </w:tc>
      </w:tr>
    </w:tbl>
    <w:p>
      <w:pPr>
        <w:pStyle w:val="Normal"/>
        <w:spacing w:lineRule="auto" w:line="240" w:before="0" w:after="0"/>
        <w:ind w:left="0" w:right="0" w:hanging="0"/>
        <w:rPr>
          <w:rFonts w:ascii="Times New Roman" w:hAnsi="Times New Roman" w:cs="system-ui"/>
          <w:sz w:val="20"/>
          <w:szCs w:val="20"/>
        </w:rPr>
      </w:pPr>
      <w:r>
        <w:rPr>
          <w:rFonts w:cs="system-ui"/>
          <w:sz w:val="20"/>
          <w:szCs w:val="20"/>
        </w:rPr>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drawing>
          <wp:anchor behindDoc="0" distT="0" distB="0" distL="114300" distR="114300" simplePos="0" locked="0" layoutInCell="0" allowOverlap="1" relativeHeight="16">
            <wp:simplePos x="0" y="0"/>
            <wp:positionH relativeFrom="column">
              <wp:posOffset>293370</wp:posOffset>
            </wp:positionH>
            <wp:positionV relativeFrom="paragraph">
              <wp:posOffset>333375</wp:posOffset>
            </wp:positionV>
            <wp:extent cx="2280920" cy="1520825"/>
            <wp:effectExtent l="0" t="0" r="0" b="0"/>
            <wp:wrapTopAndBottom/>
            <wp:docPr id="11" name="Imagen 452857036" descr="Gr&amp;#225;fica de distribuci&amp;#24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452857036" descr="Gr&amp;#225;fica de distribuci&amp;#243;n"/>
                    <pic:cNvPicPr>
                      <a:picLocks noChangeAspect="1" noChangeArrowheads="1"/>
                    </pic:cNvPicPr>
                  </pic:nvPicPr>
                  <pic:blipFill>
                    <a:blip r:embed="rId16"/>
                    <a:stretch>
                      <a:fillRect/>
                    </a:stretch>
                  </pic:blipFill>
                  <pic:spPr bwMode="auto">
                    <a:xfrm>
                      <a:off x="0" y="0"/>
                      <a:ext cx="2280920" cy="1520825"/>
                    </a:xfrm>
                    <a:prstGeom prst="rect">
                      <a:avLst/>
                    </a:prstGeom>
                  </pic:spPr>
                </pic:pic>
              </a:graphicData>
            </a:graphic>
          </wp:anchor>
        </w:drawing>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
    </w:p>
    <w:p>
      <w:pPr>
        <w:pStyle w:val="Normal"/>
        <w:spacing w:lineRule="auto" w:line="240" w:before="0" w:after="0"/>
        <w:ind w:left="0" w:right="0" w:hanging="0"/>
        <w:jc w:val="center"/>
        <w:rPr>
          <w:rFonts w:ascii="Times New Roman" w:hAnsi="Times New Roman"/>
          <w:i/>
          <w:i/>
          <w:iCs/>
          <w:sz w:val="20"/>
          <w:szCs w:val="20"/>
        </w:rPr>
      </w:pPr>
      <w:r>
        <w:rPr>
          <w:rFonts w:cs="Times New Roman"/>
          <w:i/>
          <w:iCs/>
          <w:sz w:val="20"/>
          <w:szCs w:val="20"/>
        </w:rPr>
        <w:t xml:space="preserve">Figura </w:t>
      </w:r>
      <w:r>
        <w:rPr>
          <w:rFonts w:cs="Times New Roman"/>
          <w:i/>
          <w:iCs/>
          <w:sz w:val="20"/>
          <w:szCs w:val="20"/>
        </w:rPr>
        <w:t>10</w:t>
      </w:r>
      <w:r>
        <w:rPr>
          <w:rFonts w:cs="Times New Roman"/>
          <w:i/>
          <w:iCs/>
          <w:sz w:val="20"/>
          <w:szCs w:val="20"/>
        </w:rPr>
        <w:t xml:space="preserve">. Gráfica de distribución. Fuente: </w:t>
      </w:r>
      <w:bookmarkStart w:id="3" w:name="_Hlk133661461"/>
      <w:r>
        <w:rPr>
          <w:rFonts w:cs="Times New Roman"/>
          <w:i/>
          <w:iCs/>
          <w:sz w:val="20"/>
          <w:szCs w:val="20"/>
        </w:rPr>
        <w:t>Elaboración propia en Minitab Statistical Software</w:t>
      </w:r>
      <w:bookmarkEnd w:id="3"/>
      <w:r>
        <w:rPr>
          <w:rFonts w:cs="Times New Roman"/>
          <w:i/>
          <w:iCs/>
          <w:sz w:val="20"/>
          <w:szCs w:val="20"/>
        </w:rPr>
        <w:t>.</w:t>
      </w:r>
    </w:p>
    <w:p>
      <w:pPr>
        <w:pStyle w:val="Normal"/>
        <w:spacing w:lineRule="auto" w:line="240" w:before="0" w:after="0"/>
        <w:ind w:left="0" w:right="0" w:hanging="0"/>
        <w:rPr>
          <w:rFonts w:cs="Times New Roman"/>
        </w:rPr>
      </w:pPr>
      <w:r>
        <w:rPr>
          <w:rFonts w:cs="Times New Roman"/>
        </w:rPr>
      </w:r>
    </w:p>
    <w:p>
      <w:pPr>
        <w:pStyle w:val="Normal"/>
        <w:spacing w:lineRule="auto" w:line="240" w:before="0" w:after="0"/>
        <w:ind w:left="0" w:right="0" w:hanging="0"/>
        <w:rPr>
          <w:rFonts w:ascii="Times New Roman" w:hAnsi="Times New Roman"/>
          <w:sz w:val="20"/>
          <w:szCs w:val="20"/>
        </w:rPr>
      </w:pPr>
      <w:r>
        <w:rPr>
          <w:rFonts w:cs="Times New Roman"/>
          <w:sz w:val="20"/>
          <w:szCs w:val="20"/>
        </w:rPr>
        <w:t>Entonces el valor p al ser 0.000, se acepta la hipótesis alternativa:</w:t>
      </w:r>
    </w:p>
    <w:p>
      <w:pPr>
        <w:pStyle w:val="Normal"/>
        <w:spacing w:lineRule="auto" w:line="240" w:before="0" w:after="0"/>
        <w:ind w:left="0" w:right="0" w:hanging="0"/>
        <w:rPr>
          <w:rFonts w:ascii="Times New Roman" w:hAnsi="Times New Roman"/>
          <w:sz w:val="20"/>
          <w:szCs w:val="20"/>
        </w:rPr>
      </w:pPr>
      <w:r>
        <w:rPr>
          <w:rFonts w:cs="Times New Roman"/>
          <w:sz w:val="20"/>
          <w:szCs w:val="20"/>
        </w:rPr>
        <w:t>H1 → El nivel de ruido que se presenta en los distintos centros de comercio (plaza Moralillo, plaza Molcaxac, mercado municipal de Tepexi de Rodríguez y mercado municipal de San Juan Ixcaquixtla) en general no exceden los 85 decibelios recomendados por la NOM 011 de la STPS.</w:t>
      </w:r>
    </w:p>
    <w:p>
      <w:pPr>
        <w:pStyle w:val="Normal"/>
        <w:spacing w:lineRule="auto" w:line="240" w:before="0" w:after="0"/>
        <w:ind w:left="0" w:right="0" w:hanging="0"/>
        <w:rPr>
          <w:rFonts w:cs="Times New Roman"/>
        </w:rPr>
      </w:pPr>
      <w:r>
        <w:rPr>
          <w:rFonts w:cs="Times New Roman"/>
        </w:rPr>
      </w:r>
    </w:p>
    <w:p>
      <w:pPr>
        <w:pStyle w:val="Normal"/>
        <w:spacing w:lineRule="auto" w:line="240" w:before="0" w:after="0"/>
        <w:ind w:left="0" w:right="0" w:hanging="0"/>
        <w:rPr>
          <w:rFonts w:ascii="Times New Roman" w:hAnsi="Times New Roman"/>
          <w:sz w:val="20"/>
          <w:szCs w:val="20"/>
        </w:rPr>
      </w:pPr>
      <w:r>
        <w:rPr>
          <w:rFonts w:cs="Times New Roman"/>
          <w:sz w:val="20"/>
          <w:szCs w:val="20"/>
        </w:rPr>
        <w:t>En cuanto a la percepción del equipo sobre estos resultados y al estar presente en el sitio, escuchando todos los sonidos de los diferentes establecimientos, el ruido que se percibía no siempre era tan elevado muchas veces incluso no se necesitaba soportarlo demasiado. No hay riesgo por el factor ruido en las zonas comerciales todo depende de los días en que se visite uno de estos lugares, la cantidad de gente que este circulando, la hora del día, y hasta el clima ya que si el calor aumenta la mayoría de la gente se evita salir a comprar.</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rPr>
        <w:t>AGRADECIMIENTOS</w:t>
      </w:r>
    </w:p>
    <w:p>
      <w:pPr>
        <w:pStyle w:val="Normal"/>
        <w:spacing w:lineRule="auto" w:line="240" w:before="0" w:after="0"/>
        <w:ind w:left="0" w:right="0" w:hanging="0"/>
        <w:rPr>
          <w:rFonts w:ascii="Times New Roman" w:hAnsi="Times New Roman"/>
          <w:sz w:val="20"/>
          <w:szCs w:val="20"/>
        </w:rPr>
      </w:pPr>
      <w:r>
        <w:rPr>
          <w:rFonts w:eastAsia="Times New Roman" w:cs="Times New Roman"/>
          <w:sz w:val="20"/>
          <w:szCs w:val="20"/>
        </w:rPr>
        <w:t>Se agradece al Instituto Superior de Tepexi de Rodríguez por brindar el equipo adecuado para la extracción de las muestras y por proporcionar asesoría en el software Minitab Statistical Software, en especial al Ing. Juan Carlos Aranda Martínez. A los comerciantes de los centros de comercio por otorgar el permiso de tomar las muestras dentro y fuera de los locales. Se agradece a Ana María Joaquín de Jesús que nos apoyó con las entrevistas en el municipio de San Juan Ixcaquixtla.</w:t>
      </w:r>
    </w:p>
    <w:p>
      <w:pPr>
        <w:pStyle w:val="Normal"/>
        <w:spacing w:lineRule="auto" w:line="240" w:before="0" w:after="0"/>
        <w:ind w:left="0" w:right="0" w:hanging="0"/>
        <w:rPr>
          <w:rFonts w:ascii="Times New Roman" w:hAnsi="Times New Roman"/>
          <w:sz w:val="20"/>
          <w:szCs w:val="20"/>
        </w:rPr>
      </w:pPr>
      <w:r>
        <w:rPr>
          <w:sz w:val="20"/>
          <w:szCs w:val="20"/>
        </w:rPr>
      </w:r>
    </w:p>
    <w:p>
      <w:pPr>
        <w:pStyle w:val="Normal"/>
        <w:spacing w:lineRule="auto" w:line="240" w:before="0" w:after="0"/>
        <w:ind w:left="0" w:right="0" w:hanging="0"/>
        <w:rPr>
          <w:rFonts w:ascii="Times New Roman" w:hAnsi="Times New Roman"/>
          <w:b/>
          <w:b/>
          <w:bCs/>
          <w:sz w:val="20"/>
          <w:szCs w:val="20"/>
        </w:rPr>
      </w:pPr>
      <w:r>
        <w:rPr>
          <w:rFonts w:eastAsia="Times New Roman" w:cs="Times New Roman"/>
          <w:b/>
          <w:bCs/>
          <w:sz w:val="20"/>
          <w:szCs w:val="20"/>
          <w:lang w:val="en-US"/>
        </w:rPr>
        <w:t>REFERENCIAS</w:t>
      </w:r>
    </w:p>
    <w:p>
      <w:pPr>
        <w:pStyle w:val="Normal"/>
        <w:spacing w:lineRule="auto" w:line="240" w:before="0" w:after="0"/>
        <w:ind w:left="0" w:right="0" w:hanging="0"/>
        <w:rPr>
          <w:rFonts w:ascii="Times New Roman" w:hAnsi="Times New Roman"/>
          <w:sz w:val="20"/>
          <w:szCs w:val="20"/>
        </w:rPr>
      </w:pPr>
      <w:r>
        <w:rPr>
          <w:rFonts w:cs="Times New Roman"/>
          <w:sz w:val="20"/>
          <w:szCs w:val="20"/>
          <w:lang w:val="en-US"/>
        </w:rPr>
        <w:t xml:space="preserve">Berglund, B., &amp; Lindvall, T. y. (1999). Guidelines for Community Noise. </w:t>
      </w:r>
      <w:r>
        <w:rPr>
          <w:rFonts w:cs="Times New Roman"/>
          <w:sz w:val="20"/>
          <w:szCs w:val="20"/>
        </w:rPr>
        <w:t>Organización Mundial de la Salud OMS. Londres, Inglaterra.</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Hernández Pérez J. O., J. P. (2003). La participación de las mujeres en el manejo integral del traspatio. . Instituto de la Mujer. Chiapas. México.</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pPr>
      <w:r>
        <w:rPr>
          <w:rFonts w:cs="Times New Roman"/>
          <w:sz w:val="20"/>
          <w:szCs w:val="20"/>
        </w:rPr>
        <w:t xml:space="preserve">Huáscar Medrano Hervás, J. A. (2006, Diciembre). Google Académico. Retrieved from Artículo científico. Mapa de ruido de los distritos 10, 11 y 12 de la ciudad de Cochabamba: </w:t>
      </w:r>
      <w:hyperlink r:id="rId17">
        <w:r>
          <w:rPr>
            <w:rStyle w:val="EnlacedeInternet"/>
            <w:rFonts w:cs="Times New Roman"/>
            <w:sz w:val="20"/>
            <w:szCs w:val="20"/>
          </w:rPr>
          <w:t>http://www.scielo.org.bo/scielo.php?pid=S1683-07892006000200003&amp;script=sci_arttext</w:t>
        </w:r>
      </w:hyperlink>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López P. E, P. M. (2012). Situación actual y perspectivas de la ganadería de Traspatio en México y la Seguridad alimentaria. III Foro Internacional de Ganadería de Traspatio y Seguridad Alimentaria. Colegio de Postgraduados, Campus Veracruz.</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pPr>
      <w:r>
        <w:rPr>
          <w:rFonts w:cs="Times New Roman"/>
          <w:sz w:val="20"/>
          <w:szCs w:val="20"/>
        </w:rPr>
        <w:t xml:space="preserve">Martinez-Monche, D. (n.d.). Ototech.es. Retrieved from Sonómetro: ¿Qué es y para qué sirve?: </w:t>
      </w:r>
      <w:hyperlink r:id="rId18">
        <w:r>
          <w:rPr>
            <w:rStyle w:val="EnlacedeInternet"/>
            <w:rFonts w:cs="Times New Roman"/>
            <w:sz w:val="20"/>
            <w:szCs w:val="20"/>
          </w:rPr>
          <w:t>https://www.ototech.es/blog/sonometro/</w:t>
        </w:r>
      </w:hyperlink>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Ortega B., M. &amp;. (2005). Metodología para la evaluación del ruido ambiental urbano en la ciudad de Medellín. Revista de la Facultad Nacional de Salud Pública. Pág. 70-77. Medellín.</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pPr>
      <w:r>
        <w:rPr>
          <w:rFonts w:cs="Times New Roman"/>
          <w:sz w:val="20"/>
          <w:szCs w:val="20"/>
        </w:rPr>
        <w:t xml:space="preserve">Álvarez, A. (04 de Diciembre de 2018). Contral Lab. Obtenido de El ruido en el lugar de trabajo: ¿cómo acabar con él?: </w:t>
      </w:r>
      <w:hyperlink r:id="rId19">
        <w:r>
          <w:rPr>
            <w:rStyle w:val="EnlacedeInternet"/>
            <w:rFonts w:cs="Times New Roman"/>
            <w:sz w:val="20"/>
            <w:szCs w:val="20"/>
          </w:rPr>
          <w:t>https://www.cotral.es/blog/prevencion-riesgos-auditivos/el-ruido-en-el-lugar-de-trabajo-como-acabar-con-el.html</w:t>
        </w:r>
      </w:hyperlink>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Díaz, J. M. (2007). Técnicas de prevención de riesgos laborales: Seguridad e higiene del trabajo. 9° edición. Madrid: TÉBAR.</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Oviedo, V. V., &amp; Murad, M. J. (2012). Tepexi de Rodríguz. Un pueblo con historia. Tepexi de Rodríguez: Imagen Metropolitana, S. A. de C. V.</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pPr>
      <w:r>
        <w:rPr>
          <w:rFonts w:cs="Times New Roman"/>
          <w:sz w:val="20"/>
          <w:szCs w:val="20"/>
        </w:rPr>
        <w:t xml:space="preserve">Pesquera, S. d. (2019, Mayo 23). Gobierno de México. Retrieved from Tianguis: origen y tradiciones. El intercambio como parte de la historia: </w:t>
      </w:r>
      <w:hyperlink r:id="rId20">
        <w:r>
          <w:rPr>
            <w:rStyle w:val="EnlacedeInternet"/>
            <w:rFonts w:cs="Times New Roman"/>
            <w:sz w:val="20"/>
            <w:szCs w:val="20"/>
          </w:rPr>
          <w:t>https://www.gob.mx/siap/es/articulos/tianguis-origen-y-tradiciones?idiom=es</w:t>
        </w:r>
      </w:hyperlink>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Quimbiulco, c. D. (2008). Diseño e implementación de un prototipo que permita cuantificar el nivel de presión sonora en una biblioteca con indicación visual y audible tesis de licenciatura. Ecuador, Escuela Politécnica Nacional, Facultad de Ingeniería Eléctrica y Electrónica.</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Reyes, J. L. (2022, Noviembre 27). (A. M. Jesus, Interviewer)</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Roberto. Sampieri, C. H. (2006). Metodología de la investigación. Cuarta edición. C. México: Mecegraw-Gil Interamericana.</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Rojas, P. R. (2022, Noviembre 27). (A. M. Jesus, Interviewer)</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pPr>
      <w:r>
        <w:rPr>
          <w:rFonts w:cs="Times New Roman"/>
          <w:sz w:val="20"/>
          <w:szCs w:val="20"/>
        </w:rPr>
        <w:t xml:space="preserve">Salud, S. d. (2019, Abril 26). Gobierno de México, Secretaría de Salud, Prensa. Retrieved from Gobierno de México: </w:t>
      </w:r>
      <w:hyperlink r:id="rId21">
        <w:r>
          <w:rPr>
            <w:rStyle w:val="EnlacedeInternet"/>
            <w:rFonts w:cs="Times New Roman"/>
            <w:sz w:val="20"/>
            <w:szCs w:val="20"/>
          </w:rPr>
          <w:t>https://www.gob.mx/salud/prensa/el-ruido-uno-de-los-contaminantes-mas-agresivos</w:t>
        </w:r>
      </w:hyperlink>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Sanz, J. M. (1990). El Ruido Madrid, Ministerio de Obras Públicas y Urbanismo. Madrid.</w:t>
      </w:r>
    </w:p>
    <w:p>
      <w:pPr>
        <w:pStyle w:val="Normal"/>
        <w:spacing w:lineRule="auto" w:line="240" w:before="0" w:after="0"/>
        <w:ind w:left="0" w:right="0" w:hanging="0"/>
        <w:rPr>
          <w:rFonts w:ascii="Times New Roman" w:hAnsi="Times New Roman" w:cs="Times New Roman"/>
          <w:sz w:val="20"/>
          <w:szCs w:val="20"/>
        </w:rPr>
      </w:pPr>
      <w:r>
        <w:rPr>
          <w:rFonts w:cs="Times New Roman"/>
          <w:sz w:val="20"/>
          <w:szCs w:val="20"/>
        </w:rPr>
      </w:r>
    </w:p>
    <w:p>
      <w:pPr>
        <w:pStyle w:val="Normal"/>
        <w:spacing w:lineRule="auto" w:line="240" w:before="0" w:after="0"/>
        <w:ind w:left="0" w:right="0" w:hanging="0"/>
        <w:rPr>
          <w:rFonts w:ascii="Times New Roman" w:hAnsi="Times New Roman"/>
          <w:sz w:val="20"/>
          <w:szCs w:val="20"/>
        </w:rPr>
      </w:pPr>
      <w:r>
        <w:rPr>
          <w:rFonts w:cs="Times New Roman"/>
          <w:sz w:val="20"/>
          <w:szCs w:val="20"/>
        </w:rPr>
        <w:t>Simón, L. V. (2022, Noviembre 27). (A. M. Jesus, Interviewer).</w:t>
      </w:r>
    </w:p>
    <w:p>
      <w:pPr>
        <w:sectPr>
          <w:type w:val="continuous"/>
          <w:pgSz w:w="12240" w:h="15840"/>
          <w:pgMar w:left="1417" w:right="1417" w:header="1417" w:top="2078" w:footer="1417" w:bottom="2106" w:gutter="0"/>
          <w:cols w:num="2" w:space="282" w:equalWidth="true" w:sep="false"/>
          <w:formProt w:val="false"/>
          <w:textDirection w:val="lrTb"/>
          <w:docGrid w:type="default" w:linePitch="360" w:charSpace="0"/>
        </w:sectPr>
      </w:pPr>
    </w:p>
    <w:sectPr>
      <w:headerReference w:type="default" r:id="rId22"/>
      <w:headerReference w:type="first" r:id="rId23"/>
      <w:footerReference w:type="default" r:id="rId24"/>
      <w:footerReference w:type="first" r:id="rId25"/>
      <w:type w:val="continuous"/>
      <w:pgSz w:w="12240" w:h="15840"/>
      <w:pgMar w:left="1417" w:right="1417" w:header="1417" w:top="2078" w:footer="1417" w:bottom="210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ntarell">
    <w:charset w:val="01"/>
    <w:family w:val="roman"/>
    <w:pitch w:val="variable"/>
  </w:font>
  <w:font w:name="Times New Roman">
    <w:charset w:val="01"/>
    <w:family w:val="auto"/>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4"/>
      <w:gridCol w:w="4140"/>
      <w:gridCol w:w="2781"/>
    </w:tblGrid>
    <w:tr>
      <w:trPr/>
      <w:tc>
        <w:tcPr>
          <w:tcW w:w="2484"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22</w:t>
          </w:r>
          <w:r>
            <w:rPr>
              <w:rFonts w:ascii="Times new roman" w:hAnsi="Times new roman"/>
              <w:sz w:val="16"/>
              <w:szCs w:val="16"/>
            </w:rPr>
            <w:t>/</w:t>
          </w:r>
          <w:r>
            <w:rPr>
              <w:rFonts w:ascii="Times new roman" w:hAnsi="Times new roman"/>
              <w:sz w:val="16"/>
              <w:szCs w:val="16"/>
            </w:rPr>
            <w:t>Marzo</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02/Junio/2023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1" w:type="dxa"/>
          <w:tcBorders/>
          <w:shd w:fill="auto" w:val="clear"/>
        </w:tcPr>
        <w:p>
          <w:pPr>
            <w:pStyle w:val="Contenidodelatabla"/>
            <w:widowControl w:val="false"/>
            <w:spacing w:before="120" w:after="60"/>
            <w:rPr/>
          </w:pPr>
          <w:r>
            <w:rPr/>
          </w:r>
        </w:p>
      </w:tc>
    </w:tr>
  </w:tbl>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4"/>
      <w:gridCol w:w="4140"/>
      <w:gridCol w:w="2781"/>
    </w:tblGrid>
    <w:tr>
      <w:trPr/>
      <w:tc>
        <w:tcPr>
          <w:tcW w:w="2484"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22</w:t>
          </w:r>
          <w:r>
            <w:rPr>
              <w:rFonts w:ascii="Times new roman" w:hAnsi="Times new roman"/>
              <w:sz w:val="16"/>
              <w:szCs w:val="16"/>
            </w:rPr>
            <w:t>/</w:t>
          </w:r>
          <w:r>
            <w:rPr>
              <w:rFonts w:ascii="Times new roman" w:hAnsi="Times new roman"/>
              <w:sz w:val="16"/>
              <w:szCs w:val="16"/>
            </w:rPr>
            <w:t>Marzo</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02/Junio/2023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1" w:type="dxa"/>
          <w:tcBorders/>
          <w:shd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40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9, Julio - Diciembre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40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9</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40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9, Julio - Diciembre 2023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2"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40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9</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5" w:hanging="705"/>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7"/>
      <w:numFmt w:val="bullet"/>
      <w:lvlText w:val="•"/>
      <w:lvlJc w:val="left"/>
      <w:pPr>
        <w:tabs>
          <w:tab w:val="num" w:pos="0"/>
        </w:tabs>
        <w:ind w:left="1065" w:hanging="705"/>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MX"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6a84"/>
    <w:pPr>
      <w:widowControl/>
      <w:suppressAutoHyphens w:val="true"/>
      <w:bidi w:val="0"/>
      <w:spacing w:lineRule="auto" w:line="276" w:before="0" w:after="0"/>
      <w:jc w:val="both"/>
    </w:pPr>
    <w:rPr>
      <w:rFonts w:ascii="Times New Roman" w:hAnsi="Times New Roman" w:eastAsia="Arial" w:cs="Arial"/>
      <w:color w:val="000000"/>
      <w:kern w:val="0"/>
      <w:sz w:val="20"/>
      <w:szCs w:val="22"/>
      <w:lang w:val="es-MX" w:eastAsia="es-MX"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976355"/>
    <w:rPr>
      <w:color w:val="0563C1" w:themeColor="hyperlink"/>
      <w:u w:val="single"/>
    </w:rPr>
  </w:style>
  <w:style w:type="character" w:styleId="UnresolvedMention">
    <w:name w:val="Unresolved Mention"/>
    <w:basedOn w:val="DefaultParagraphFont"/>
    <w:uiPriority w:val="99"/>
    <w:semiHidden/>
    <w:unhideWhenUsed/>
    <w:qFormat/>
    <w:rsid w:val="004240b1"/>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976355"/>
    <w:pPr>
      <w:spacing w:before="0" w:after="0"/>
      <w:ind w:left="720" w:hanging="0"/>
      <w:contextualSpacing/>
    </w:pPr>
    <w:rPr/>
  </w:style>
  <w:style w:type="paragraph" w:styleId="Contenidodelmarco">
    <w:name w:val="Contenido del marco"/>
    <w:basedOn w:val="Normal"/>
    <w:qFormat/>
    <w:pPr/>
    <w:rPr/>
  </w:style>
  <w:style w:type="paragraph" w:styleId="Cabeceraypie">
    <w:name w:val="Cabecera y pie"/>
    <w:basedOn w:val="Normal"/>
    <w:qFormat/>
    <w:pPr>
      <w:suppressLineNumbers/>
      <w:tabs>
        <w:tab w:val="clear" w:pos="708"/>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www.google.com.mx/maps/place/Mercado+De+Moralillo/@18.5627215,-97.9263766,353m/data=!3m1!1e3!4m9!1m2!2m1!1s+Mercado+Municipal+Tepexi+de+Rodr&#237;guez,+Pue.!3m5!1s0x85cf792473c59b59:0xd89cf76d9ba1a35c!8m2!3d18.5627215!4d-97.9241235!15sCixNZXJjYWRvIE11bmljaXBhbCBUZXBleGkgZGUgUm9kcsOtZ3VleiwgUHVlLlosIiptZXJjYWRvIG11bmljaXBhbCB0ZXBleGkgZGUgcm9kcsOtZ3VleiBwdWWSAQZtYXJrZXSaASNDaFpEU1VoTk1HOW5TMFZKUTBGblNVTnZkemxJWjB4UkVBReABAA!5m1!1e4"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chart" Target="charts/chart1.xml"/><Relationship Id="rId10" Type="http://schemas.openxmlformats.org/officeDocument/2006/relationships/chart" Target="charts/chart2.xml"/><Relationship Id="rId11" Type="http://schemas.openxmlformats.org/officeDocument/2006/relationships/image" Target="media/image4.png"/><Relationship Id="rId12" Type="http://schemas.openxmlformats.org/officeDocument/2006/relationships/chart" Target="charts/chart3.xml"/><Relationship Id="rId13" Type="http://schemas.openxmlformats.org/officeDocument/2006/relationships/image" Target="media/image5.png"/><Relationship Id="rId14" Type="http://schemas.openxmlformats.org/officeDocument/2006/relationships/chart" Target="charts/chart4.xml"/><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http://www.scielo.org.bo/scielo.php?pid=S1683-07892006000200003&amp;script=sci_arttext" TargetMode="External"/><Relationship Id="rId18" Type="http://schemas.openxmlformats.org/officeDocument/2006/relationships/hyperlink" Target="https://www.ototech.es/blog/sonometro/" TargetMode="External"/><Relationship Id="rId19" Type="http://schemas.openxmlformats.org/officeDocument/2006/relationships/hyperlink" Target="https://www.cotral.es/blog/prevencion-riesgos-auditivos/el-ruido-en-el-lugar-de-trabajo-como-acabar-con-el.html" TargetMode="External"/><Relationship Id="rId20" Type="http://schemas.openxmlformats.org/officeDocument/2006/relationships/hyperlink" Target="https://www.gob.mx/siap/es/articulos/tianguis-origen-y-tradiciones?idiom=es" TargetMode="External"/><Relationship Id="rId21" Type="http://schemas.openxmlformats.org/officeDocument/2006/relationships/hyperlink" Target="https://www.gob.mx/salud/prensa/el-ruido-uno-de-los-contaminantes-mas-agresivos" TargetMode="External"/><Relationship Id="rId22" Type="http://schemas.openxmlformats.org/officeDocument/2006/relationships/header" Target="header3.xml"/><Relationship Id="rId23" Type="http://schemas.openxmlformats.org/officeDocument/2006/relationships/header" Target="header4.xml"/><Relationship Id="rId24" Type="http://schemas.openxmlformats.org/officeDocument/2006/relationships/footer" Target="footer3.xml"/><Relationship Id="rId25" Type="http://schemas.openxmlformats.org/officeDocument/2006/relationships/footer" Target="footer4.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8.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200" spc="-1" strike="noStrike">
                <a:solidFill>
                  <a:srgbClr val="000000"/>
                </a:solidFill>
                <a:latin typeface="Arial"/>
              </a:defRPr>
            </a:pPr>
            <a:r>
              <a:rPr b="0" lang="en-US" sz="1200" spc="-1" strike="noStrike">
                <a:solidFill>
                  <a:srgbClr val="000000"/>
                </a:solidFill>
                <a:latin typeface="Arial"/>
              </a:rPr>
              <a:t>Gráfico X mercado del Moralillo</a:t>
            </a:r>
          </a:p>
        </c:rich>
      </c:tx>
      <c:overlay val="0"/>
      <c:spPr>
        <a:noFill/>
        <a:ln w="0">
          <a:noFill/>
        </a:ln>
      </c:spPr>
    </c:title>
    <c:autoTitleDeleted val="0"/>
    <c:plotArea>
      <c:lineChart>
        <c:grouping val="standard"/>
        <c:varyColors val="0"/>
        <c:ser>
          <c:idx val="0"/>
          <c:order val="0"/>
          <c:tx>
            <c:strRef>
              <c:f>label 0</c:f>
              <c:strCache>
                <c:ptCount val="1"/>
                <c:pt idx="0">
                  <c:v>Media </c:v>
                </c:pt>
              </c:strCache>
            </c:strRef>
          </c:tx>
          <c:spPr>
            <a:solidFill>
              <a:srgbClr val="4472c4"/>
            </a:solidFill>
            <a:ln cap="rnd" w="28440">
              <a:solidFill>
                <a:srgbClr val="4472c4"/>
              </a:solidFill>
              <a:round/>
            </a:ln>
          </c:spPr>
          <c:marker>
            <c:symbol val="square"/>
            <c:size val="6"/>
            <c:spPr>
              <a:solidFill>
                <a:srgbClr val="4472c4"/>
              </a:solidFill>
            </c:spPr>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TAQUERIA</c:v>
                </c:pt>
                <c:pt idx="1">
                  <c:v>TEMPORADA</c:v>
                </c:pt>
                <c:pt idx="2">
                  <c:v>CARNICERIAS</c:v>
                </c:pt>
                <c:pt idx="3">
                  <c:v>VERDURAS</c:v>
                </c:pt>
                <c:pt idx="4">
                  <c:v>COMPRA-VENTA ANIMALES</c:v>
                </c:pt>
              </c:strCache>
            </c:strRef>
          </c:cat>
          <c:val>
            <c:numRef>
              <c:f>0</c:f>
              <c:numCache>
                <c:formatCode>General</c:formatCode>
                <c:ptCount val="5"/>
                <c:pt idx="0">
                  <c:v>100.49</c:v>
                </c:pt>
                <c:pt idx="1">
                  <c:v>85.23</c:v>
                </c:pt>
                <c:pt idx="2">
                  <c:v>77.81</c:v>
                </c:pt>
                <c:pt idx="3">
                  <c:v>80.16</c:v>
                </c:pt>
                <c:pt idx="4">
                  <c:v>75.35</c:v>
                </c:pt>
              </c:numCache>
            </c:numRef>
          </c:val>
          <c:smooth val="0"/>
        </c:ser>
        <c:ser>
          <c:idx val="1"/>
          <c:order val="1"/>
          <c:tx>
            <c:strRef>
              <c:f>label 1</c:f>
              <c:strCache>
                <c:ptCount val="1"/>
                <c:pt idx="0">
                  <c:v>LCS</c:v>
                </c:pt>
              </c:strCache>
            </c:strRef>
          </c:tx>
          <c:spPr>
            <a:solidFill>
              <a:srgbClr val="ed7d31"/>
            </a:solidFill>
            <a:ln cap="rnd" w="28440">
              <a:solidFill>
                <a:srgbClr val="ed7d31"/>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TAQUERIA</c:v>
                </c:pt>
                <c:pt idx="1">
                  <c:v>TEMPORADA</c:v>
                </c:pt>
                <c:pt idx="2">
                  <c:v>CARNICERIAS</c:v>
                </c:pt>
                <c:pt idx="3">
                  <c:v>VERDURAS</c:v>
                </c:pt>
                <c:pt idx="4">
                  <c:v>COMPRA-VENTA ANIMALES</c:v>
                </c:pt>
              </c:strCache>
            </c:strRef>
          </c:cat>
          <c:val>
            <c:numRef>
              <c:f>1</c:f>
              <c:numCache>
                <c:formatCode>General</c:formatCode>
                <c:ptCount val="5"/>
                <c:pt idx="0">
                  <c:v>95</c:v>
                </c:pt>
                <c:pt idx="1">
                  <c:v>95</c:v>
                </c:pt>
                <c:pt idx="2">
                  <c:v>95</c:v>
                </c:pt>
                <c:pt idx="3">
                  <c:v>95</c:v>
                </c:pt>
                <c:pt idx="4">
                  <c:v>95</c:v>
                </c:pt>
              </c:numCache>
            </c:numRef>
          </c:val>
          <c:smooth val="0"/>
        </c:ser>
        <c:ser>
          <c:idx val="2"/>
          <c:order val="2"/>
          <c:tx>
            <c:strRef>
              <c:f>label 2</c:f>
              <c:strCache>
                <c:ptCount val="1"/>
                <c:pt idx="0">
                  <c:v>LC</c:v>
                </c:pt>
              </c:strCache>
            </c:strRef>
          </c:tx>
          <c:spPr>
            <a:solidFill>
              <a:srgbClr val="a5a5a5"/>
            </a:solidFill>
            <a:ln cap="rnd" w="28440">
              <a:solidFill>
                <a:srgbClr val="a5a5a5"/>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TAQUERIA</c:v>
                </c:pt>
                <c:pt idx="1">
                  <c:v>TEMPORADA</c:v>
                </c:pt>
                <c:pt idx="2">
                  <c:v>CARNICERIAS</c:v>
                </c:pt>
                <c:pt idx="3">
                  <c:v>VERDURAS</c:v>
                </c:pt>
                <c:pt idx="4">
                  <c:v>COMPRA-VENTA ANIMALES</c:v>
                </c:pt>
              </c:strCache>
            </c:strRef>
          </c:cat>
          <c:val>
            <c:numRef>
              <c:f>2</c:f>
              <c:numCache>
                <c:formatCode>General</c:formatCode>
                <c:ptCount val="5"/>
                <c:pt idx="0">
                  <c:v>85</c:v>
                </c:pt>
                <c:pt idx="1">
                  <c:v>85</c:v>
                </c:pt>
                <c:pt idx="2">
                  <c:v>85</c:v>
                </c:pt>
                <c:pt idx="3">
                  <c:v>85</c:v>
                </c:pt>
                <c:pt idx="4">
                  <c:v>85</c:v>
                </c:pt>
              </c:numCache>
            </c:numRef>
          </c:val>
          <c:smooth val="0"/>
        </c:ser>
        <c:ser>
          <c:idx val="3"/>
          <c:order val="3"/>
          <c:tx>
            <c:strRef>
              <c:f>label 3</c:f>
              <c:strCache>
                <c:ptCount val="1"/>
                <c:pt idx="0">
                  <c:v>LCI </c:v>
                </c:pt>
              </c:strCache>
            </c:strRef>
          </c:tx>
          <c:spPr>
            <a:solidFill>
              <a:srgbClr val="ffc000"/>
            </a:solidFill>
            <a:ln cap="rnd" w="28440">
              <a:solidFill>
                <a:srgbClr val="ffc000"/>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TAQUERIA</c:v>
                </c:pt>
                <c:pt idx="1">
                  <c:v>TEMPORADA</c:v>
                </c:pt>
                <c:pt idx="2">
                  <c:v>CARNICERIAS</c:v>
                </c:pt>
                <c:pt idx="3">
                  <c:v>VERDURAS</c:v>
                </c:pt>
                <c:pt idx="4">
                  <c:v>COMPRA-VENTA ANIMALES</c:v>
                </c:pt>
              </c:strCache>
            </c:strRef>
          </c:cat>
          <c:val>
            <c:numRef>
              <c:f>3</c:f>
              <c:numCache>
                <c:formatCode>General</c:formatCode>
                <c:ptCount val="5"/>
                <c:pt idx="0">
                  <c:v>70</c:v>
                </c:pt>
                <c:pt idx="1">
                  <c:v>70</c:v>
                </c:pt>
                <c:pt idx="2">
                  <c:v>70</c:v>
                </c:pt>
                <c:pt idx="3">
                  <c:v>70</c:v>
                </c:pt>
                <c:pt idx="4">
                  <c:v>70</c:v>
                </c:pt>
              </c:numCache>
            </c:numRef>
          </c:val>
          <c:smooth val="0"/>
        </c:ser>
        <c:hiLowLines>
          <c:spPr>
            <a:ln w="0">
              <a:noFill/>
            </a:ln>
          </c:spPr>
        </c:hiLowLines>
        <c:marker val="1"/>
        <c:axId val="76827290"/>
        <c:axId val="85852952"/>
      </c:lineChart>
      <c:catAx>
        <c:axId val="76827290"/>
        <c:scaling>
          <c:orientation val="minMax"/>
        </c:scaling>
        <c:delete val="0"/>
        <c:axPos val="b"/>
        <c:title>
          <c:tx>
            <c:rich>
              <a:bodyPr rot="0"/>
              <a:lstStyle/>
              <a:p>
                <a:pPr>
                  <a:defRPr b="0" lang="en-US" sz="1000" spc="-1" strike="noStrike">
                    <a:solidFill>
                      <a:srgbClr val="000000"/>
                    </a:solidFill>
                    <a:latin typeface="Calibri"/>
                  </a:defRPr>
                </a:pPr>
                <a:r>
                  <a:rPr b="0" lang="en-US" sz="1000" spc="-1" strike="noStrike">
                    <a:solidFill>
                      <a:srgbClr val="000000"/>
                    </a:solidFill>
                    <a:latin typeface="Calibri"/>
                  </a:rPr>
                  <a:t>Muestra o subgrupo</a:t>
                </a:r>
              </a:p>
            </c:rich>
          </c:tx>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0" sz="700" spc="-1" strike="noStrike">
                <a:solidFill>
                  <a:srgbClr val="000000"/>
                </a:solidFill>
                <a:latin typeface="Calibri"/>
              </a:defRPr>
            </a:pPr>
          </a:p>
        </c:txPr>
        <c:crossAx val="85852952"/>
        <c:crosses val="autoZero"/>
        <c:auto val="1"/>
        <c:lblAlgn val="ctr"/>
        <c:lblOffset val="100"/>
        <c:noMultiLvlLbl val="0"/>
      </c:catAx>
      <c:valAx>
        <c:axId val="85852952"/>
        <c:scaling>
          <c:orientation val="minMax"/>
          <c:min val="60"/>
        </c:scaling>
        <c:delete val="0"/>
        <c:axPos val="l"/>
        <c:majorGridlines>
          <c:spPr>
            <a:ln w="9360">
              <a:solidFill>
                <a:srgbClr val="d9d9d9"/>
              </a:solidFill>
              <a:round/>
            </a:ln>
          </c:spPr>
        </c:majorGridlines>
        <c:title>
          <c:tx>
            <c:rich>
              <a:bodyPr rot="-5400000"/>
              <a:lstStyle/>
              <a:p>
                <a:pPr>
                  <a:defRPr b="0" lang="es-MX" sz="800" spc="-1" strike="noStrike">
                    <a:solidFill>
                      <a:srgbClr val="000000"/>
                    </a:solidFill>
                    <a:latin typeface="Arial"/>
                  </a:defRPr>
                </a:pPr>
                <a:r>
                  <a:rPr b="0" lang="es-MX" sz="800" spc="-1" strike="noStrike">
                    <a:solidFill>
                      <a:srgbClr val="000000"/>
                    </a:solidFill>
                    <a:latin typeface="Arial"/>
                  </a:rPr>
                  <a:t>Promedio de decibelios por área </a:t>
                </a:r>
              </a:p>
            </c:rich>
          </c:tx>
          <c:overlay val="0"/>
          <c:spPr>
            <a:noFill/>
            <a:ln w="0">
              <a:noFill/>
            </a:ln>
          </c:spPr>
        </c:title>
        <c:numFmt formatCode="General" sourceLinked="0"/>
        <c:majorTickMark val="none"/>
        <c:minorTickMark val="none"/>
        <c:tickLblPos val="nextTo"/>
        <c:spPr>
          <a:ln w="6480">
            <a:noFill/>
          </a:ln>
        </c:spPr>
        <c:txPr>
          <a:bodyPr/>
          <a:lstStyle/>
          <a:p>
            <a:pPr>
              <a:defRPr b="0" sz="900" spc="-1" strike="noStrike">
                <a:solidFill>
                  <a:srgbClr val="000000"/>
                </a:solidFill>
                <a:latin typeface="Calibri"/>
              </a:defRPr>
            </a:pPr>
          </a:p>
        </c:txPr>
        <c:crossAx val="76827290"/>
        <c:crosses val="autoZero"/>
        <c:crossBetween val="between"/>
      </c:valAx>
      <c:spPr>
        <a:noFill/>
        <a:ln w="0">
          <a:noFill/>
        </a:ln>
      </c:spPr>
    </c:plotArea>
    <c:legend>
      <c:legendPos val="b"/>
      <c:overlay val="0"/>
      <c:spPr>
        <a:noFill/>
        <a:ln w="0">
          <a:noFill/>
        </a:ln>
      </c:spPr>
      <c:txPr>
        <a:bodyPr/>
        <a:lstStyle/>
        <a:p>
          <a:pPr>
            <a:defRPr b="0" sz="900" spc="-1" strike="noStrike">
              <a:solidFill>
                <a:srgbClr val="000000"/>
              </a:solidFill>
              <a:latin typeface="Calibri"/>
            </a:defRPr>
          </a:pPr>
        </a:p>
      </c:txPr>
    </c:legend>
    <c:plotVisOnly val="1"/>
    <c:dispBlanksAs val="gap"/>
  </c:chart>
  <c:spPr>
    <a:solidFill>
      <a:srgbClr val="ffffff"/>
    </a:solidFill>
    <a:ln w="12600">
      <a:solidFill>
        <a:srgbClr val="ed7d31"/>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400" spc="-1" strike="noStrike">
                <a:solidFill>
                  <a:srgbClr val="000000"/>
                </a:solidFill>
                <a:latin typeface="Calibri"/>
              </a:defRPr>
            </a:pPr>
            <a:r>
              <a:rPr b="0" lang="en-US" sz="1400" spc="-1" strike="noStrike">
                <a:solidFill>
                  <a:srgbClr val="000000"/>
                </a:solidFill>
                <a:latin typeface="Calibri"/>
              </a:rPr>
              <a:t>Grafico X mercado Tepexi</a:t>
            </a:r>
          </a:p>
        </c:rich>
      </c:tx>
      <c:overlay val="0"/>
      <c:spPr>
        <a:noFill/>
        <a:ln w="0">
          <a:noFill/>
        </a:ln>
      </c:spPr>
    </c:title>
    <c:autoTitleDeleted val="0"/>
    <c:plotArea>
      <c:layout>
        <c:manualLayout>
          <c:layoutTarget val="inner"/>
          <c:xMode val="edge"/>
          <c:yMode val="edge"/>
          <c:x val="0.1228125"/>
          <c:y val="0.162444444444444"/>
          <c:w val="0.8500625"/>
          <c:h val="0.445888888888889"/>
        </c:manualLayout>
      </c:layout>
      <c:lineChart>
        <c:grouping val="standard"/>
        <c:varyColors val="0"/>
        <c:ser>
          <c:idx val="0"/>
          <c:order val="0"/>
          <c:tx>
            <c:strRef>
              <c:f>label 0</c:f>
              <c:strCache>
                <c:ptCount val="1"/>
                <c:pt idx="0">
                  <c:v>Media </c:v>
                </c:pt>
              </c:strCache>
            </c:strRef>
          </c:tx>
          <c:spPr>
            <a:solidFill>
              <a:srgbClr val="4472c4"/>
            </a:solidFill>
            <a:ln cap="rnd" w="28440">
              <a:solidFill>
                <a:srgbClr val="4472c4"/>
              </a:solidFill>
              <a:round/>
            </a:ln>
          </c:spPr>
          <c:marker>
            <c:symbol val="circle"/>
            <c:size val="6"/>
            <c:spPr>
              <a:solidFill>
                <a:srgbClr val="4472c4"/>
              </a:solidFill>
            </c:spPr>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FLORES</c:v>
                </c:pt>
                <c:pt idx="1">
                  <c:v>CARNES</c:v>
                </c:pt>
                <c:pt idx="2">
                  <c:v>COMIDA</c:v>
                </c:pt>
                <c:pt idx="3">
                  <c:v>ESTACIONAMIENTO</c:v>
                </c:pt>
                <c:pt idx="4">
                  <c:v>TERCER PISO</c:v>
                </c:pt>
              </c:strCache>
            </c:strRef>
          </c:cat>
          <c:val>
            <c:numRef>
              <c:f>0</c:f>
              <c:numCache>
                <c:formatCode>General</c:formatCode>
                <c:ptCount val="5"/>
                <c:pt idx="0">
                  <c:v>71.56</c:v>
                </c:pt>
                <c:pt idx="1">
                  <c:v>70.27</c:v>
                </c:pt>
                <c:pt idx="2">
                  <c:v>72.21</c:v>
                </c:pt>
                <c:pt idx="3">
                  <c:v>65.48</c:v>
                </c:pt>
                <c:pt idx="4">
                  <c:v>72.71</c:v>
                </c:pt>
              </c:numCache>
            </c:numRef>
          </c:val>
          <c:smooth val="0"/>
        </c:ser>
        <c:ser>
          <c:idx val="1"/>
          <c:order val="1"/>
          <c:tx>
            <c:strRef>
              <c:f>label 1</c:f>
              <c:strCache>
                <c:ptCount val="1"/>
                <c:pt idx="0">
                  <c:v>LCS</c:v>
                </c:pt>
              </c:strCache>
            </c:strRef>
          </c:tx>
          <c:spPr>
            <a:solidFill>
              <a:srgbClr val="ed7d31"/>
            </a:solidFill>
            <a:ln cap="rnd" w="28440">
              <a:solidFill>
                <a:srgbClr val="ed7d31"/>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FLORES</c:v>
                </c:pt>
                <c:pt idx="1">
                  <c:v>CARNES</c:v>
                </c:pt>
                <c:pt idx="2">
                  <c:v>COMIDA</c:v>
                </c:pt>
                <c:pt idx="3">
                  <c:v>ESTACIONAMIENTO</c:v>
                </c:pt>
                <c:pt idx="4">
                  <c:v>TERCER PISO</c:v>
                </c:pt>
              </c:strCache>
            </c:strRef>
          </c:cat>
          <c:val>
            <c:numRef>
              <c:f>1</c:f>
              <c:numCache>
                <c:formatCode>General</c:formatCode>
                <c:ptCount val="5"/>
                <c:pt idx="0">
                  <c:v>95</c:v>
                </c:pt>
                <c:pt idx="1">
                  <c:v>95</c:v>
                </c:pt>
                <c:pt idx="2">
                  <c:v>95</c:v>
                </c:pt>
                <c:pt idx="3">
                  <c:v>95</c:v>
                </c:pt>
                <c:pt idx="4">
                  <c:v>95</c:v>
                </c:pt>
              </c:numCache>
            </c:numRef>
          </c:val>
          <c:smooth val="0"/>
        </c:ser>
        <c:ser>
          <c:idx val="2"/>
          <c:order val="2"/>
          <c:tx>
            <c:strRef>
              <c:f>label 2</c:f>
              <c:strCache>
                <c:ptCount val="1"/>
                <c:pt idx="0">
                  <c:v>LC</c:v>
                </c:pt>
              </c:strCache>
            </c:strRef>
          </c:tx>
          <c:spPr>
            <a:solidFill>
              <a:srgbClr val="a5a5a5"/>
            </a:solidFill>
            <a:ln cap="rnd" w="28440">
              <a:solidFill>
                <a:srgbClr val="a5a5a5"/>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FLORES</c:v>
                </c:pt>
                <c:pt idx="1">
                  <c:v>CARNES</c:v>
                </c:pt>
                <c:pt idx="2">
                  <c:v>COMIDA</c:v>
                </c:pt>
                <c:pt idx="3">
                  <c:v>ESTACIONAMIENTO</c:v>
                </c:pt>
                <c:pt idx="4">
                  <c:v>TERCER PISO</c:v>
                </c:pt>
              </c:strCache>
            </c:strRef>
          </c:cat>
          <c:val>
            <c:numRef>
              <c:f>2</c:f>
              <c:numCache>
                <c:formatCode>General</c:formatCode>
                <c:ptCount val="5"/>
                <c:pt idx="0">
                  <c:v>85</c:v>
                </c:pt>
                <c:pt idx="1">
                  <c:v>85</c:v>
                </c:pt>
                <c:pt idx="2">
                  <c:v>85</c:v>
                </c:pt>
                <c:pt idx="3">
                  <c:v>85</c:v>
                </c:pt>
                <c:pt idx="4">
                  <c:v>85</c:v>
                </c:pt>
              </c:numCache>
            </c:numRef>
          </c:val>
          <c:smooth val="0"/>
        </c:ser>
        <c:ser>
          <c:idx val="3"/>
          <c:order val="3"/>
          <c:tx>
            <c:strRef>
              <c:f>label 3</c:f>
              <c:strCache>
                <c:ptCount val="1"/>
                <c:pt idx="0">
                  <c:v>LCI</c:v>
                </c:pt>
              </c:strCache>
            </c:strRef>
          </c:tx>
          <c:spPr>
            <a:solidFill>
              <a:srgbClr val="ffc000"/>
            </a:solidFill>
            <a:ln cap="rnd" w="28440">
              <a:solidFill>
                <a:srgbClr val="ffc000"/>
              </a:solidFill>
              <a:round/>
            </a:ln>
          </c:spPr>
          <c:marker>
            <c:symbol val="none"/>
          </c:marker>
          <c:dLbls>
            <c:txPr>
              <a:bodyPr wrap="non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FLORES</c:v>
                </c:pt>
                <c:pt idx="1">
                  <c:v>CARNES</c:v>
                </c:pt>
                <c:pt idx="2">
                  <c:v>COMIDA</c:v>
                </c:pt>
                <c:pt idx="3">
                  <c:v>ESTACIONAMIENTO</c:v>
                </c:pt>
                <c:pt idx="4">
                  <c:v>TERCER PISO</c:v>
                </c:pt>
              </c:strCache>
            </c:strRef>
          </c:cat>
          <c:val>
            <c:numRef>
              <c:f>3</c:f>
              <c:numCache>
                <c:formatCode>General</c:formatCode>
                <c:ptCount val="5"/>
                <c:pt idx="0">
                  <c:v>70</c:v>
                </c:pt>
                <c:pt idx="1">
                  <c:v>70</c:v>
                </c:pt>
                <c:pt idx="2">
                  <c:v>70</c:v>
                </c:pt>
                <c:pt idx="3">
                  <c:v>70</c:v>
                </c:pt>
                <c:pt idx="4">
                  <c:v>70</c:v>
                </c:pt>
              </c:numCache>
            </c:numRef>
          </c:val>
          <c:smooth val="0"/>
        </c:ser>
        <c:hiLowLines>
          <c:spPr>
            <a:ln w="0">
              <a:noFill/>
            </a:ln>
          </c:spPr>
        </c:hiLowLines>
        <c:marker val="1"/>
        <c:axId val="89814320"/>
        <c:axId val="4771932"/>
      </c:lineChart>
      <c:catAx>
        <c:axId val="89814320"/>
        <c:scaling>
          <c:orientation val="minMax"/>
        </c:scaling>
        <c:delete val="0"/>
        <c:axPos val="b"/>
        <c:title>
          <c:tx>
            <c:rich>
              <a:bodyPr rot="0"/>
              <a:lstStyle/>
              <a:p>
                <a:pPr>
                  <a:defRPr b="0" lang="en-US" sz="900" spc="-1" strike="noStrike">
                    <a:solidFill>
                      <a:srgbClr val="000000"/>
                    </a:solidFill>
                    <a:latin typeface="Calibri"/>
                  </a:defRPr>
                </a:pPr>
                <a:r>
                  <a:rPr b="0" lang="en-US" sz="900" spc="-1" strike="noStrike">
                    <a:solidFill>
                      <a:srgbClr val="000000"/>
                    </a:solidFill>
                    <a:latin typeface="Calibri"/>
                  </a:rPr>
                  <a:t>Muestra o subgrupo</a:t>
                </a:r>
              </a:p>
            </c:rich>
          </c:tx>
          <c:layout>
            <c:manualLayout>
              <c:xMode val="edge"/>
              <c:yMode val="edge"/>
              <c:x val="0.368264248704663"/>
              <c:y val="0.82920443101712"/>
            </c:manualLayout>
          </c:layout>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1" sz="600" spc="-1" strike="noStrike">
                <a:solidFill>
                  <a:srgbClr val="000000"/>
                </a:solidFill>
                <a:latin typeface="Calibri"/>
              </a:defRPr>
            </a:pPr>
          </a:p>
        </c:txPr>
        <c:crossAx val="4771932"/>
        <c:crosses val="autoZero"/>
        <c:auto val="1"/>
        <c:lblAlgn val="ctr"/>
        <c:lblOffset val="100"/>
        <c:noMultiLvlLbl val="0"/>
      </c:catAx>
      <c:valAx>
        <c:axId val="4771932"/>
        <c:scaling>
          <c:orientation val="minMax"/>
          <c:min val="60"/>
        </c:scaling>
        <c:delete val="0"/>
        <c:axPos val="l"/>
        <c:majorGridlines>
          <c:spPr>
            <a:ln w="9360">
              <a:solidFill>
                <a:srgbClr val="d9d9d9"/>
              </a:solidFill>
              <a:round/>
            </a:ln>
          </c:spPr>
        </c:majorGridlines>
        <c:title>
          <c:tx>
            <c:rich>
              <a:bodyPr rot="-5400000"/>
              <a:lstStyle/>
              <a:p>
                <a:pPr>
                  <a:defRPr b="0" lang="en-US" sz="1000" spc="-1" strike="noStrike">
                    <a:solidFill>
                      <a:srgbClr val="000000"/>
                    </a:solidFill>
                    <a:latin typeface="Calibri"/>
                  </a:defRPr>
                </a:pPr>
                <a:r>
                  <a:rPr b="0" lang="en-US" sz="1000" spc="-1" strike="noStrike">
                    <a:solidFill>
                      <a:srgbClr val="000000"/>
                    </a:solidFill>
                    <a:latin typeface="Calibri"/>
                  </a:rPr>
                  <a:t>Decibelios Promedio</a:t>
                </a:r>
              </a:p>
            </c:rich>
          </c:tx>
          <c:overlay val="0"/>
          <c:spPr>
            <a:noFill/>
            <a:ln w="0">
              <a:noFill/>
            </a:ln>
          </c:spPr>
        </c:title>
        <c:numFmt formatCode="General" sourceLinked="0"/>
        <c:majorTickMark val="none"/>
        <c:minorTickMark val="none"/>
        <c:tickLblPos val="nextTo"/>
        <c:spPr>
          <a:ln w="6480">
            <a:noFill/>
          </a:ln>
        </c:spPr>
        <c:txPr>
          <a:bodyPr/>
          <a:lstStyle/>
          <a:p>
            <a:pPr>
              <a:defRPr b="0" sz="900" spc="-1" strike="noStrike">
                <a:solidFill>
                  <a:srgbClr val="000000"/>
                </a:solidFill>
                <a:latin typeface="Calibri"/>
              </a:defRPr>
            </a:pPr>
          </a:p>
        </c:txPr>
        <c:crossAx val="89814320"/>
        <c:crosses val="autoZero"/>
        <c:crossBetween val="between"/>
      </c:valAx>
      <c:spPr>
        <a:noFill/>
        <a:ln w="0">
          <a:noFill/>
        </a:ln>
      </c:spPr>
    </c:plotArea>
    <c:legend>
      <c:legendPos val="b"/>
      <c:layout>
        <c:manualLayout>
          <c:xMode val="edge"/>
          <c:yMode val="edge"/>
          <c:x val="0.163875"/>
          <c:y val="0.887"/>
          <c:w val="0.672167010438152"/>
          <c:h val="0.0956772974774975"/>
        </c:manualLayout>
      </c:layout>
      <c:overlay val="0"/>
      <c:spPr>
        <a:noFill/>
        <a:ln w="0">
          <a:noFill/>
        </a:ln>
      </c:spPr>
      <c:txPr>
        <a:bodyPr/>
        <a:lstStyle/>
        <a:p>
          <a:pPr>
            <a:defRPr b="0" sz="900" spc="-1" strike="noStrike">
              <a:solidFill>
                <a:srgbClr val="000000"/>
              </a:solidFill>
              <a:latin typeface="Calibri"/>
            </a:defRPr>
          </a:pPr>
        </a:p>
      </c:txPr>
    </c:legend>
    <c:plotVisOnly val="1"/>
    <c:dispBlanksAs val="gap"/>
  </c:chart>
  <c:spPr>
    <a:solidFill>
      <a:srgbClr val="ffffff"/>
    </a:solidFill>
    <a:ln w="12600">
      <a:solidFill>
        <a:srgbClr val="000000"/>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n-US" sz="1080" spc="-1" strike="noStrike">
                <a:solidFill>
                  <a:srgbClr val="000000"/>
                </a:solidFill>
                <a:latin typeface="Calibri"/>
              </a:defRPr>
            </a:pPr>
            <a:r>
              <a:rPr b="1" lang="en-US" sz="1080" spc="-1" strike="noStrike">
                <a:solidFill>
                  <a:srgbClr val="000000"/>
                </a:solidFill>
                <a:latin typeface="Calibri"/>
              </a:rPr>
              <a:t>Grafico X mercado de Molcaxac</a:t>
            </a:r>
          </a:p>
        </c:rich>
      </c:tx>
      <c:overlay val="0"/>
      <c:spPr>
        <a:noFill/>
        <a:ln w="0">
          <a:noFill/>
        </a:ln>
      </c:spPr>
    </c:title>
    <c:autoTitleDeleted val="0"/>
    <c:plotArea>
      <c:lineChart>
        <c:grouping val="standard"/>
        <c:varyColors val="0"/>
        <c:ser>
          <c:idx val="0"/>
          <c:order val="0"/>
          <c:tx>
            <c:strRef>
              <c:f>label 0</c:f>
              <c:strCache>
                <c:ptCount val="1"/>
                <c:pt idx="0">
                  <c:v>MEDIA</c:v>
                </c:pt>
              </c:strCache>
            </c:strRef>
          </c:tx>
          <c:spPr>
            <a:solidFill>
              <a:srgbClr val="4472c4"/>
            </a:solidFill>
            <a:ln cap="rnd" w="28440">
              <a:solidFill>
                <a:srgbClr val="4472c4"/>
              </a:solidFill>
              <a:round/>
            </a:ln>
          </c:spPr>
          <c:marker>
            <c:symbol val="square"/>
            <c:size val="6"/>
            <c:spPr>
              <a:solidFill>
                <a:srgbClr val="4472c4"/>
              </a:solidFill>
            </c:spPr>
          </c:marker>
          <c:dLbls>
            <c:txPr>
              <a:bodyPr wrap="none"/>
              <a:lstStyle/>
              <a:p>
                <a:pPr>
                  <a:defRPr b="0" sz="9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VERDULERIA</c:v>
                </c:pt>
                <c:pt idx="1">
                  <c:v>SEMILLAS</c:v>
                </c:pt>
                <c:pt idx="2">
                  <c:v>CARNES</c:v>
                </c:pt>
                <c:pt idx="3">
                  <c:v>AREA DE ZAPATOS Y FLORES</c:v>
                </c:pt>
                <c:pt idx="4">
                  <c:v>COMIDA</c:v>
                </c:pt>
              </c:strCache>
            </c:strRef>
          </c:cat>
          <c:val>
            <c:numRef>
              <c:f>0</c:f>
              <c:numCache>
                <c:formatCode>General</c:formatCode>
                <c:ptCount val="5"/>
                <c:pt idx="0">
                  <c:v>60.68</c:v>
                </c:pt>
                <c:pt idx="1">
                  <c:v>66.82</c:v>
                </c:pt>
                <c:pt idx="2">
                  <c:v>67.42</c:v>
                </c:pt>
                <c:pt idx="3">
                  <c:v>62.73</c:v>
                </c:pt>
                <c:pt idx="4">
                  <c:v>69.17</c:v>
                </c:pt>
              </c:numCache>
            </c:numRef>
          </c:val>
          <c:smooth val="0"/>
        </c:ser>
        <c:ser>
          <c:idx val="1"/>
          <c:order val="1"/>
          <c:tx>
            <c:strRef>
              <c:f>label 1</c:f>
              <c:strCache>
                <c:ptCount val="1"/>
                <c:pt idx="0">
                  <c:v>LCS</c:v>
                </c:pt>
              </c:strCache>
            </c:strRef>
          </c:tx>
          <c:spPr>
            <a:solidFill>
              <a:srgbClr val="ed7d31"/>
            </a:solidFill>
            <a:ln cap="rnd" w="28440">
              <a:solidFill>
                <a:srgbClr val="ed7d31"/>
              </a:solidFill>
              <a:round/>
            </a:ln>
          </c:spPr>
          <c:marker>
            <c:symbol val="none"/>
          </c:marker>
          <c:dLbls>
            <c:txPr>
              <a:bodyPr wrap="none"/>
              <a:lstStyle/>
              <a:p>
                <a:pPr>
                  <a:defRPr b="0" sz="9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VERDULERIA</c:v>
                </c:pt>
                <c:pt idx="1">
                  <c:v>SEMILLAS</c:v>
                </c:pt>
                <c:pt idx="2">
                  <c:v>CARNES</c:v>
                </c:pt>
                <c:pt idx="3">
                  <c:v>AREA DE ZAPATOS Y FLORES</c:v>
                </c:pt>
                <c:pt idx="4">
                  <c:v>COMIDA</c:v>
                </c:pt>
              </c:strCache>
            </c:strRef>
          </c:cat>
          <c:val>
            <c:numRef>
              <c:f>1</c:f>
              <c:numCache>
                <c:formatCode>General</c:formatCode>
                <c:ptCount val="5"/>
                <c:pt idx="0">
                  <c:v>95</c:v>
                </c:pt>
                <c:pt idx="1">
                  <c:v>95</c:v>
                </c:pt>
                <c:pt idx="2">
                  <c:v>95</c:v>
                </c:pt>
                <c:pt idx="3">
                  <c:v>95</c:v>
                </c:pt>
                <c:pt idx="4">
                  <c:v>95</c:v>
                </c:pt>
              </c:numCache>
            </c:numRef>
          </c:val>
          <c:smooth val="0"/>
        </c:ser>
        <c:ser>
          <c:idx val="2"/>
          <c:order val="2"/>
          <c:tx>
            <c:strRef>
              <c:f>label 2</c:f>
              <c:strCache>
                <c:ptCount val="1"/>
                <c:pt idx="0">
                  <c:v>LC</c:v>
                </c:pt>
              </c:strCache>
            </c:strRef>
          </c:tx>
          <c:spPr>
            <a:solidFill>
              <a:srgbClr val="a5a5a5"/>
            </a:solidFill>
            <a:ln cap="rnd" w="28440">
              <a:solidFill>
                <a:srgbClr val="a5a5a5"/>
              </a:solidFill>
              <a:round/>
            </a:ln>
          </c:spPr>
          <c:marker>
            <c:symbol val="square"/>
            <c:size val="6"/>
            <c:spPr>
              <a:solidFill>
                <a:srgbClr val="a5a5a5"/>
              </a:solidFill>
            </c:spPr>
          </c:marker>
          <c:dLbls>
            <c:txPr>
              <a:bodyPr wrap="none"/>
              <a:lstStyle/>
              <a:p>
                <a:pPr>
                  <a:defRPr b="0" sz="9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VERDULERIA</c:v>
                </c:pt>
                <c:pt idx="1">
                  <c:v>SEMILLAS</c:v>
                </c:pt>
                <c:pt idx="2">
                  <c:v>CARNES</c:v>
                </c:pt>
                <c:pt idx="3">
                  <c:v>AREA DE ZAPATOS Y FLORES</c:v>
                </c:pt>
                <c:pt idx="4">
                  <c:v>COMIDA</c:v>
                </c:pt>
              </c:strCache>
            </c:strRef>
          </c:cat>
          <c:val>
            <c:numRef>
              <c:f>2</c:f>
              <c:numCache>
                <c:formatCode>General</c:formatCode>
                <c:ptCount val="5"/>
                <c:pt idx="0">
                  <c:v>85</c:v>
                </c:pt>
                <c:pt idx="1">
                  <c:v>85</c:v>
                </c:pt>
                <c:pt idx="2">
                  <c:v>85</c:v>
                </c:pt>
                <c:pt idx="3">
                  <c:v>85</c:v>
                </c:pt>
                <c:pt idx="4">
                  <c:v>85</c:v>
                </c:pt>
              </c:numCache>
            </c:numRef>
          </c:val>
          <c:smooth val="0"/>
        </c:ser>
        <c:ser>
          <c:idx val="3"/>
          <c:order val="3"/>
          <c:tx>
            <c:strRef>
              <c:f>label 3</c:f>
              <c:strCache>
                <c:ptCount val="1"/>
                <c:pt idx="0">
                  <c:v>LCI</c:v>
                </c:pt>
              </c:strCache>
            </c:strRef>
          </c:tx>
          <c:spPr>
            <a:solidFill>
              <a:srgbClr val="ffc000"/>
            </a:solidFill>
            <a:ln cap="rnd" w="28440">
              <a:solidFill>
                <a:srgbClr val="ffc000"/>
              </a:solidFill>
              <a:round/>
            </a:ln>
          </c:spPr>
          <c:marker>
            <c:symbol val="none"/>
          </c:marker>
          <c:dLbls>
            <c:txPr>
              <a:bodyPr wrap="none"/>
              <a:lstStyle/>
              <a:p>
                <a:pPr>
                  <a:defRPr b="0" sz="9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VERDULERIA</c:v>
                </c:pt>
                <c:pt idx="1">
                  <c:v>SEMILLAS</c:v>
                </c:pt>
                <c:pt idx="2">
                  <c:v>CARNES</c:v>
                </c:pt>
                <c:pt idx="3">
                  <c:v>AREA DE ZAPATOS Y FLORES</c:v>
                </c:pt>
                <c:pt idx="4">
                  <c:v>COMIDA</c:v>
                </c:pt>
              </c:strCache>
            </c:strRef>
          </c:cat>
          <c:val>
            <c:numRef>
              <c:f>3</c:f>
              <c:numCache>
                <c:formatCode>General</c:formatCode>
                <c:ptCount val="5"/>
                <c:pt idx="0">
                  <c:v>70</c:v>
                </c:pt>
                <c:pt idx="1">
                  <c:v>70</c:v>
                </c:pt>
                <c:pt idx="2">
                  <c:v>70</c:v>
                </c:pt>
                <c:pt idx="3">
                  <c:v>70</c:v>
                </c:pt>
                <c:pt idx="4">
                  <c:v>70</c:v>
                </c:pt>
              </c:numCache>
            </c:numRef>
          </c:val>
          <c:smooth val="0"/>
        </c:ser>
        <c:hiLowLines>
          <c:spPr>
            <a:ln w="0">
              <a:noFill/>
            </a:ln>
          </c:spPr>
        </c:hiLowLines>
        <c:marker val="1"/>
        <c:axId val="77127206"/>
        <c:axId val="38434493"/>
      </c:lineChart>
      <c:catAx>
        <c:axId val="77127206"/>
        <c:scaling>
          <c:orientation val="minMax"/>
        </c:scaling>
        <c:delete val="0"/>
        <c:axPos val="b"/>
        <c:title>
          <c:tx>
            <c:rich>
              <a:bodyPr rot="0"/>
              <a:lstStyle/>
              <a:p>
                <a:pPr>
                  <a:defRPr b="0" lang="en-US" sz="900" spc="-1" strike="noStrike">
                    <a:solidFill>
                      <a:srgbClr val="000000"/>
                    </a:solidFill>
                    <a:latin typeface="Calibri"/>
                  </a:defRPr>
                </a:pPr>
                <a:r>
                  <a:rPr b="0" lang="en-US" sz="900" spc="-1" strike="noStrike">
                    <a:solidFill>
                      <a:srgbClr val="000000"/>
                    </a:solidFill>
                    <a:latin typeface="Calibri"/>
                  </a:rPr>
                  <a:t>Muestra o subgrupo</a:t>
                </a:r>
              </a:p>
            </c:rich>
          </c:tx>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0" sz="900" spc="-1" strike="noStrike">
                <a:solidFill>
                  <a:srgbClr val="000000"/>
                </a:solidFill>
                <a:latin typeface="Calibri"/>
              </a:defRPr>
            </a:pPr>
          </a:p>
        </c:txPr>
        <c:crossAx val="38434493"/>
        <c:crosses val="autoZero"/>
        <c:auto val="1"/>
        <c:lblAlgn val="ctr"/>
        <c:lblOffset val="100"/>
        <c:noMultiLvlLbl val="0"/>
      </c:catAx>
      <c:valAx>
        <c:axId val="38434493"/>
        <c:scaling>
          <c:orientation val="minMax"/>
          <c:min val="60"/>
        </c:scaling>
        <c:delete val="0"/>
        <c:axPos val="l"/>
        <c:majorGridlines>
          <c:spPr>
            <a:ln w="9360">
              <a:solidFill>
                <a:srgbClr val="d9d9d9"/>
              </a:solidFill>
              <a:round/>
            </a:ln>
          </c:spPr>
        </c:majorGridlines>
        <c:title>
          <c:tx>
            <c:rich>
              <a:bodyPr rot="-5400000"/>
              <a:lstStyle/>
              <a:p>
                <a:pPr>
                  <a:defRPr b="0" lang="en-US" sz="900" spc="-1" strike="noStrike">
                    <a:solidFill>
                      <a:srgbClr val="000000"/>
                    </a:solidFill>
                    <a:latin typeface="Calibri"/>
                  </a:defRPr>
                </a:pPr>
                <a:r>
                  <a:rPr b="0" lang="en-US" sz="900" spc="-1" strike="noStrike">
                    <a:solidFill>
                      <a:srgbClr val="000000"/>
                    </a:solidFill>
                    <a:latin typeface="Calibri"/>
                  </a:rPr>
                  <a:t>Promedio de decibelios por área</a:t>
                </a:r>
              </a:p>
            </c:rich>
          </c:tx>
          <c:overlay val="0"/>
          <c:spPr>
            <a:noFill/>
            <a:ln w="0">
              <a:noFill/>
            </a:ln>
          </c:spPr>
        </c:title>
        <c:numFmt formatCode="General" sourceLinked="0"/>
        <c:majorTickMark val="none"/>
        <c:minorTickMark val="none"/>
        <c:tickLblPos val="nextTo"/>
        <c:spPr>
          <a:ln w="6480">
            <a:noFill/>
          </a:ln>
        </c:spPr>
        <c:txPr>
          <a:bodyPr/>
          <a:lstStyle/>
          <a:p>
            <a:pPr>
              <a:defRPr b="0" sz="900" spc="-1" strike="noStrike">
                <a:solidFill>
                  <a:srgbClr val="000000"/>
                </a:solidFill>
                <a:latin typeface="Calibri"/>
              </a:defRPr>
            </a:pPr>
          </a:p>
        </c:txPr>
        <c:crossAx val="77127206"/>
        <c:crosses val="autoZero"/>
        <c:crossBetween val="between"/>
      </c:valAx>
      <c:spPr>
        <a:noFill/>
        <a:ln w="0">
          <a:noFill/>
        </a:ln>
      </c:spPr>
    </c:plotArea>
    <c:legend>
      <c:legendPos val="b"/>
      <c:overlay val="0"/>
      <c:spPr>
        <a:noFill/>
        <a:ln w="0">
          <a:noFill/>
        </a:ln>
      </c:spPr>
      <c:txPr>
        <a:bodyPr/>
        <a:lstStyle/>
        <a:p>
          <a:pPr>
            <a:defRPr b="0" sz="900" spc="-1" strike="noStrike">
              <a:solidFill>
                <a:srgbClr val="000000"/>
              </a:solidFill>
              <a:latin typeface="Calibri"/>
            </a:defRPr>
          </a:pPr>
        </a:p>
      </c:txPr>
    </c:legend>
    <c:plotVisOnly val="1"/>
    <c:dispBlanksAs val="gap"/>
  </c:chart>
  <c:spPr>
    <a:solidFill>
      <a:srgbClr val="ffffff"/>
    </a:solidFill>
    <a:ln w="12600">
      <a:solidFill>
        <a:srgbClr val="4472c4"/>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s-MX" sz="1400" spc="-1" strike="noStrike">
                <a:solidFill>
                  <a:srgbClr val="000000"/>
                </a:solidFill>
                <a:latin typeface="Calibri"/>
              </a:defRPr>
            </a:pPr>
            <a:r>
              <a:rPr b="1" lang="es-MX" sz="1400" spc="-1" strike="noStrike">
                <a:solidFill>
                  <a:srgbClr val="000000"/>
                </a:solidFill>
                <a:latin typeface="Calibri"/>
              </a:rPr>
              <a:t>Gráfico X mercado de San Juan Ixcaquixtla</a:t>
            </a:r>
          </a:p>
        </c:rich>
      </c:tx>
      <c:layout>
        <c:manualLayout>
          <c:xMode val="edge"/>
          <c:yMode val="edge"/>
          <c:x val="0.122151898734177"/>
          <c:y val="0.0414614773629865"/>
        </c:manualLayout>
      </c:layout>
      <c:overlay val="0"/>
      <c:spPr>
        <a:noFill/>
        <a:ln w="0">
          <a:noFill/>
        </a:ln>
      </c:spPr>
    </c:title>
    <c:autoTitleDeleted val="0"/>
    <c:plotArea>
      <c:lineChart>
        <c:grouping val="standard"/>
        <c:varyColors val="0"/>
        <c:ser>
          <c:idx val="0"/>
          <c:order val="0"/>
          <c:tx>
            <c:strRef>
              <c:f>label 0</c:f>
              <c:strCache>
                <c:ptCount val="1"/>
                <c:pt idx="0">
                  <c:v>MEDIA</c:v>
                </c:pt>
              </c:strCache>
            </c:strRef>
          </c:tx>
          <c:spPr>
            <a:solidFill>
              <a:srgbClr val="4472c4"/>
            </a:solidFill>
            <a:ln cap="rnd" w="28440">
              <a:solidFill>
                <a:srgbClr val="4472c4"/>
              </a:solidFill>
              <a:round/>
            </a:ln>
          </c:spPr>
          <c:marker>
            <c:symbol val="triangle"/>
            <c:size val="7"/>
            <c:spPr>
              <a:solidFill>
                <a:srgbClr val="4472c4"/>
              </a:solidFill>
            </c:spPr>
          </c:marker>
          <c:dLbls>
            <c:txPr>
              <a:bodyPr wrap="none"/>
              <a:lstStyle/>
              <a:p>
                <a:pPr>
                  <a:defRPr b="1"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AV. Nava</c:v>
                </c:pt>
                <c:pt idx="1">
                  <c:v>FRENTE A MERCADO</c:v>
                </c:pt>
                <c:pt idx="2">
                  <c:v>ZONA DE COCINAS</c:v>
                </c:pt>
                <c:pt idx="3">
                  <c:v>PARTE LATERAL DERECHA DEL MERCADO</c:v>
                </c:pt>
                <c:pt idx="4">
                  <c:v>PARTE LATERAL IZQUIERDA DEL MERCADO</c:v>
                </c:pt>
              </c:strCache>
            </c:strRef>
          </c:cat>
          <c:val>
            <c:numRef>
              <c:f>0</c:f>
              <c:numCache>
                <c:formatCode>General</c:formatCode>
                <c:ptCount val="5"/>
                <c:pt idx="0">
                  <c:v>74.35</c:v>
                </c:pt>
                <c:pt idx="1">
                  <c:v>66.07</c:v>
                </c:pt>
                <c:pt idx="2">
                  <c:v>65.44</c:v>
                </c:pt>
                <c:pt idx="3">
                  <c:v>64.73</c:v>
                </c:pt>
                <c:pt idx="4">
                  <c:v>67.28</c:v>
                </c:pt>
              </c:numCache>
            </c:numRef>
          </c:val>
          <c:smooth val="0"/>
        </c:ser>
        <c:ser>
          <c:idx val="1"/>
          <c:order val="1"/>
          <c:tx>
            <c:strRef>
              <c:f>label 1</c:f>
              <c:strCache>
                <c:ptCount val="1"/>
                <c:pt idx="0">
                  <c:v>LCS</c:v>
                </c:pt>
              </c:strCache>
            </c:strRef>
          </c:tx>
          <c:spPr>
            <a:solidFill>
              <a:srgbClr val="ed7d31"/>
            </a:solidFill>
            <a:ln cap="rnd" w="28440">
              <a:solidFill>
                <a:srgbClr val="ed7d31"/>
              </a:solidFill>
              <a:round/>
            </a:ln>
          </c:spPr>
          <c:marker>
            <c:symbol val="none"/>
          </c:marker>
          <c:dLbls>
            <c:txPr>
              <a:bodyPr wrap="none"/>
              <a:lstStyle/>
              <a:p>
                <a:pPr>
                  <a:defRPr b="1"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AV. Nava</c:v>
                </c:pt>
                <c:pt idx="1">
                  <c:v>FRENTE A MERCADO</c:v>
                </c:pt>
                <c:pt idx="2">
                  <c:v>ZONA DE COCINAS</c:v>
                </c:pt>
                <c:pt idx="3">
                  <c:v>PARTE LATERAL DERECHA DEL MERCADO</c:v>
                </c:pt>
                <c:pt idx="4">
                  <c:v>PARTE LATERAL IZQUIERDA DEL MERCADO</c:v>
                </c:pt>
              </c:strCache>
            </c:strRef>
          </c:cat>
          <c:val>
            <c:numRef>
              <c:f>1</c:f>
              <c:numCache>
                <c:formatCode>General</c:formatCode>
                <c:ptCount val="5"/>
                <c:pt idx="0">
                  <c:v>95</c:v>
                </c:pt>
                <c:pt idx="1">
                  <c:v>95</c:v>
                </c:pt>
                <c:pt idx="2">
                  <c:v>95</c:v>
                </c:pt>
                <c:pt idx="3">
                  <c:v>95</c:v>
                </c:pt>
                <c:pt idx="4">
                  <c:v>95</c:v>
                </c:pt>
              </c:numCache>
            </c:numRef>
          </c:val>
          <c:smooth val="0"/>
        </c:ser>
        <c:ser>
          <c:idx val="2"/>
          <c:order val="2"/>
          <c:tx>
            <c:strRef>
              <c:f>label 2</c:f>
              <c:strCache>
                <c:ptCount val="1"/>
                <c:pt idx="0">
                  <c:v>LC</c:v>
                </c:pt>
              </c:strCache>
            </c:strRef>
          </c:tx>
          <c:spPr>
            <a:solidFill>
              <a:srgbClr val="a5a5a5"/>
            </a:solidFill>
            <a:ln cap="rnd" w="28440">
              <a:solidFill>
                <a:srgbClr val="a5a5a5"/>
              </a:solidFill>
              <a:round/>
            </a:ln>
          </c:spPr>
          <c:marker>
            <c:symbol val="none"/>
          </c:marker>
          <c:dLbls>
            <c:txPr>
              <a:bodyPr wrap="none"/>
              <a:lstStyle/>
              <a:p>
                <a:pPr>
                  <a:defRPr b="1"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AV. Nava</c:v>
                </c:pt>
                <c:pt idx="1">
                  <c:v>FRENTE A MERCADO</c:v>
                </c:pt>
                <c:pt idx="2">
                  <c:v>ZONA DE COCINAS</c:v>
                </c:pt>
                <c:pt idx="3">
                  <c:v>PARTE LATERAL DERECHA DEL MERCADO</c:v>
                </c:pt>
                <c:pt idx="4">
                  <c:v>PARTE LATERAL IZQUIERDA DEL MERCADO</c:v>
                </c:pt>
              </c:strCache>
            </c:strRef>
          </c:cat>
          <c:val>
            <c:numRef>
              <c:f>2</c:f>
              <c:numCache>
                <c:formatCode>General</c:formatCode>
                <c:ptCount val="5"/>
                <c:pt idx="0">
                  <c:v>85</c:v>
                </c:pt>
                <c:pt idx="1">
                  <c:v>85</c:v>
                </c:pt>
                <c:pt idx="2">
                  <c:v>85</c:v>
                </c:pt>
                <c:pt idx="3">
                  <c:v>85</c:v>
                </c:pt>
                <c:pt idx="4">
                  <c:v>85</c:v>
                </c:pt>
              </c:numCache>
            </c:numRef>
          </c:val>
          <c:smooth val="0"/>
        </c:ser>
        <c:ser>
          <c:idx val="3"/>
          <c:order val="3"/>
          <c:tx>
            <c:strRef>
              <c:f>label 3</c:f>
              <c:strCache>
                <c:ptCount val="1"/>
                <c:pt idx="0">
                  <c:v>LCI</c:v>
                </c:pt>
              </c:strCache>
            </c:strRef>
          </c:tx>
          <c:spPr>
            <a:solidFill>
              <a:srgbClr val="ffc000"/>
            </a:solidFill>
            <a:ln cap="rnd" w="28440">
              <a:solidFill>
                <a:srgbClr val="ffc000"/>
              </a:solidFill>
              <a:round/>
            </a:ln>
          </c:spPr>
          <c:marker>
            <c:symbol val="none"/>
          </c:marker>
          <c:dLbls>
            <c:txPr>
              <a:bodyPr wrap="none"/>
              <a:lstStyle/>
              <a:p>
                <a:pPr>
                  <a:defRPr b="1" sz="1000" spc="-1" strike="noStrike">
                    <a:solidFill>
                      <a:srgbClr val="000000"/>
                    </a:solidFill>
                    <a:latin typeface="Calibri"/>
                  </a:defRPr>
                </a:pPr>
              </a:p>
            </c:txPr>
            <c:dLblPos val="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5"/>
                <c:pt idx="0">
                  <c:v>AV. Nava</c:v>
                </c:pt>
                <c:pt idx="1">
                  <c:v>FRENTE A MERCADO</c:v>
                </c:pt>
                <c:pt idx="2">
                  <c:v>ZONA DE COCINAS</c:v>
                </c:pt>
                <c:pt idx="3">
                  <c:v>PARTE LATERAL DERECHA DEL MERCADO</c:v>
                </c:pt>
                <c:pt idx="4">
                  <c:v>PARTE LATERAL IZQUIERDA DEL MERCADO</c:v>
                </c:pt>
              </c:strCache>
            </c:strRef>
          </c:cat>
          <c:val>
            <c:numRef>
              <c:f>3</c:f>
              <c:numCache>
                <c:formatCode>General</c:formatCode>
                <c:ptCount val="5"/>
                <c:pt idx="0">
                  <c:v>70</c:v>
                </c:pt>
                <c:pt idx="1">
                  <c:v>70</c:v>
                </c:pt>
                <c:pt idx="2">
                  <c:v>70</c:v>
                </c:pt>
                <c:pt idx="3">
                  <c:v>70</c:v>
                </c:pt>
                <c:pt idx="4">
                  <c:v>70</c:v>
                </c:pt>
              </c:numCache>
            </c:numRef>
          </c:val>
          <c:smooth val="0"/>
        </c:ser>
        <c:hiLowLines>
          <c:spPr>
            <a:ln w="0">
              <a:noFill/>
            </a:ln>
          </c:spPr>
        </c:hiLowLines>
        <c:marker val="1"/>
        <c:axId val="442072"/>
        <c:axId val="68025491"/>
      </c:lineChart>
      <c:catAx>
        <c:axId val="442072"/>
        <c:scaling>
          <c:orientation val="minMax"/>
        </c:scaling>
        <c:delete val="0"/>
        <c:axPos val="b"/>
        <c:title>
          <c:tx>
            <c:rich>
              <a:bodyPr rot="0"/>
              <a:lstStyle/>
              <a:p>
                <a:pPr>
                  <a:defRPr b="1" lang="es-MX" sz="1000" spc="-1" strike="noStrike">
                    <a:solidFill>
                      <a:srgbClr val="000000"/>
                    </a:solidFill>
                    <a:latin typeface="Calibri"/>
                  </a:defRPr>
                </a:pPr>
                <a:r>
                  <a:rPr b="1" lang="es-MX" sz="1000" spc="-1" strike="noStrike">
                    <a:solidFill>
                      <a:srgbClr val="000000"/>
                    </a:solidFill>
                    <a:latin typeface="Calibri"/>
                  </a:rPr>
                  <a:t>Muestra o subgrupos</a:t>
                </a:r>
              </a:p>
            </c:rich>
          </c:tx>
          <c:layout>
            <c:manualLayout>
              <c:xMode val="edge"/>
              <c:yMode val="edge"/>
              <c:x val="0.594050632911392"/>
              <c:y val="0.756314535345512"/>
            </c:manualLayout>
          </c:layout>
          <c:overlay val="0"/>
          <c:spPr>
            <a:noFill/>
            <a:ln w="0">
              <a:noFill/>
            </a:ln>
          </c:spPr>
        </c:title>
        <c:numFmt formatCode="General" sourceLinked="0"/>
        <c:majorTickMark val="none"/>
        <c:minorTickMark val="none"/>
        <c:tickLblPos val="nextTo"/>
        <c:spPr>
          <a:ln w="9360">
            <a:solidFill>
              <a:srgbClr val="d9d9d9"/>
            </a:solidFill>
            <a:round/>
          </a:ln>
        </c:spPr>
        <c:txPr>
          <a:bodyPr/>
          <a:lstStyle/>
          <a:p>
            <a:pPr>
              <a:defRPr b="1" sz="800" spc="-1" strike="noStrike">
                <a:solidFill>
                  <a:srgbClr val="000000"/>
                </a:solidFill>
                <a:latin typeface="Calibri"/>
              </a:defRPr>
            </a:pPr>
          </a:p>
        </c:txPr>
        <c:crossAx val="68025491"/>
        <c:crosses val="autoZero"/>
        <c:auto val="1"/>
        <c:lblAlgn val="ctr"/>
        <c:lblOffset val="100"/>
        <c:noMultiLvlLbl val="0"/>
      </c:catAx>
      <c:valAx>
        <c:axId val="68025491"/>
        <c:scaling>
          <c:orientation val="minMax"/>
          <c:min val="60"/>
        </c:scaling>
        <c:delete val="0"/>
        <c:axPos val="l"/>
        <c:majorGridlines>
          <c:spPr>
            <a:ln w="9360">
              <a:solidFill>
                <a:srgbClr val="d9d9d9"/>
              </a:solidFill>
              <a:round/>
            </a:ln>
          </c:spPr>
        </c:majorGridlines>
        <c:title>
          <c:tx>
            <c:rich>
              <a:bodyPr rot="-5400000"/>
              <a:lstStyle/>
              <a:p>
                <a:pPr>
                  <a:defRPr b="1" lang="es-MX" sz="1000" spc="-1" strike="noStrike">
                    <a:solidFill>
                      <a:srgbClr val="000000"/>
                    </a:solidFill>
                    <a:latin typeface="Calibri"/>
                  </a:defRPr>
                </a:pPr>
                <a:r>
                  <a:rPr b="1" lang="es-MX" sz="1000" spc="-1" strike="noStrike">
                    <a:solidFill>
                      <a:srgbClr val="000000"/>
                    </a:solidFill>
                    <a:latin typeface="Calibri"/>
                  </a:rPr>
                  <a:t>Promedios de decibelios por área </a:t>
                </a:r>
              </a:p>
            </c:rich>
          </c:tx>
          <c:layout>
            <c:manualLayout>
              <c:xMode val="edge"/>
              <c:yMode val="edge"/>
              <c:x val="0.0448101265822785"/>
              <c:y val="0.0638602065131056"/>
            </c:manualLayout>
          </c:layout>
          <c:overlay val="0"/>
          <c:spPr>
            <a:noFill/>
            <a:ln w="0">
              <a:noFill/>
            </a:ln>
          </c:spPr>
        </c:title>
        <c:numFmt formatCode="General" sourceLinked="0"/>
        <c:majorTickMark val="none"/>
        <c:minorTickMark val="none"/>
        <c:tickLblPos val="nextTo"/>
        <c:spPr>
          <a:ln w="6480">
            <a:noFill/>
          </a:ln>
        </c:spPr>
        <c:txPr>
          <a:bodyPr/>
          <a:lstStyle/>
          <a:p>
            <a:pPr>
              <a:defRPr b="1" sz="900" spc="-1" strike="noStrike">
                <a:solidFill>
                  <a:srgbClr val="000000"/>
                </a:solidFill>
                <a:latin typeface="Calibri"/>
              </a:defRPr>
            </a:pPr>
          </a:p>
        </c:txPr>
        <c:crossAx val="442072"/>
        <c:crosses val="autoZero"/>
        <c:crossBetween val="between"/>
      </c:valAx>
      <c:spPr>
        <a:noFill/>
        <a:ln w="0">
          <a:noFill/>
        </a:ln>
      </c:spPr>
    </c:plotArea>
    <c:legend>
      <c:legendPos val="b"/>
      <c:layout>
        <c:manualLayout>
          <c:xMode val="edge"/>
          <c:yMode val="edge"/>
          <c:x val="0.543739713887834"/>
          <c:y val="0.844931680965999"/>
          <c:w val="0.451955943790353"/>
          <c:h val="0.148871941531617"/>
        </c:manualLayout>
      </c:layout>
      <c:overlay val="0"/>
      <c:spPr>
        <a:noFill/>
        <a:ln w="0">
          <a:noFill/>
        </a:ln>
      </c:spPr>
      <c:txPr>
        <a:bodyPr/>
        <a:lstStyle/>
        <a:p>
          <a:pPr>
            <a:defRPr b="1"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Día07</b:Tag>
    <b:SourceType>Book</b:SourceType>
    <b:Guid>{48EA8348-8691-415D-9B8D-F9BA567B7173}</b:Guid>
    <b:Author>
      <b:Author>
        <b:NameList>
          <b:Person>
            <b:Last>Díaz</b:Last>
            <b:First>José</b:First>
            <b:Middle>Marían Cortés</b:Middle>
          </b:Person>
        </b:NameList>
      </b:Author>
    </b:Author>
    <b:Title>Técnicas de prevención de riesgos laborales: Seguridad e higiene del trabajo. 9° edición</b:Title>
    <b:Year>2007</b:Year>
    <b:City>Madrid</b:City>
    <b:Publisher>TÉBAR</b:Publisher>
    <b:RefOrder>1</b:RefOrder>
  </b:Source>
  <b:Source>
    <b:Tag>Ant18</b:Tag>
    <b:SourceType>InternetSite</b:SourceType>
    <b:Guid>{E7FB9CE4-82D3-4EE0-8104-0B352B8FBAB4}</b:Guid>
    <b:Title>Contral Lab</b:Title>
    <b:Year>2018</b:Year>
    <b:Author>
      <b:Author>
        <b:NameList>
          <b:Person>
            <b:Last>Álvarez</b:Last>
            <b:First>Antonio</b:First>
          </b:Person>
        </b:NameList>
      </b:Author>
    </b:Author>
    <b:InternetSiteTitle>El ruido en el lugar de trabajo: ¿cómo acabar con él?</b:InternetSiteTitle>
    <b:Month>Diciembre</b:Month>
    <b:Day>04</b:Day>
    <b:URL>https://www.cotral.es/blog/prevencion-riesgos-auditivos/el-ruido-en-el-lugar-de-trabajo-como-acabar-con-el.html</b:URL>
    <b:RefOrder>2</b:RefOrder>
  </b:Source>
</b:Sources>
</file>

<file path=customXml/itemProps1.xml><?xml version="1.0" encoding="utf-8"?>
<ds:datastoreItem xmlns:ds="http://schemas.openxmlformats.org/officeDocument/2006/customXml" ds:itemID="{2C40771F-CEBB-4EF0-B2F5-86635CCF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Application>LibreOffice/7.0.4.2$Linux_X86_64 LibreOffice_project/00$Build-2</Application>
  <AppVersion>15.0000</AppVersion>
  <Pages>10</Pages>
  <Words>5351</Words>
  <Characters>26764</Characters>
  <CharactersWithSpaces>31448</CharactersWithSpaces>
  <Paragraphs>674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2023-04-29T15:24:00Z</dcterms:created>
  <dc:creator>Gerardo Hernandez Villamil</dc:creator>
  <dc:description/>
  <dc:language>es-MX</dc:language>
  <cp:lastModifiedBy/>
  <dcterms:modified xsi:type="dcterms:W3CDTF">2023-07-05T09:24:45Z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