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footer10.xml" ContentType="application/vnd.openxmlformats-officedocument.wordprocessingml.footer+xml"/>
  <Override PartName="/word/footer6.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footer7.xml" ContentType="application/vnd.openxmlformats-officedocument.wordprocessingml.footer+xml"/>
  <Override PartName="/word/footer5.xml" ContentType="application/vnd.openxmlformats-officedocument.wordprocessingml.footer+xml"/>
  <Override PartName="/word/document.xml" ContentType="application/vnd.openxmlformats-officedocument.wordprocessingml.document.main+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sz w:val="44"/>
          <w:szCs w:val="44"/>
        </w:rPr>
      </w:pPr>
      <w:r>
        <w:rPr>
          <w:rFonts w:eastAsia="Arial" w:cs="Arial" w:ascii="Times New Roman" w:hAnsi="Times New Roman"/>
          <w:b w:val="false"/>
          <w:bCs w:val="false"/>
          <w:sz w:val="44"/>
          <w:szCs w:val="44"/>
        </w:rPr>
        <w:t>Ingeniería ambiental en tiempos del Tren Maya</w:t>
      </w:r>
    </w:p>
    <w:p>
      <w:pPr>
        <w:pStyle w:val="Normal"/>
        <w:spacing w:lineRule="auto" w:line="240" w:before="0" w:after="0"/>
        <w:ind w:left="0" w:right="0" w:hanging="0"/>
        <w:jc w:val="center"/>
        <w:rPr>
          <w:rFonts w:eastAsia="Arial" w:cs="Arial"/>
          <w:b/>
          <w:b/>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eastAsia="Arial" w:cs="Arial" w:ascii="Times New Roman" w:hAnsi="Times New Roman"/>
          <w:b w:val="false"/>
          <w:bCs w:val="false"/>
          <w:sz w:val="36"/>
          <w:szCs w:val="36"/>
          <w:lang w:val="en-US"/>
        </w:rPr>
        <w:t>Environmental engineering in times of the Maya train</w:t>
      </w:r>
    </w:p>
    <w:p>
      <w:pPr>
        <w:pStyle w:val="Normal"/>
        <w:spacing w:lineRule="auto" w:line="240" w:before="0" w:after="0"/>
        <w:ind w:left="0" w:right="0" w:hanging="0"/>
        <w:jc w:val="both"/>
        <w:rPr>
          <w:rFonts w:ascii="Times New Roman" w:hAnsi="Times New Roman" w:eastAsia="Arial" w:cs="Arial"/>
          <w:b/>
          <w:b/>
          <w:sz w:val="20"/>
          <w:szCs w:val="20"/>
          <w:lang w:val="en-US"/>
        </w:rPr>
      </w:pPr>
      <w:r>
        <w:rPr>
          <w:rFonts w:eastAsia="Arial" w:cs="Arial" w:ascii="Times New Roman" w:hAnsi="Times New Roman"/>
          <w:b/>
          <w:sz w:val="20"/>
          <w:szCs w:val="20"/>
          <w:lang w:val="en-US"/>
        </w:rPr>
      </w:r>
    </w:p>
    <w:p>
      <w:pPr>
        <w:pStyle w:val="Normal"/>
        <w:spacing w:lineRule="auto" w:line="240" w:before="0" w:after="0"/>
        <w:ind w:left="0" w:right="0" w:hanging="0"/>
        <w:jc w:val="center"/>
        <w:rPr>
          <w:rFonts w:ascii="Times New Roman" w:hAnsi="Times New Roman"/>
          <w:sz w:val="20"/>
          <w:szCs w:val="20"/>
        </w:rPr>
      </w:pPr>
      <w:r>
        <w:rPr>
          <w:rFonts w:eastAsia="Arial" w:cs="Arial" w:ascii="Times New Roman" w:hAnsi="Times New Roman"/>
          <w:sz w:val="20"/>
          <w:szCs w:val="20"/>
          <w:lang w:val="en-US"/>
        </w:rPr>
        <w:t xml:space="preserve"> </w:t>
      </w:r>
      <w:r>
        <w:rPr>
          <w:rFonts w:eastAsia="Arial" w:cs="Arial" w:ascii="Times New Roman" w:hAnsi="Times New Roman"/>
          <w:sz w:val="24"/>
          <w:szCs w:val="24"/>
          <w:lang w:val="en-US"/>
        </w:rPr>
        <w:t xml:space="preserve">Lucio Armando </w:t>
      </w:r>
      <w:r>
        <w:rPr>
          <w:rFonts w:eastAsia="Arial" w:cs="Arial" w:ascii="Times New Roman" w:hAnsi="Times New Roman"/>
          <w:sz w:val="24"/>
          <w:szCs w:val="24"/>
        </w:rPr>
        <w:t>Mazun Aban</w:t>
      </w:r>
      <w:r>
        <w:rPr>
          <w:rFonts w:eastAsia="Arial" w:cs="Arial" w:ascii="Times New Roman" w:hAnsi="Times New Roman"/>
          <w:sz w:val="24"/>
          <w:szCs w:val="24"/>
          <w:vertAlign w:val="superscript"/>
        </w:rPr>
        <w:t>1*</w:t>
      </w:r>
      <w:r>
        <w:rPr>
          <w:rFonts w:eastAsia="Arial" w:cs="Arial" w:ascii="Times New Roman" w:hAnsi="Times New Roman"/>
          <w:sz w:val="24"/>
          <w:szCs w:val="24"/>
        </w:rPr>
        <w:t xml:space="preserve"> </w:t>
      </w:r>
      <w:r>
        <w:rPr>
          <w:rFonts w:eastAsia="Arial" w:cs="Arial" w:ascii="Times New Roman" w:hAnsi="Times New Roman"/>
          <w:sz w:val="24"/>
          <w:szCs w:val="24"/>
        </w:rPr>
        <w:t xml:space="preserve">y </w:t>
      </w:r>
      <w:r>
        <w:rPr>
          <w:rFonts w:eastAsia="Arial" w:cs="Arial" w:ascii="Times New Roman" w:hAnsi="Times New Roman"/>
          <w:sz w:val="24"/>
          <w:szCs w:val="24"/>
        </w:rPr>
        <w:t>Delghi Yudire Ruiz Patrón</w:t>
      </w:r>
      <w:r>
        <w:rPr>
          <w:rFonts w:eastAsia="Arial" w:cs="Arial" w:ascii="Times New Roman" w:hAnsi="Times New Roman"/>
          <w:sz w:val="24"/>
          <w:szCs w:val="24"/>
          <w:vertAlign w:val="superscript"/>
        </w:rPr>
        <w:t>1</w:t>
      </w:r>
    </w:p>
    <w:p>
      <w:pPr>
        <w:pStyle w:val="Normal"/>
        <w:spacing w:lineRule="auto" w:line="240" w:before="0" w:after="0"/>
        <w:ind w:left="0" w:right="0" w:hanging="0"/>
        <w:jc w:val="center"/>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center"/>
        <w:rPr>
          <w:rFonts w:ascii="Times New Roman" w:hAnsi="Times New Roman"/>
          <w:b w:val="false"/>
          <w:b w:val="false"/>
          <w:bCs w:val="false"/>
          <w:i/>
          <w:i/>
          <w:iCs/>
          <w:color w:val="000000"/>
          <w:sz w:val="24"/>
          <w:szCs w:val="24"/>
        </w:rPr>
      </w:pPr>
      <w:r>
        <w:rPr>
          <w:rFonts w:cs="Times New Roman" w:ascii="Times New Roman" w:hAnsi="Times New Roman"/>
          <w:b w:val="false"/>
          <w:bCs w:val="false"/>
          <w:i/>
          <w:iCs/>
          <w:color w:val="000000"/>
          <w:sz w:val="24"/>
          <w:szCs w:val="24"/>
          <w:vertAlign w:val="superscript"/>
        </w:rPr>
        <w:t>1</w:t>
      </w:r>
      <w:r>
        <w:rPr>
          <w:rFonts w:cs="Times New Roman" w:ascii="Times New Roman" w:hAnsi="Times New Roman"/>
          <w:b w:val="false"/>
          <w:bCs w:val="false"/>
          <w:i/>
          <w:iCs/>
          <w:color w:val="000000"/>
          <w:sz w:val="24"/>
          <w:szCs w:val="24"/>
        </w:rPr>
        <w:t xml:space="preserve">Tecnológico Nacional de México campus Valladolid, carretera Valladolid - Tizimín, </w:t>
      </w:r>
    </w:p>
    <w:p>
      <w:pPr>
        <w:pStyle w:val="Normal"/>
        <w:spacing w:lineRule="auto" w:line="240" w:before="0" w:after="0"/>
        <w:ind w:left="0" w:right="0" w:hanging="0"/>
        <w:jc w:val="center"/>
        <w:rPr>
          <w:rFonts w:ascii="Times New Roman" w:hAnsi="Times New Roman"/>
          <w:b w:val="false"/>
          <w:b w:val="false"/>
          <w:bCs w:val="false"/>
          <w:i/>
          <w:i/>
          <w:iCs/>
          <w:color w:val="000000"/>
          <w:sz w:val="24"/>
          <w:szCs w:val="24"/>
        </w:rPr>
      </w:pPr>
      <w:r>
        <w:rPr>
          <w:rFonts w:eastAsia="Arial" w:cs="Times New Roman" w:ascii="Times New Roman" w:hAnsi="Times New Roman"/>
          <w:b w:val="false"/>
          <w:bCs w:val="false"/>
          <w:i/>
          <w:iCs/>
          <w:color w:val="000000"/>
          <w:sz w:val="24"/>
          <w:szCs w:val="24"/>
        </w:rPr>
        <w:t xml:space="preserve">Km. 3.5,Tablaje catastral No. 8850, C.P. 97780, Valladolid, Yucatán, México. </w:t>
      </w:r>
    </w:p>
    <w:p>
      <w:pPr>
        <w:pStyle w:val="Normal"/>
        <w:spacing w:lineRule="auto" w:line="240" w:before="0" w:after="0"/>
        <w:ind w:left="0" w:right="0" w:hanging="0"/>
        <w:jc w:val="center"/>
        <w:rPr>
          <w:rFonts w:ascii="Times New Roman" w:hAnsi="Times New Roman" w:eastAsia="Arial" w:cs="Arial"/>
          <w:sz w:val="20"/>
          <w:szCs w:val="20"/>
        </w:rPr>
      </w:pPr>
      <w:r>
        <w:rPr>
          <w:rFonts w:eastAsia="Arial" w:cs="Arial" w:ascii="Times New Roman" w:hAnsi="Times New Roman"/>
          <w:sz w:val="20"/>
          <w:szCs w:val="20"/>
        </w:rPr>
      </w:r>
    </w:p>
    <w:p>
      <w:pPr>
        <w:pStyle w:val="Normal"/>
        <w:spacing w:lineRule="auto" w:line="240" w:before="0" w:after="0"/>
        <w:ind w:left="0" w:right="0" w:hanging="0"/>
        <w:jc w:val="center"/>
        <w:rPr>
          <w:rFonts w:ascii="Times New Roman" w:hAnsi="Times New Roman" w:eastAsia="Arial" w:cs="Arial"/>
          <w:i/>
          <w:i/>
          <w:iCs/>
          <w:sz w:val="20"/>
          <w:szCs w:val="20"/>
        </w:rPr>
      </w:pPr>
      <w:r>
        <w:rPr>
          <w:rFonts w:eastAsia="Arial" w:cs="Arial" w:ascii="Times New Roman" w:hAnsi="Times New Roman"/>
          <w:i/>
          <w:iCs/>
          <w:sz w:val="20"/>
          <w:szCs w:val="20"/>
        </w:rPr>
        <w:t>*</w:t>
      </w:r>
      <w:r>
        <w:rPr>
          <w:rFonts w:eastAsia="Arial" w:cs="Arial" w:ascii="Times New Roman" w:hAnsi="Times New Roman"/>
          <w:i/>
          <w:iCs/>
          <w:sz w:val="20"/>
          <w:szCs w:val="20"/>
        </w:rPr>
        <w:t>Corresponding author:</w:t>
      </w:r>
    </w:p>
    <w:p>
      <w:pPr>
        <w:pStyle w:val="Normal"/>
        <w:spacing w:lineRule="auto" w:line="240" w:before="0" w:after="0"/>
        <w:ind w:left="0" w:right="0" w:hanging="0"/>
        <w:jc w:val="center"/>
        <w:rPr>
          <w:rFonts w:ascii="Times New Roman" w:hAnsi="Times New Roman" w:eastAsia="Arial" w:cs="Arial"/>
          <w:i/>
          <w:i/>
          <w:iCs/>
          <w:sz w:val="20"/>
          <w:szCs w:val="20"/>
        </w:rPr>
      </w:pPr>
      <w:r>
        <w:rPr>
          <w:rFonts w:eastAsia="Arial" w:cs="Arial" w:ascii="Times New Roman" w:hAnsi="Times New Roman"/>
          <w:i/>
          <w:iCs/>
          <w:sz w:val="20"/>
          <w:szCs w:val="20"/>
        </w:rPr>
        <w:t>lmazun75@gmail.com</w:t>
      </w:r>
    </w:p>
    <w:p>
      <w:pPr>
        <w:pStyle w:val="Normal"/>
        <w:spacing w:lineRule="auto" w:line="240" w:before="0" w:after="0"/>
        <w:ind w:left="0" w:right="0" w:hanging="0"/>
        <w:jc w:val="both"/>
        <w:rPr>
          <w:rFonts w:ascii="Times New Roman" w:hAnsi="Times New Roman" w:eastAsia="Arial" w:cs="Arial"/>
          <w:sz w:val="20"/>
          <w:szCs w:val="20"/>
        </w:rPr>
      </w:pPr>
      <w:r>
        <w:rPr>
          <w:rFonts w:eastAsia="Arial" w:cs="Arial" w:ascii="Times New Roman" w:hAnsi="Times New Roman"/>
          <w:sz w:val="20"/>
          <w:szCs w:val="20"/>
        </w:rPr>
      </w:r>
    </w:p>
    <w:p>
      <w:pPr>
        <w:sectPr>
          <w:headerReference w:type="default" r:id="rId2"/>
          <w:footerReference w:type="default" r:id="rId3"/>
          <w:type w:val="nextPage"/>
          <w:pgSz w:w="12240" w:h="15840"/>
          <w:pgMar w:left="1440" w:right="1440" w:header="708" w:top="1440" w:footer="708" w:bottom="1440" w:gutter="0"/>
          <w:pgNumType w:start="1" w:fmt="decimal"/>
          <w:formProt w:val="false"/>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Arial" w:cs="Arial" w:ascii="Times New Roman" w:hAnsi="Times New Roman"/>
          <w:b/>
          <w:bCs/>
          <w:sz w:val="20"/>
          <w:szCs w:val="20"/>
        </w:rPr>
        <w:t xml:space="preserve">Resumen: el hombre ha modificado su entorno desde su aparición, como resultado de este proceso, el entorno natural ha sufrido grandes alteraciones, actualmente, la enseñanza de ciencias ambientales ha empezado a tomar relevancia en todos los niveles educativos, </w:t>
      </w:r>
      <w:r>
        <w:rPr>
          <w:rFonts w:cs="Arial" w:ascii="Times New Roman" w:hAnsi="Times New Roman"/>
          <w:b/>
          <w:bCs/>
          <w:sz w:val="20"/>
          <w:szCs w:val="20"/>
        </w:rPr>
        <w:t xml:space="preserve">el trabajo de un ingeniero ambiental es proporcionar un criterio uniforme ante problemáticas que relacionen medioambiente y sociedad.  En la nueva era “Tren Maya” diversas problemáticas orillan a la desconfianza de cumplir con el objetivo establecido “Un desarrollo económico y sustentable para toda la península de Yucatán, con ello nace nuevas incógnitas. En la actualidad diversos proyectos son puestos en marcha para la generación de empleo y el abastecimiento de economía en el estado, ya sean micro o macroproyectos como el Tren Maya. Este artículo pretende contextualizar los temas ambientales desde enfoques primordiales respecto al proyecto Tren Maya, con el análisis de problemáticas, evaluación de variables primordiales en el desarrollo urbano en la actualidad y por consiguiente, abarcar el valor e importancia de la ingeniería ambiental y la aportación de la academia en la gestión de este tipo de megaproyectos, de tal forma que el criterio de expertos en temas ambientales es necesario para conocer todas las perspectivas antes de tomar un criterio uniforme. </w:t>
      </w:r>
    </w:p>
    <w:p>
      <w:pPr>
        <w:pStyle w:val="Normal"/>
        <w:spacing w:lineRule="auto" w:line="240" w:before="0" w:after="0"/>
        <w:ind w:left="0" w:right="0" w:hanging="0"/>
        <w:jc w:val="both"/>
        <w:rPr>
          <w:rFonts w:cs="Arial"/>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Arial" w:cs="Arial" w:ascii="Times New Roman" w:hAnsi="Times New Roman"/>
          <w:b/>
          <w:bCs/>
          <w:sz w:val="20"/>
          <w:szCs w:val="20"/>
        </w:rPr>
        <w:t xml:space="preserve">Palabras clave: ambiental, </w:t>
      </w:r>
      <w:r>
        <w:rPr>
          <w:rFonts w:eastAsia="Arial" w:cs="Arial" w:ascii="Times New Roman" w:hAnsi="Times New Roman"/>
          <w:b/>
          <w:bCs/>
          <w:sz w:val="20"/>
          <w:szCs w:val="20"/>
        </w:rPr>
        <w:t>e</w:t>
      </w:r>
      <w:r>
        <w:rPr>
          <w:rFonts w:eastAsia="Arial" w:cs="Arial" w:ascii="Times New Roman" w:hAnsi="Times New Roman"/>
          <w:b/>
          <w:bCs/>
          <w:sz w:val="20"/>
          <w:szCs w:val="20"/>
        </w:rPr>
        <w:t xml:space="preserve">cosistema, </w:t>
      </w:r>
      <w:r>
        <w:rPr>
          <w:rFonts w:eastAsia="Arial" w:cs="Arial" w:ascii="Times New Roman" w:hAnsi="Times New Roman"/>
          <w:b/>
          <w:bCs/>
          <w:sz w:val="20"/>
          <w:szCs w:val="20"/>
        </w:rPr>
        <w:t>i</w:t>
      </w:r>
      <w:r>
        <w:rPr>
          <w:rFonts w:eastAsia="Arial" w:cs="Arial" w:ascii="Times New Roman" w:hAnsi="Times New Roman"/>
          <w:b/>
          <w:bCs/>
          <w:sz w:val="20"/>
          <w:szCs w:val="20"/>
        </w:rPr>
        <w:t xml:space="preserve">ngeniero, </w:t>
      </w:r>
      <w:r>
        <w:rPr>
          <w:rFonts w:eastAsia="Arial" w:cs="Arial" w:ascii="Times New Roman" w:hAnsi="Times New Roman"/>
          <w:b/>
          <w:bCs/>
          <w:sz w:val="20"/>
          <w:szCs w:val="20"/>
        </w:rPr>
        <w:t>i</w:t>
      </w:r>
      <w:r>
        <w:rPr>
          <w:rFonts w:eastAsia="Arial" w:cs="Arial" w:ascii="Times New Roman" w:hAnsi="Times New Roman"/>
          <w:b/>
          <w:bCs/>
          <w:sz w:val="20"/>
          <w:szCs w:val="20"/>
        </w:rPr>
        <w:t xml:space="preserve">mpacto, </w:t>
      </w:r>
      <w:r>
        <w:rPr>
          <w:rFonts w:eastAsia="Arial" w:cs="Arial" w:ascii="Times New Roman" w:hAnsi="Times New Roman"/>
          <w:b/>
          <w:bCs/>
          <w:sz w:val="20"/>
          <w:szCs w:val="20"/>
        </w:rPr>
        <w:t>m</w:t>
      </w:r>
      <w:r>
        <w:rPr>
          <w:rFonts w:eastAsia="Arial" w:cs="Arial" w:ascii="Times New Roman" w:hAnsi="Times New Roman"/>
          <w:b/>
          <w:bCs/>
          <w:sz w:val="20"/>
          <w:szCs w:val="20"/>
        </w:rPr>
        <w:t>egaproyecto.</w:t>
      </w:r>
    </w:p>
    <w:p>
      <w:pPr>
        <w:pStyle w:val="Normal"/>
        <w:spacing w:lineRule="auto" w:line="240" w:before="0" w:after="0"/>
        <w:ind w:left="0" w:right="0" w:hanging="0"/>
        <w:rPr>
          <w:rFonts w:ascii="Times New Roman" w:hAnsi="Times New Roman" w:eastAsia="Arial" w:cs="Arial"/>
          <w:b/>
          <w:b/>
          <w:bCs/>
          <w:sz w:val="20"/>
          <w:szCs w:val="20"/>
        </w:rPr>
      </w:pPr>
      <w:r>
        <w:rPr>
          <w:rFonts w:eastAsia="Arial" w:cs="Arial"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Arial" w:cs="Arial" w:ascii="Times New Roman" w:hAnsi="Times New Roman"/>
          <w:b/>
          <w:bCs/>
          <w:sz w:val="20"/>
          <w:szCs w:val="20"/>
          <w:lang w:val="en-US"/>
        </w:rPr>
        <w:t>Abstract: the man has modified his environment since his appearance, as a result of this process, the natural environment has undergone great alterations, currently, the teaching of environmental sciences has begun to take relevance at all educational levels, the job of an environmental engineer is to provide a uniform criterion to problems that relate environment and society., the job of an environmental engineer is to provide a uniform approach to problems that relate environment and society. In the new era "Mayan Train" various problems border on the distrust of fulfilling the established objective "An economic and sustainable development for the entire Yucatan Peninsula, with this new unknowns are born. Currently, various projects are launched to generate employment and supply the economy in the state, whether they are micro or macro projects such as the Mayan train. This article aims to contextualize environmental issues from primary approaches regarding the Mayan train project, with the analysis of problems,</w:t>
      </w:r>
      <w:r>
        <w:rPr>
          <w:rFonts w:ascii="Times New Roman" w:hAnsi="Times New Roman"/>
          <w:b/>
          <w:bCs/>
          <w:sz w:val="20"/>
          <w:szCs w:val="20"/>
          <w:lang w:val="en-US"/>
        </w:rPr>
        <w:t xml:space="preserve"> </w:t>
      </w:r>
      <w:r>
        <w:rPr>
          <w:rFonts w:eastAsia="Arial" w:cs="Arial" w:ascii="Times New Roman" w:hAnsi="Times New Roman"/>
          <w:b/>
          <w:bCs/>
          <w:sz w:val="20"/>
          <w:szCs w:val="20"/>
          <w:lang w:val="en-US"/>
        </w:rPr>
        <w:t xml:space="preserve">evaluation of key variables in urban development today and therefore, encompass the value and importance of environmental engineering and the contribution of the academy in the management of this type of megaprojects, of in such a way that the criteria of experts on environmental issues is necessary to know all the perspectives before taking a uniform criterion. </w:t>
      </w:r>
    </w:p>
    <w:p>
      <w:pPr>
        <w:pStyle w:val="Normal"/>
        <w:spacing w:lineRule="auto" w:line="240" w:before="0" w:after="0"/>
        <w:ind w:left="0" w:right="0" w:hanging="0"/>
        <w:jc w:val="both"/>
        <w:rPr>
          <w:rFonts w:eastAsia="Arial" w:cs="Arial"/>
          <w:lang w:val="en-US"/>
        </w:rPr>
      </w:pPr>
      <w:r>
        <w:rPr>
          <w:rFonts w:ascii="Times New Roman" w:hAnsi="Times New Roman"/>
          <w:b/>
          <w:bCs/>
          <w:sz w:val="20"/>
          <w:szCs w:val="20"/>
        </w:rPr>
      </w:r>
    </w:p>
    <w:p>
      <w:pPr>
        <w:sectPr>
          <w:type w:val="continuous"/>
          <w:pgSz w:w="12240" w:h="15840"/>
          <w:pgMar w:left="1440" w:right="1440" w:header="708" w:top="1440" w:footer="708" w:bottom="1440" w:gutter="0"/>
          <w:cols w:num="2" w:space="282" w:equalWidth="true" w:sep="false"/>
          <w:formProt w:val="false"/>
          <w:textDirection w:val="lrTb"/>
          <w:docGrid w:type="default" w:linePitch="100" w:charSpace="4096"/>
        </w:sectPr>
        <w:pStyle w:val="Normal"/>
        <w:spacing w:lineRule="auto" w:line="240" w:before="0" w:after="0"/>
        <w:ind w:left="0" w:right="0" w:hanging="0"/>
        <w:jc w:val="both"/>
        <w:rPr>
          <w:rFonts w:ascii="Times New Roman" w:hAnsi="Times New Roman"/>
          <w:b/>
          <w:b/>
          <w:bCs/>
          <w:sz w:val="20"/>
          <w:szCs w:val="20"/>
        </w:rPr>
      </w:pPr>
      <w:r>
        <w:rPr>
          <w:rFonts w:eastAsia="Arial" w:cs="Arial" w:ascii="Times New Roman" w:hAnsi="Times New Roman"/>
          <w:b/>
          <w:bCs/>
          <w:sz w:val="20"/>
          <w:szCs w:val="20"/>
          <w:lang w:val="en-US"/>
        </w:rPr>
        <w:t xml:space="preserve">Keywords: </w:t>
      </w:r>
      <w:r>
        <w:rPr>
          <w:rFonts w:eastAsia="Arial" w:cs="Arial" w:ascii="Times New Roman" w:hAnsi="Times New Roman"/>
          <w:b/>
          <w:bCs/>
          <w:sz w:val="20"/>
          <w:szCs w:val="20"/>
          <w:lang w:val="en-US"/>
        </w:rPr>
        <w:t>E</w:t>
      </w:r>
      <w:r>
        <w:rPr>
          <w:rFonts w:eastAsia="Arial" w:cs="Arial" w:ascii="Times New Roman" w:hAnsi="Times New Roman"/>
          <w:b/>
          <w:bCs/>
          <w:sz w:val="20"/>
          <w:szCs w:val="20"/>
          <w:lang w:val="en-US"/>
        </w:rPr>
        <w:t>nvironmental, ecosystem, engineer, impact, megaproject.</w:t>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eastAsia="Arial" w:cs="Arial" w:ascii="Times New Roman" w:hAnsi="Times New Roman"/>
          <w:b/>
          <w:sz w:val="20"/>
          <w:szCs w:val="20"/>
        </w:rPr>
        <w:t xml:space="preserve">I. </w:t>
      </w:r>
      <w:r>
        <w:rPr>
          <w:rFonts w:eastAsia="Arial" w:cs="Arial" w:ascii="Times New Roman" w:hAnsi="Times New Roman"/>
          <w:b/>
          <w:sz w:val="20"/>
          <w:szCs w:val="20"/>
        </w:rPr>
        <w:t xml:space="preserve">INTRODUCCIÓN </w:t>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Hoy en día el medio ambiente se ha convertido en una dimensión prioritaria en la creación de nuevos proyectos educativos, industriales y económicos, nuevas décadas de desarrollo sustentable ha proporcionado nuevas formas de organización política y social en materia ambiental. El crecimiento y acelerado proceso de globalización ha provocado problemas ambientales como la contaminación atmosférica, invasión o deterioro de áreas de conservación o fallas en el manejo de cuencas hidrológicas. Para enfrentarlos años de procesos históricos fueron necesarios para poder integrar las políticas ambientales como hoy en día se conocen. El objetivo del artículo es evaluar los impactos ocasionados por la construcción del proyecto, así como plantear la importancia de la ingeniería ambiental en la generación de proyectos sustentables. El nacimiento de la ingeniería surge por diversos acontecimientos que hicieron que se tomara en cuenta la relación con el medio ambiente.  La ingeniería ambiental destaca en las diversas ramas de la ingeniería por contar con una visión que estudia los problemas medioambientales considerando nuevas aportaciones de campos como la ecología, sociología, economía, entre otros (Novillo, 2019). En la actualidad se puso en marcha el megaproyecto Tren Maya promoviendo un desarrollo sustentable para el estado de Yucatán. El Tren Maya es un proyecto de infraestructura y desarrollo socioeconómico que busca mejorar la calidad de vida de la gente y llevar bienestar al sureste de México (FONATUR, 2021). Al no contar con estudios de evaluación de riesgos, o la escasa aplicación de metodologías de seguridad e higiene, trabajadores surge la necesidad de conocer el estado actual y los impactos a largo plazo puede tener la construcción del proyecto.</w:t>
      </w:r>
      <w:r>
        <w:rPr>
          <w:rFonts w:cs="Arial" w:ascii="Times New Roman" w:hAnsi="Times New Roman"/>
          <w:sz w:val="20"/>
          <w:szCs w:val="20"/>
        </w:rPr>
        <w:t xml:space="preserve"> Para ello se utiliza estudios de caso para sustentar la problemática planteada. </w:t>
      </w:r>
    </w:p>
    <w:p>
      <w:pPr>
        <w:pStyle w:val="ListParagraph"/>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 </w:t>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eastAsia="Arial" w:cs="Arial" w:ascii="Times New Roman" w:hAnsi="Times New Roman"/>
          <w:b/>
          <w:sz w:val="20"/>
          <w:szCs w:val="20"/>
        </w:rPr>
        <w:t xml:space="preserve">II. </w:t>
      </w:r>
      <w:r>
        <w:rPr>
          <w:rFonts w:eastAsia="Arial" w:cs="Arial" w:ascii="Times New Roman" w:hAnsi="Times New Roman"/>
          <w:b/>
          <w:sz w:val="20"/>
          <w:szCs w:val="20"/>
        </w:rPr>
        <w:t xml:space="preserve">METODOLOGÍA </w:t>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Este apartado permite explicar los procedimientos e instrumentos que se utilizaron para obtener la información necesaria para la investigación. La metodología persigue un enfoque descriptivo (Henestrosa,2022), el objetivo de la investigación descriptiva es describir y evaluar ciertas características de una situación particular, por ello este tipo de investigación es la más adecuada debido a que propone contextualizar el papel del ingeniero ambiental en nuevas problemáticas y buscar especificar las competencias que las instituciones socialmente responsables deben tener en materia de impactos ambientales. El enfoque es tipo integral ya que a partir de los datos cuantitativos obtenidos de las diversas fuentes consultadas se pretende cumplir el objetivo planteado. Para cumplir con el objetivo se utilizará fuentes bibliográficas tales como libros, periódicos digitales, páginas de internet. Por ello fue necesario especificar las variables a evaluar, temas como Impacto ambiental, Legislación ambiental, educación ambiental entran en la categoría a evaluar. </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La investigación es de tipo no experimental, Escamilla (2017) menciona que el diseño no experimental es aquella que se basa en categorías, conceptos, sucesos o contextos que ya ocurrieron o se dieron sin la intervención directa del investigador por ello es la que más apropiado para cumplir con el objetivo establecido debido a que las variables son independientes y no pueden ser manipuladas, es de tipo transversal descriptivo debido a que se investiga las variables a medir. El área de estudio se limita al proyecto Tren Maya que recorrerá una distancia de 1500 km aproximadamente y atravesando los estados de Chiapas, Tabasco, Campeche, Yucatán y Quintana Roo. El periodo de realización abarco un tiempo de tres meses contando como principal sistema de apoyo fuentes bibliográficas académicas. La selección de muestra se basa en la opinión de especialistas en temas ambientales y socioeconómicos por ello en esta investigación los participantes fueron seleccionados por la problemática en común, sin la influencia de la ubicación geográfica, rango de edad o sexo, se delimito a partir del objetivo planteado.  </w:t>
      </w:r>
    </w:p>
    <w:p>
      <w:pPr>
        <w:pStyle w:val="Normal"/>
        <w:spacing w:lineRule="auto" w:line="240" w:before="0" w:after="0"/>
        <w:ind w:left="0" w:right="0" w:hanging="0"/>
        <w:jc w:val="both"/>
        <w:rPr>
          <w:rFonts w:ascii="Times New Roman" w:hAnsi="Times New Roman" w:eastAsia="Arial" w:cs="Arial"/>
          <w:sz w:val="20"/>
          <w:szCs w:val="20"/>
        </w:rPr>
      </w:pPr>
      <w:r>
        <w:rPr>
          <w:rFonts w:eastAsia="Arial" w:cs="Arial"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eastAsia="Arial" w:cs="Arial" w:ascii="Times New Roman" w:hAnsi="Times New Roman"/>
          <w:b/>
          <w:sz w:val="20"/>
          <w:szCs w:val="20"/>
        </w:rPr>
        <w:t xml:space="preserve">III. </w:t>
      </w:r>
      <w:r>
        <w:rPr>
          <w:rFonts w:eastAsia="Arial" w:cs="Arial" w:ascii="Times New Roman" w:hAnsi="Times New Roman"/>
          <w:b/>
          <w:sz w:val="20"/>
          <w:szCs w:val="20"/>
        </w:rPr>
        <w:t xml:space="preserve">RESULTADOS </w:t>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El planteamiento de la problemática surgió debido a la necesidad de conocer los efectos que ambientales, económicos y sociales que desencadena la elaboración del proyecto Tren Maya con la finalidad de encontrar áreas de mejora de los procesos.</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El estado de Yucatán se ubica en el sureste de la Republica de México, colinda con Quintana Roo y el estado de Campeche (GOB, 2022a). En Yucatán existen los ejidos que de acuerdo con Calvo (2018) es una porción de tierra que el gobierno entrega a través del derecho agrario con el objetivo de dar oportunidades de trabajo. Estas propiedades abundan en el estado de Yucatán según datos registrados por RAN (2020) en Yucatán existen 738 ejidos registrados. </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Para la construcción de vías, el Gobierno negocio con los ejidatarios bajo el esquema económico llamado Fideicomisos de Infraestructura y Bienes Raíces (FIBRA) el cual consiste en el uso de las tierras con el derecho de recibir una cantidad de los ingresos provenientes del proyecto. Es importante recalcar que mediante este esquema las tierras no se venden, pero son entregadas como soporte financiero. Por consiguiente, las problemáticas que en la actualidad son presentes en la construcción del proyecto, como primer caso de estudio da lugar la comunidad de</w:t>
      </w:r>
      <w:r>
        <w:rPr>
          <w:rFonts w:cs="Arial" w:ascii="Times New Roman" w:hAnsi="Times New Roman"/>
          <w:sz w:val="20"/>
          <w:szCs w:val="20"/>
        </w:rPr>
        <w:t xml:space="preserve"> Chactun comisaria de Maxcanu, Yucatán bloquean el paso a los trabajadores del Tren Maya inconformes con el precio que se les pago por dichos terrenos ejidales, a ello se suma la comunidad de Cacalchen que dé mismo modo realizan protestas y exigen un pago justo de dichos terrenos (Uicab, 2022). Los territorios son el principal campo de discusión donde queda vigente la desigualdad, en un lado se encuentran empresas progresistas y del otro las comunidades indígenas, la construcción de proyectos como el Tren Maya es necesario la aplicación de análisis urgente partiendo de enfoques ambientales y sociales, la falta de conceso expone un conflicto relevante.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El termino tren “maya” se ha convertido en simple marketing en zonas comerciales y de valor económico, en un producto a la venta. Esto se puede apreciar en la zona turística Riviera Maya donde, como indicó un activista de la zona “ningún maya tiene chance de estar allá” (Reportur 2019). Otro caso a analizar es el patrimonio cultural del estado, en el tramo 5 sur, se ha encontrado un nuevo sitio arqueológico ahora con el nombre de Pamul II en ella se ha encontrado 25 mil 340 bienes inmuebles en el que se encuentran materiales domésticos, objetos usados en rituales, cerámica y materiales de piedra olitica y esto ha provocado que se hagan ajustes en las ingenierías extendiendo la deforestación, explotación del suelo, recursos humanos y recursos económicos, teniendo en cuenta esta situación todo ello pudo haberse anticipado con una evaluación de impacto ambiental previa pero al no contar con dicho instrumento de política ambiental los cambios van surgiendo ala marcha. En la Figura 1, se observa los patrimonios histórico y cultural de la península que se verán afectados por la construcción del proyecto, es importante recalcar que gran parte de estos patrimonios no cuentan con sistemas de gestión de impactos ambientales, y como consecuencia serán propensos a recibir impactos.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 </w:t>
      </w:r>
      <w:r>
        <w:rPr>
          <w:rFonts w:cs="Arial" w:ascii="Times New Roman" w:hAnsi="Times New Roman"/>
          <w:sz w:val="20"/>
          <w:szCs w:val="20"/>
        </w:rPr>
        <w:t xml:space="preserve">En el capítulo II del Manifiesto de Impacto Ambiental (MIA) se manifiesta el nuevo tramo que discurre en su mayor parte, por zona selvática, por lo que requiere la remoción de 485.476 ha de vegetación forestal (Olivera, 2022a). Así mismo en cuanto al establecimiento de los muestreos en el Área de Influencia del proyecto (AI) y del Sistema Ambiental Regional del proyecto (SAR), no se realizaron muestreos en el Área del Proyecto (AP) para el caso de flora y avifauna, lo que representa un grave error porque no permite conocer a las especies vegetales y animales que se verán directamente afectadas por la remoción de la vegetación y todas las actividades constructivas del proyecto.  </w:t>
      </w:r>
    </w:p>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drawing>
          <wp:anchor behindDoc="1" distT="0" distB="0" distL="114300" distR="114300" simplePos="0" locked="0" layoutInCell="0" allowOverlap="1" relativeHeight="2">
            <wp:simplePos x="0" y="0"/>
            <wp:positionH relativeFrom="column">
              <wp:posOffset>419100</wp:posOffset>
            </wp:positionH>
            <wp:positionV relativeFrom="paragraph">
              <wp:posOffset>88265</wp:posOffset>
            </wp:positionV>
            <wp:extent cx="2068830" cy="1457325"/>
            <wp:effectExtent l="0" t="0" r="0" b="0"/>
            <wp:wrapTopAndBottom/>
            <wp:docPr id="2"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
                    <pic:cNvPicPr>
                      <a:picLocks noChangeAspect="1" noChangeArrowheads="1"/>
                    </pic:cNvPicPr>
                  </pic:nvPicPr>
                  <pic:blipFill>
                    <a:blip r:embed="rId4"/>
                    <a:srcRect l="20580" t="18775" r="22002" b="9316"/>
                    <a:stretch>
                      <a:fillRect/>
                    </a:stretch>
                  </pic:blipFill>
                  <pic:spPr bwMode="auto">
                    <a:xfrm>
                      <a:off x="0" y="0"/>
                      <a:ext cx="2068830" cy="1457325"/>
                    </a:xfrm>
                    <a:prstGeom prst="rect">
                      <a:avLst/>
                    </a:prstGeom>
                  </pic:spPr>
                </pic:pic>
              </a:graphicData>
            </a:graphic>
          </wp:anchor>
        </w:drawing>
      </w:r>
    </w:p>
    <w:p>
      <w:pPr>
        <w:pStyle w:val="Normal"/>
        <w:spacing w:lineRule="auto" w:line="240" w:before="0" w:after="0"/>
        <w:ind w:left="0" w:right="0" w:hanging="0"/>
        <w:jc w:val="center"/>
        <w:rPr/>
      </w:pPr>
      <w:r>
        <w:rPr>
          <w:rFonts w:cs="Arial" w:ascii="Times New Roman" w:hAnsi="Times New Roman"/>
          <w:i/>
          <w:iCs/>
          <w:sz w:val="20"/>
          <w:szCs w:val="20"/>
        </w:rPr>
        <w:t>Figura 1. Afectación del tren Maya en el patrimonio histórico y cultural. Fuente</w:t>
      </w:r>
      <w:r>
        <w:rPr>
          <w:rFonts w:cs="Arial" w:ascii="Times New Roman" w:hAnsi="Times New Roman"/>
          <w:i/>
          <w:iCs/>
          <w:sz w:val="20"/>
          <w:szCs w:val="20"/>
        </w:rPr>
        <w:t>: Tomado de Geocomunes (2022)</w:t>
      </w:r>
      <w:r>
        <w:rPr>
          <w:rFonts w:cs="Arial" w:ascii="Times New Roman" w:hAnsi="Times New Roman"/>
          <w:i/>
          <w:iCs/>
          <w:color w:val="000000"/>
          <w:sz w:val="20"/>
          <w:szCs w:val="20"/>
        </w:rPr>
        <w:t>(</w:t>
      </w:r>
      <w:r>
        <w:rPr>
          <w:rStyle w:val="EnlacedeInternet"/>
          <w:rFonts w:cs="Arial" w:ascii="Times New Roman" w:hAnsi="Times New Roman"/>
          <w:i/>
          <w:iCs/>
          <w:color w:val="000000"/>
          <w:sz w:val="20"/>
          <w:szCs w:val="20"/>
          <w:u w:val="none"/>
        </w:rPr>
        <w:t>http://geocomunes.org/Analisis_PDF/TrenMaya_AnalisisCartografico_Geocomunes.pdf</w:t>
      </w:r>
      <w:r>
        <w:rPr>
          <w:rFonts w:cs="Arial" w:ascii="Times New Roman" w:hAnsi="Times New Roman"/>
          <w:i/>
          <w:iCs/>
          <w:color w:val="000000"/>
          <w:sz w:val="20"/>
          <w:szCs w:val="20"/>
          <w:u w:val="none"/>
        </w:rPr>
        <w:t>)</w:t>
      </w:r>
      <w:r>
        <w:rPr>
          <w:rFonts w:cs="Arial" w:ascii="Times New Roman" w:hAnsi="Times New Roman"/>
          <w:i/>
          <w:iCs/>
          <w:color w:val="000000"/>
          <w:sz w:val="20"/>
          <w:szCs w:val="20"/>
        </w:rPr>
        <w:t>.</w:t>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Ante esto es importante mencionar la importancia de la evaluación de impactos ambientales y el derecho a la consulta previa. De acuerdo con lo predicho en la Ley General de Equilibrio Ecológico y Protección al Ambiente (LGEEPA) una obra no puede comenzar hasta contar con la autorización en materia de impacto ambiental, pero se tiene amplia evidencia de los trabajos comenzaron antes, por lo que el promovente incumple con lo estipulado en la LGEEPA, debido a que es un documento técnico preventivo para determinar el impacto ambiental que tendrá una obra (Olivera, 2022b) Por lo que la manifestación de impacto ambiental tendría que ser negada.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La consulta previa es un derecho que se encuentra en el convenio 169 sobre pueblos indígenas y la OIT (Organización Internacional del Trabajo) en el que se describe el derecho a la consulta que el gobierno debe ejercer a los pueblos interesados mediante procedimientos apropiados (Herrera, 2017). La falta a este derecho incrementa los conflictos y desacuerdos de parte de la población, en el caso del Tren Maya este derecho se ha visto deficiente.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En noviembre de 2019 el presidente de la Nación firmo la convocatoria con la cual iniciaba la consulta para determinar su construcción. El 9 de diciembre de 2021 el FONATUR y el IIEC de la UNAM presentaron los resultados preliminares del “estudio de evaluación de percepción e impacto socioeconómico del Tren Maya” en ella se expresa que el 85% de la población tiene una percepción sobre la generación de empleos, el 83.2% percibe que beneficiara el turismo y el 75.1% señalan que ayudara a la economía de la región. Los resultados establecen que el 73% de las personas opinan que el proyecto debe impulsar y cuidar la flora y fauna; detonar a las pequeñas y medianas empresas (59.1%) y un 41.1% preservar la naturaleza. Pero a la fecha diversos cuerpos hidrológicos, ruinas y ecosistemas están siendo sometidos a cambios radicales.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El 16 de junio del 2020 se hace pública por parte de la SEMARNAT la Manifestación de Impacto Ambiental del Tren Maya Fase 1 que iría desde Palenque Chiapas a Izamal Yucatán, pasando por Tabasco y Campeche. En el apartado IV.4.11. titulado “Análisis social de los pueblos indígenas” se puede observar una frase que ha despertado varias críticas: “El etnocidio puede tener un giro positivo, el etnodesarrollo” (GOB, 2020b). Ante las inmensas críticas, FONATUR, responsable de la redacción del documento, sale a la defensa argumentando que ha sido un error de redacción. Las ineficiencias expuestas muestran de manera concisa la falta de implementación del proceso de consultas y falta de aplicación de políticas nacionales.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El FONATUR (2019) proyectan un crecimiento poblacional superior al 20% en los municipios como consecuencia del Tren Maya, el incremento de pobladores implica el crecimiento de los servicios urbanos, por consiguiente es importante abordar el siguiente caso “Yucatán en apuros por escaso sistema de drenaje” es importante recalcar que en el 2020 solo Mérida y Progreso cuentan con servicio de alcantarillado, en el 2022 datos de INEGI (2022) se registran solo nueve municipios de los 106 municipios que hay en el estado, esto toma relevancia por las inundaciones y en temas sanitarios debido a que son las encargadas de desaparecer aguas negras de la población.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Vázquez (2020) suscita que el tema del drenaje y alcantarillado es de suma importancia para las zonas urbanas porque evitan la contaminación del medio ambiente, principalmente las reservas de aguas subterráneas. En este contexto el ingeniero ambiental es capaz de liderar proyectos viables que prioricen la conservación de los recursos, para ello debe contar con la capacidad de análisis, adaptación a ambientes multidisciplinarios con el fin de proponer soluciones innovadoras apoyado con el conocimiento científico.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En la península de Yucatán y Caribe Mexicano se constituye por 25 áreas naturales protegidas (CONANP, 2018), la deficiente aplicación en manejo de impactos ambientales en el proyecto da como consecuencia el descubrimiento de nuevos cuerpos de agua y patrimonios del estado que están siendo perturbados como el caso del tramo 5 Norte, días pasados se encontró cavernas y cenotes que los trabajadores usan como baños, el Diario de Yucatán (2022a) señala que las cuevas y cenotes se están secando debido a la deforestación; además que el nivel del agua está bajando por la evaporación, ante esto se evidencia la ineficiente adecuación de profesionistas del área, es una contaminación en los cuerpos subterráneos así como la falta de aplicación de normativas en materia de seguridad e higiene el trabajo, para el análisis del caso hay que conocer la NOM-019 STPS que tiene como objetivo la constitución, integración, organización y funcionamiento de comisiones de seguridad e higiene en el trabajo (DOF, 2011) en ella se describe las obligaciones del patrón y trabajadores para contar con áreas de trabajo saludables y seguros.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En consecuencia, de esta ineficiencia varios accidentes se han visto envueltos. Alfonso Rivero Flores presidente de la Asociación de servicios turísticos menciona que en 8 meses ha incrementado los precios de peaje a causa del deterioro de vías, además de los riesgos presentes por la construcción del Tren Maya (Diario de Yucatán, 2022b).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Una nueva cuestión para analizar es el anillo de cenotes que rodea la península de Yucatán la SDSY /2018) la establece como un área natural protegida con categoría de reserva natural desde el 19 de octubre del 2003 que abarca municipios como Seye, Acanceh, Timucuy, Homun, Cuzama, Tecoh, Tekit, Hoctún, Xocchel, etc. En la Figura 2 se observa la localización del anillo de cenotes. Es importante conocer que gran parte del anillo de cenotes contara con estaciones del Tren Maya por consiguiente lleva al análisis del siguiente caso de estudio, tramo 5 sur del Tren Maya, activista denuncia en redes sociales daños provocados en un cenote ubicado en playa del Carmen Quintana Roo.</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Por su parte Santana (2022) menciona que dentro del cenote encontró restos de residuos sanitarios y además se escuchaba el movimiento de las máquinas de trabajo y el cenote podía colapsar en cualquier momento. </w:t>
      </w:r>
    </w:p>
    <w:p>
      <w:pPr>
        <w:pStyle w:val="Caption"/>
        <w:spacing w:lineRule="auto" w:line="240" w:before="0" w:after="0"/>
        <w:ind w:left="0" w:right="0" w:hanging="0"/>
        <w:jc w:val="center"/>
        <w:rPr>
          <w:rFonts w:ascii="Times New Roman" w:hAnsi="Times New Roman"/>
          <w:i/>
          <w:i/>
          <w:iCs/>
          <w:color w:val="000000"/>
          <w:sz w:val="20"/>
          <w:szCs w:val="20"/>
        </w:rPr>
      </w:pPr>
      <w:r>
        <w:drawing>
          <wp:anchor behindDoc="0" distT="0" distB="0" distL="0" distR="114300" simplePos="0" locked="0" layoutInCell="0" allowOverlap="1" relativeHeight="3">
            <wp:simplePos x="0" y="0"/>
            <wp:positionH relativeFrom="column">
              <wp:posOffset>413385</wp:posOffset>
            </wp:positionH>
            <wp:positionV relativeFrom="paragraph">
              <wp:posOffset>76200</wp:posOffset>
            </wp:positionV>
            <wp:extent cx="2030730" cy="1452880"/>
            <wp:effectExtent l="0" t="0" r="0" b="0"/>
            <wp:wrapTopAndBottom/>
            <wp:docPr id="3"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
                    <pic:cNvPicPr>
                      <a:picLocks noChangeAspect="1" noChangeArrowheads="1"/>
                    </pic:cNvPicPr>
                  </pic:nvPicPr>
                  <pic:blipFill>
                    <a:blip r:embed="rId5"/>
                    <a:srcRect l="7393" t="18489" r="40665" b="15418"/>
                    <a:stretch>
                      <a:fillRect/>
                    </a:stretch>
                  </pic:blipFill>
                  <pic:spPr bwMode="auto">
                    <a:xfrm>
                      <a:off x="0" y="0"/>
                      <a:ext cx="2030730" cy="1452880"/>
                    </a:xfrm>
                    <a:prstGeom prst="rect">
                      <a:avLst/>
                    </a:prstGeom>
                  </pic:spPr>
                </pic:pic>
              </a:graphicData>
            </a:graphic>
          </wp:anchor>
        </w:drawing>
      </w:r>
      <w:r>
        <w:rPr>
          <w:rFonts w:cs="Arial" w:ascii="Times New Roman" w:hAnsi="Times New Roman"/>
          <w:i/>
          <w:iCs/>
          <w:color w:val="000000"/>
          <w:sz w:val="20"/>
          <w:szCs w:val="20"/>
        </w:rPr>
        <w:t>F</w:t>
      </w:r>
      <w:r>
        <w:rPr>
          <w:rFonts w:cs="Arial" w:ascii="Times New Roman" w:hAnsi="Times New Roman"/>
          <w:i/>
          <w:iCs/>
          <w:color w:val="000000"/>
          <w:sz w:val="20"/>
          <w:szCs w:val="20"/>
        </w:rPr>
        <w:t>igura 2. Anillo de cenotes y estaciones del Tren Maya. Fuente</w:t>
      </w:r>
      <w:r>
        <w:rPr>
          <w:rFonts w:cs="Arial" w:ascii="Times New Roman" w:hAnsi="Times New Roman"/>
          <w:i/>
          <w:iCs/>
          <w:color w:val="000000"/>
          <w:sz w:val="20"/>
          <w:szCs w:val="20"/>
        </w:rPr>
        <w:t xml:space="preserve">: Obtenido de Geocomunes (2021) </w:t>
      </w:r>
    </w:p>
    <w:p>
      <w:pPr>
        <w:pStyle w:val="Normal"/>
        <w:spacing w:lineRule="auto" w:line="240" w:before="0" w:after="0"/>
        <w:ind w:left="0" w:right="0" w:hanging="0"/>
        <w:jc w:val="center"/>
        <w:rPr/>
      </w:pPr>
      <w:r>
        <w:rPr>
          <w:rFonts w:ascii="Times New Roman" w:hAnsi="Times New Roman"/>
          <w:i/>
          <w:iCs/>
          <w:color w:val="000000"/>
          <w:sz w:val="20"/>
          <w:szCs w:val="20"/>
          <w:u w:val="none"/>
        </w:rPr>
        <w:t>(</w:t>
      </w:r>
      <w:r>
        <w:rPr>
          <w:rStyle w:val="EnlacedeInternet"/>
          <w:rFonts w:cs="Arial" w:ascii="Times New Roman" w:hAnsi="Times New Roman"/>
          <w:i/>
          <w:iCs/>
          <w:color w:val="000000"/>
          <w:sz w:val="20"/>
          <w:szCs w:val="20"/>
          <w:u w:val="none"/>
        </w:rPr>
        <w:t xml:space="preserve">http://geocomunes.org/Analisis_PDF/TrenMaya_AnalisisCartografico_Geocomunes.pdf) </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ListParagraph"/>
        <w:spacing w:lineRule="auto" w:line="240" w:before="0" w:after="0"/>
        <w:ind w:left="0" w:right="0" w:hanging="0"/>
        <w:jc w:val="both"/>
        <w:rPr/>
      </w:pPr>
      <w:r>
        <w:rPr>
          <w:rFonts w:cs="Arial" w:ascii="Times New Roman" w:hAnsi="Times New Roman"/>
          <w:sz w:val="20"/>
          <w:szCs w:val="20"/>
        </w:rPr>
        <w:t xml:space="preserve">     </w:t>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Teniendo a consideración el párrafo decimosexto del decreto número 117 del Gobierno del Estado en el que se establece que las aguas subterráneas son el único recurso del estado para uso agrícola, domestico, acuacultura, público urbano (DOF,2013). En la </w:t>
      </w:r>
      <w:r>
        <w:rPr>
          <w:rFonts w:cs="Arial" w:ascii="Times New Roman" w:hAnsi="Times New Roman"/>
          <w:sz w:val="20"/>
          <w:szCs w:val="20"/>
        </w:rPr>
        <w:t>Tabla 1,</w:t>
      </w:r>
      <w:r>
        <w:rPr>
          <w:rFonts w:cs="Arial" w:ascii="Times New Roman" w:hAnsi="Times New Roman"/>
          <w:sz w:val="20"/>
          <w:szCs w:val="20"/>
        </w:rPr>
        <w:t xml:space="preserve"> se observa el uso de agua en el estado de Yucatán, destacando el uso agrícola y uso múltiples, si bien el anillo de cenotes brinda recursos a comunidades, el transito del tren provocara una alta vulnerabilidad que afectara el aprovechamiento.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A lo anterior, hace manifiesto mediante las alteraciones que están sufriendo por contaminantes, transformaciones, vibraciones consecuencia del trabajo de maquinarias representan una problemática que a largo plazo traerá consecuencias a gran escala y magnitud. </w:t>
      </w:r>
    </w:p>
    <w:p>
      <w:pPr>
        <w:sectPr>
          <w:headerReference w:type="even" r:id="rId6"/>
          <w:headerReference w:type="default" r:id="rId7"/>
          <w:headerReference w:type="first" r:id="rId8"/>
          <w:footerReference w:type="even" r:id="rId9"/>
          <w:footerReference w:type="default" r:id="rId10"/>
          <w:footerReference w:type="first" r:id="rId11"/>
          <w:type w:val="nextPage"/>
          <w:pgSz w:w="12240" w:h="15840"/>
          <w:pgMar w:left="1417" w:right="1417" w:header="1417" w:top="1983" w:footer="1417" w:bottom="1983" w:gutter="0"/>
          <w:pgNumType w:fmt="decimal"/>
          <w:cols w:num="2" w:space="282" w:equalWidth="true" w:sep="false"/>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Normal"/>
        <w:spacing w:lineRule="auto" w:line="240" w:before="0" w:after="0"/>
        <w:ind w:left="0" w:right="0" w:hanging="0"/>
        <w:jc w:val="center"/>
        <w:rPr/>
      </w:pPr>
      <w:r>
        <w:rPr>
          <w:rFonts w:cs="Arial" w:ascii="Times New Roman" w:hAnsi="Times New Roman"/>
          <w:b/>
          <w:bCs/>
          <w:i w:val="false"/>
          <w:iCs w:val="false"/>
          <w:color w:val="000000"/>
          <w:sz w:val="20"/>
          <w:szCs w:val="20"/>
        </w:rPr>
        <w:t xml:space="preserve">Tabla 1. Uso de agua en Yucatán. </w:t>
      </w:r>
      <w:r>
        <w:rPr>
          <w:rFonts w:cs="Arial" w:ascii="Times New Roman" w:hAnsi="Times New Roman"/>
          <w:b/>
          <w:bCs/>
          <w:i w:val="false"/>
          <w:iCs w:val="false"/>
          <w:color w:val="000000"/>
          <w:sz w:val="20"/>
          <w:szCs w:val="20"/>
        </w:rPr>
        <w:t>Fuente: Obtenido de DOF (2013)</w:t>
      </w:r>
      <w:r>
        <w:rPr>
          <w:rFonts w:cs="Arial" w:ascii="Times New Roman" w:hAnsi="Times New Roman"/>
          <w:b/>
          <w:bCs/>
          <w:i w:val="false"/>
          <w:iCs w:val="false"/>
          <w:color w:val="000000"/>
          <w:sz w:val="20"/>
          <w:szCs w:val="20"/>
          <w:u w:val="none"/>
        </w:rPr>
        <w:t>(</w:t>
      </w:r>
      <w:r>
        <w:rPr>
          <w:rStyle w:val="EnlacedeInternet"/>
          <w:rFonts w:cs="Arial" w:ascii="Times New Roman" w:hAnsi="Times New Roman"/>
          <w:b/>
          <w:bCs/>
          <w:i w:val="false"/>
          <w:iCs w:val="false"/>
          <w:color w:val="000000"/>
          <w:sz w:val="20"/>
          <w:szCs w:val="20"/>
          <w:u w:val="none"/>
        </w:rPr>
        <w:t>https://www.yucatan.gob.mx/docs/diario_oficial/diarios/2013/2013-10-28_2.pdf</w:t>
      </w:r>
      <w:r>
        <w:rPr>
          <w:rFonts w:cs="Arial" w:ascii="Times New Roman" w:hAnsi="Times New Roman"/>
          <w:b/>
          <w:bCs/>
          <w:i w:val="false"/>
          <w:iCs w:val="false"/>
          <w:color w:val="000000"/>
          <w:sz w:val="20"/>
          <w:szCs w:val="20"/>
          <w:u w:val="none"/>
        </w:rPr>
        <w:t>).</w:t>
      </w:r>
    </w:p>
    <w:p>
      <w:pPr>
        <w:pStyle w:val="Normal"/>
        <w:spacing w:lineRule="auto" w:line="240" w:before="0" w:after="0"/>
        <w:ind w:left="0" w:right="0" w:hanging="0"/>
        <w:jc w:val="both"/>
        <w:rPr>
          <w:rFonts w:cs="Arial"/>
          <w:i/>
          <w:i/>
          <w:iCs/>
        </w:rPr>
      </w:pPr>
      <w:r>
        <w:rPr>
          <w:rFonts w:ascii="Times New Roman" w:hAnsi="Times New Roman"/>
          <w:sz w:val="20"/>
          <w:szCs w:val="20"/>
        </w:rPr>
      </w:r>
    </w:p>
    <w:tbl>
      <w:tblPr>
        <w:tblStyle w:val="Tabladelista1clara"/>
        <w:tblW w:w="9071"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904"/>
        <w:gridCol w:w="806"/>
        <w:gridCol w:w="1002"/>
        <w:gridCol w:w="1104"/>
        <w:gridCol w:w="856"/>
        <w:gridCol w:w="916"/>
        <w:gridCol w:w="852"/>
        <w:gridCol w:w="790"/>
        <w:gridCol w:w="908"/>
        <w:gridCol w:w="930"/>
      </w:tblGrid>
      <w:tr>
        <w:trPr>
          <w:trHeight w:val="475" w:hRule="atLeast"/>
          <w:cnfStyle w:val="100000000000" w:firstRow="1" w:lastRow="0" w:firstColumn="0" w:lastColumn="0" w:oddVBand="0" w:evenVBand="0" w:oddHBand="0" w:evenHBand="0" w:firstRowFirstColumn="0" w:firstRowLastColumn="0" w:lastRowFirstColumn="0" w:lastRowLastColumn="0"/>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left"/>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Agrícola</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Domestico</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Acuacultura</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Servicios</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Industrial</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Pecuario</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Público Urbano</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Múltiples</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Total</w:t>
            </w:r>
          </w:p>
        </w:tc>
      </w:tr>
      <w:tr>
        <w:trPr>
          <w:trHeight w:val="115" w:hRule="atLeast"/>
          <w:cnfStyle w:val="000000100000" w:firstRow="0" w:lastRow="0" w:firstColumn="0" w:lastColumn="0" w:oddVBand="0" w:evenVBand="0" w:oddHBand="1" w:evenHBand="0" w:firstRowFirstColumn="0" w:firstRowLastColumn="0" w:lastRowFirstColumn="0" w:lastRowLastColumn="0"/>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Subzona 1</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37,108</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19</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0</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7,206</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24,310</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2,011</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178,127</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59,221</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308,000</w:t>
            </w:r>
          </w:p>
        </w:tc>
      </w:tr>
      <w:tr>
        <w:trPr>
          <w:trHeight w:val="115" w:hRule="atLeast"/>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Subzona 2</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17,071</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36</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99</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1,304</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779</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8,863</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42,937</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71,090</w:t>
            </w:r>
          </w:p>
        </w:tc>
      </w:tr>
      <w:tr>
        <w:trPr>
          <w:trHeight w:val="115" w:hRule="atLeast"/>
          <w:cnfStyle w:val="000000100000" w:firstRow="0" w:lastRow="0" w:firstColumn="0" w:lastColumn="0" w:oddVBand="0" w:evenVBand="0" w:oddHBand="1" w:evenHBand="0" w:firstRowFirstColumn="0" w:firstRowLastColumn="0" w:lastRowFirstColumn="0" w:lastRowLastColumn="0"/>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Subzona 3</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24,719</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0</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0</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54</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64</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869</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6,600</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44,772</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77,079</w:t>
            </w:r>
          </w:p>
        </w:tc>
      </w:tr>
      <w:tr>
        <w:trPr>
          <w:trHeight w:val="115" w:hRule="atLeast"/>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Subzona 4</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23,693</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0</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73</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118</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18</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3,204</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3,566</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8,093</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38,765</w:t>
            </w:r>
          </w:p>
        </w:tc>
      </w:tr>
      <w:tr>
        <w:trPr>
          <w:trHeight w:val="107" w:hRule="atLeast"/>
          <w:cnfStyle w:val="000000100000" w:firstRow="0" w:lastRow="0" w:firstColumn="0" w:lastColumn="0" w:oddVBand="0" w:evenVBand="0" w:oddHBand="1" w:evenHBand="0" w:firstRowFirstColumn="0" w:firstRowLastColumn="0" w:lastRowFirstColumn="0" w:lastRowLastColumn="0"/>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Subzonas 1-4</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102,591</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19</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110</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7,477</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25,696</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6,863</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197,155</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155,022</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494,934</w:t>
            </w:r>
          </w:p>
        </w:tc>
      </w:tr>
      <w:tr>
        <w:trPr>
          <w:trHeight w:val="115" w:hRule="atLeast"/>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Resto del estado</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293,006</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5</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384</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384</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9,182</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48,849</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328,251</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691,309</w:t>
            </w:r>
          </w:p>
        </w:tc>
      </w:tr>
      <w:tr>
        <w:trPr>
          <w:trHeight w:val="115" w:hRule="atLeast"/>
          <w:cnfStyle w:val="000000100000" w:firstRow="0" w:lastRow="0" w:firstColumn="0" w:lastColumn="0" w:oddVBand="0" w:evenVBand="0" w:oddHBand="1" w:evenHBand="0" w:firstRowFirstColumn="0" w:firstRowLastColumn="0" w:lastRowFirstColumn="0" w:lastRowLastColumn="0"/>
        </w:trPr>
        <w:tc>
          <w:tcPr>
            <w:tcW w:w="904" w:type="dxa"/>
            <w:cnfStyle w:val="001000000000" w:firstRow="0" w:lastRow="0" w:firstColumn="1" w:lastColumn="0" w:oddVBand="0" w:evenVBand="0" w:oddHBand="0" w:evenHBand="0" w:firstRowFirstColumn="0" w:firstRowLastColumn="0" w:lastRowFirstColumn="0" w:lastRowLastColumn="0"/>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rPr>
                <w:rFonts w:ascii="Times New Roman" w:hAnsi="Times New Roman" w:eastAsia="Calibri" w:cs=""/>
                <w:b/>
                <w:b/>
                <w:bCs/>
                <w:kern w:val="0"/>
                <w:sz w:val="12"/>
                <w:szCs w:val="12"/>
                <w:lang w:val="es-MX" w:eastAsia="en-US" w:bidi="ar-SA"/>
              </w:rPr>
            </w:pPr>
            <w:r>
              <w:rPr>
                <w:rFonts w:eastAsia="Calibri" w:cs="" w:ascii="Times New Roman" w:hAnsi="Times New Roman"/>
                <w:b/>
                <w:bCs/>
                <w:kern w:val="0"/>
                <w:sz w:val="12"/>
                <w:szCs w:val="12"/>
                <w:lang w:val="es-MX" w:eastAsia="en-US" w:bidi="ar-SA"/>
              </w:rPr>
              <w:t>Total</w:t>
            </w:r>
          </w:p>
        </w:tc>
        <w:tc>
          <w:tcPr>
            <w:tcW w:w="80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395,597</w:t>
            </w:r>
          </w:p>
        </w:tc>
        <w:tc>
          <w:tcPr>
            <w:tcW w:w="100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25</w:t>
            </w:r>
          </w:p>
        </w:tc>
        <w:tc>
          <w:tcPr>
            <w:tcW w:w="1104"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114</w:t>
            </w:r>
          </w:p>
        </w:tc>
        <w:tc>
          <w:tcPr>
            <w:tcW w:w="85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7,861</w:t>
            </w:r>
          </w:p>
        </w:tc>
        <w:tc>
          <w:tcPr>
            <w:tcW w:w="916"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37,322</w:t>
            </w:r>
          </w:p>
        </w:tc>
        <w:tc>
          <w:tcPr>
            <w:tcW w:w="852"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16,045</w:t>
            </w:r>
          </w:p>
        </w:tc>
        <w:tc>
          <w:tcPr>
            <w:tcW w:w="79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246,004</w:t>
            </w:r>
          </w:p>
        </w:tc>
        <w:tc>
          <w:tcPr>
            <w:tcW w:w="908"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483,273</w:t>
            </w:r>
          </w:p>
        </w:tc>
        <w:tc>
          <w:tcPr>
            <w:tcW w:w="930" w:type="dxa"/>
            <w:tcBorders>
              <w:top w:val="single" w:sz="4" w:space="0" w:color="000000"/>
              <w:bottom w:val="single" w:sz="4" w:space="0" w:color="000000"/>
            </w:tcBorders>
            <w:shd w:color="auto" w:fill="auto" w:val="clear"/>
          </w:tcPr>
          <w:p>
            <w:pPr>
              <w:pStyle w:val="Normal"/>
              <w:widowControl/>
              <w:spacing w:lineRule="auto" w:line="240" w:before="0" w:after="0"/>
              <w:ind w:left="0" w:right="0" w:hanging="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eastAsia="Calibri" w:cs=""/>
                <w:kern w:val="0"/>
                <w:sz w:val="12"/>
                <w:szCs w:val="12"/>
                <w:lang w:val="es-MX" w:eastAsia="en-US" w:bidi="ar-SA"/>
              </w:rPr>
            </w:pPr>
            <w:r>
              <w:rPr>
                <w:rFonts w:eastAsia="Calibri" w:cs="" w:ascii="Times New Roman" w:hAnsi="Times New Roman"/>
                <w:kern w:val="0"/>
                <w:sz w:val="12"/>
                <w:szCs w:val="12"/>
                <w:lang w:val="es-MX" w:eastAsia="en-US" w:bidi="ar-SA"/>
              </w:rPr>
              <w:t>1,186,242</w:t>
            </w:r>
          </w:p>
        </w:tc>
      </w:tr>
    </w:tbl>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sectPr>
          <w:headerReference w:type="even" r:id="rId12"/>
          <w:headerReference w:type="default" r:id="rId13"/>
          <w:headerReference w:type="first" r:id="rId14"/>
          <w:footerReference w:type="even" r:id="rId15"/>
          <w:footerReference w:type="default" r:id="rId16"/>
          <w:footerReference w:type="first" r:id="rId17"/>
          <w:type w:val="continuous"/>
          <w:pgSz w:w="12240" w:h="15840"/>
          <w:pgMar w:left="1417" w:right="1417" w:header="1417" w:top="1983" w:footer="1417" w:bottom="1983" w:gutter="0"/>
          <w:pgNumType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Evidentemente el proyecto demuestra un sinfín de efectos negativos que en la actualidad no están siendo evaluados, a esto se suma la falta de educación ambiental en la actualidad, rasgo primordial en esta etapa de desarrollo.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 xml:space="preserve">En la actualidad, los esfuerzos de prevención y minimización de impactos se realizan mediante la adecuación de aspectos tecnológicos y de gestión, en este tipo de megaproyectos el criterio del especialista en área es factor para determinar los avances sustentables, la realización de una manifestación de impacto ambiental es de carácter preventivo respetando leyes establecidas por el Gobierno Nacional. </w:t>
      </w:r>
    </w:p>
    <w:p>
      <w:pPr>
        <w:pStyle w:val="Normal"/>
        <w:spacing w:lineRule="auto" w:line="240" w:before="0" w:after="0"/>
        <w:ind w:left="0" w:right="0" w:hanging="0"/>
        <w:jc w:val="both"/>
        <w:rPr>
          <w:rFonts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Arial" w:ascii="Times New Roman" w:hAnsi="Times New Roman"/>
          <w:sz w:val="20"/>
          <w:szCs w:val="20"/>
        </w:rPr>
        <w:t>El ingeniero ambiental es incorporado en estos procesos, contribuyendo en el desarrollo de nuevas herramientas para la minimización y evaluación de impactos. El papel del ingeniero ambiental permitirá unir la brecha que beneficie la relación de proyectos con la naturaleza, sociedad y desarrollo industrial, generando nuevos modelos y métodos para la administración de impactos ambientales. El ingeniero ambiental cuenta con un perfil en materia de legislación ambiental aplicable, sistema de gestión de residuos, seguridad e higiene, evaluación de impactos ambientales, conocimientos en potabilización de aguas, remediación de suelos y ciencias aplicadas como Termodinámica, microbiología y bioquímica. Por ello cuenta con un vasto conocimiento que en la actualidad es necesario para el cumplimiento de los objetivos y construcción de este tipo de proyectos.</w:t>
      </w:r>
    </w:p>
    <w:p>
      <w:pPr>
        <w:pStyle w:val="Normal"/>
        <w:spacing w:lineRule="auto" w:line="240" w:before="0" w:after="0"/>
        <w:ind w:left="0" w:right="0" w:hanging="0"/>
        <w:jc w:val="both"/>
        <w:rPr>
          <w:rFonts w:ascii="Times New Roman" w:hAnsi="Times New Roman" w:cs="Arial"/>
          <w:sz w:val="20"/>
          <w:szCs w:val="20"/>
        </w:rPr>
      </w:pPr>
      <w:r>
        <w:rPr>
          <w:rFonts w:cs="Arial"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eastAsia="Arial" w:cs="Arial" w:ascii="Times New Roman" w:hAnsi="Times New Roman"/>
          <w:b/>
          <w:sz w:val="20"/>
          <w:szCs w:val="20"/>
        </w:rPr>
        <w:t xml:space="preserve">IV. </w:t>
      </w:r>
      <w:r>
        <w:rPr>
          <w:rFonts w:eastAsia="Arial" w:cs="Arial" w:ascii="Times New Roman" w:hAnsi="Times New Roman"/>
          <w:b/>
          <w:sz w:val="20"/>
          <w:szCs w:val="20"/>
        </w:rPr>
        <w:t>CONCLUSIONES</w:t>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Mediante el análisis del tren maya y sus casos de estudio se ha abordado como punto clave los impactos ambientales que genera la construcción del proyecto, así como el derecho a la consulta, para recalcar la importancia de la voz de los pueblos indígenas afectados por el proyecto y como último punto establecer la relación del ingeniero ambiental en la resolución de este tipo de problemáticas.  </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A lo largo del artículo, se analizó la ubicación del ingeniero ambiental en la resolución de problemáticas y la aportación a los campos ineficientes en proyectos sustentables de la actualidad, para evidenciarlo se utilizó los casos que en la actualidad van desencadenándose en la construcción del Tren Maya y se reitera la importancia de cuestionar las actividades impuestas, el derecho ambiental y las condiciones de vida saludables e íntegros para el desarrollo humano. </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Mediante el análisis del proyecto también se ha abordado temas importantes para poner en alto los efectos impuestos por el megaproyecto, la opacidad del proyecto ha generado incertidumbre desde sus inicios, factores claves, como legislación ambiental, educación ambiental, seguridad e higiene son los puntos más ineficientes abordados. </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 xml:space="preserve">Ante las deficiencias expuestas, se concluye que el derecho humano se ha visto limitado en sus inicios y ha generado un campo de incertidumbre, como se ha demostrado en la actualidad aún queda camino por recorrer que se ira ajustando a medida que empresas trasnacionales y pueblos indígenas cambien de criterio para proteger la vida y los ecosistemas. Todo lo anterior indica que para que el proyecto sea positivo debe ser acompañado por especialistas en las áreas deficientes e implementarse una mejor planeación participativa es decir a través de las consultas de las comunidades urbanas.     </w:t>
      </w:r>
    </w:p>
    <w:p>
      <w:pPr>
        <w:pStyle w:val="ListParagraph"/>
        <w:numPr>
          <w:ilvl w:val="0"/>
          <w:numId w:val="0"/>
        </w:numPr>
        <w:spacing w:lineRule="auto" w:line="240" w:before="0" w:after="0"/>
        <w:ind w:left="1080" w:right="0" w:hanging="0"/>
        <w:jc w:val="both"/>
        <w:rPr>
          <w:rFonts w:eastAsia="Arial" w:cs="Arial"/>
          <w:b/>
          <w:b/>
        </w:rPr>
      </w:pPr>
      <w:r>
        <w:rPr>
          <w:rFonts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eastAsia="Arial" w:cs="Arial" w:ascii="Times New Roman" w:hAnsi="Times New Roman"/>
          <w:b/>
          <w:sz w:val="20"/>
          <w:szCs w:val="20"/>
        </w:rPr>
        <w:t xml:space="preserve">REFERENCIAS </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Ansotegui, E. (2020). </w:t>
      </w:r>
      <w:r>
        <w:rPr>
          <w:rFonts w:cs="Arial" w:ascii="Times New Roman" w:hAnsi="Times New Roman"/>
          <w:i/>
          <w:iCs/>
          <w:sz w:val="20"/>
          <w:szCs w:val="20"/>
        </w:rPr>
        <w:t>Tren Maya o barbarie: comunidades indígenas en el contexto de la globalización</w:t>
      </w:r>
      <w:r>
        <w:rPr>
          <w:rFonts w:cs="Arial" w:ascii="Times New Roman" w:hAnsi="Times New Roman"/>
          <w:sz w:val="20"/>
          <w:szCs w:val="20"/>
        </w:rPr>
        <w:t>. CLAS, Universidad de Copenhague. Recuperado 20 de septiembre de 2022, de https://www.researchgate.net/profile/Elena-Ansotegui/publication/345995636_Tren_Maya_o_barbarie-_comunidades_indigenas_en_el_contexto_de_la_globalizacion/links/5fb4f09945851518fdb09df1/Tren-Maya-o-barbarie-comunidades-indigenas-en-el-contexto-de-la-globalizacion.pdf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Calvo, J. (2018, 20 marzo). </w:t>
      </w:r>
      <w:r>
        <w:rPr>
          <w:rFonts w:cs="Arial" w:ascii="Times New Roman" w:hAnsi="Times New Roman"/>
          <w:i/>
          <w:iCs/>
          <w:sz w:val="20"/>
          <w:szCs w:val="20"/>
        </w:rPr>
        <w:t>Ejido en México</w:t>
      </w:r>
      <w:r>
        <w:rPr>
          <w:rFonts w:cs="Arial" w:ascii="Times New Roman" w:hAnsi="Times New Roman"/>
          <w:sz w:val="20"/>
          <w:szCs w:val="20"/>
        </w:rPr>
        <w:t>. México | Enciclopedia Jurídica Online. Recuperado 16 de septiembre de 2022, de https://mexico.leyderecho.org/ejido/</w:t>
      </w:r>
    </w:p>
    <w:p>
      <w:pPr>
        <w:pStyle w:val="Normal"/>
        <w:spacing w:lineRule="auto" w:line="240" w:before="0" w:after="0"/>
        <w:ind w:left="0" w:right="0" w:hanging="0"/>
        <w:jc w:val="both"/>
        <w:rPr>
          <w:rFonts w:eastAsia="Arial" w:cs="Arial"/>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Arial" w:cs="Arial" w:ascii="Times New Roman" w:hAnsi="Times New Roman"/>
          <w:sz w:val="20"/>
          <w:szCs w:val="20"/>
        </w:rPr>
        <w:t>Casanova, C., Laura (2021). “Megaproyectos y conflictos ecoterritoriales. El caso del Tren Maya”, Relaciones Internacionales, nº 46, pp. 139-159.</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Castro, A. (2021, 23 septiembre). </w:t>
      </w:r>
      <w:r>
        <w:rPr>
          <w:rFonts w:cs="Arial" w:ascii="Times New Roman" w:hAnsi="Times New Roman"/>
          <w:i/>
          <w:iCs/>
          <w:sz w:val="20"/>
          <w:szCs w:val="20"/>
        </w:rPr>
        <w:t>Tren Maya detonará explosión demográfica en Quintana Roo</w:t>
      </w:r>
      <w:r>
        <w:rPr>
          <w:rFonts w:cs="Arial" w:ascii="Times New Roman" w:hAnsi="Times New Roman"/>
          <w:sz w:val="20"/>
          <w:szCs w:val="20"/>
        </w:rPr>
        <w:t>. SIPSE. Recuperado 20 de septiembre de 2022, de https://sipse.com/cancun/preven-crecimiento-poblacional-donde-cruzara-el-tren-maya-en-quintana-roo-409100.html</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Celis, F. (2017, 23 agosto). </w:t>
      </w:r>
      <w:r>
        <w:rPr>
          <w:rFonts w:cs="Arial" w:ascii="Times New Roman" w:hAnsi="Times New Roman"/>
          <w:i/>
          <w:iCs/>
          <w:sz w:val="20"/>
          <w:szCs w:val="20"/>
        </w:rPr>
        <w:t>¿Qué son y cómo funcionan las Fibras?</w:t>
      </w:r>
      <w:r>
        <w:rPr>
          <w:rFonts w:cs="Arial" w:ascii="Times New Roman" w:hAnsi="Times New Roman"/>
          <w:sz w:val="20"/>
          <w:szCs w:val="20"/>
        </w:rPr>
        <w:t xml:space="preserve"> FORBES MEXICO. Recuperado 16 de septiembre de 2022, de https://www.forbes.com.mx/que-son-las-fibras/</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CONANP. (2018, 23 julio). </w:t>
      </w:r>
      <w:r>
        <w:rPr>
          <w:rFonts w:cs="Arial" w:ascii="Times New Roman" w:hAnsi="Times New Roman"/>
          <w:i/>
          <w:iCs/>
          <w:sz w:val="20"/>
          <w:szCs w:val="20"/>
        </w:rPr>
        <w:t>Región Península de Yucatán y Caribe Mexicano</w:t>
      </w:r>
      <w:r>
        <w:rPr>
          <w:rFonts w:cs="Arial" w:ascii="Times New Roman" w:hAnsi="Times New Roman"/>
          <w:sz w:val="20"/>
          <w:szCs w:val="20"/>
        </w:rPr>
        <w:t>. GOB. Recuperado 16 de septiembre de 2022, de https://www.gob.mx/conanp/documentos/region-peninsula-de-yucatan-y-caribe-mexicano?state=published#:~:text=La%20Regi%C3%B3n%20Pen%C3%ADnsula%20de%20Yucat%C3%A1n%20y%20Caribe%20Mexicano,Biosfera%20Banco%20Chinchorro%20Reserva%20de%20la%20Biosfera%20Calakmul</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Cruz, A. (2022, 4 septiembre). </w:t>
      </w:r>
      <w:r>
        <w:rPr>
          <w:rFonts w:cs="Arial" w:ascii="Times New Roman" w:hAnsi="Times New Roman"/>
          <w:i/>
          <w:iCs/>
          <w:sz w:val="20"/>
          <w:szCs w:val="20"/>
        </w:rPr>
        <w:t>Ambientalistas denuncian daños a cenote por obras del Tren Maya en Quintana Roo</w:t>
      </w:r>
      <w:r>
        <w:rPr>
          <w:rFonts w:cs="Arial" w:ascii="Times New Roman" w:hAnsi="Times New Roman"/>
          <w:sz w:val="20"/>
          <w:szCs w:val="20"/>
        </w:rPr>
        <w:t>. El Universal. Recuperado 20 de septiembre de 2022, de https://www.eluniversal.com.mx/estados/video-ambientalistas-denuncian-danos-cenote-por-obras-del-tren-maya-en-quintana-roo</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Diario de Yucatán. (2022, 9 febrero). </w:t>
      </w:r>
      <w:r>
        <w:rPr>
          <w:rFonts w:cs="Arial" w:ascii="Times New Roman" w:hAnsi="Times New Roman"/>
          <w:i/>
          <w:iCs/>
          <w:sz w:val="20"/>
          <w:szCs w:val="20"/>
        </w:rPr>
        <w:t>Los trabajos por el Tren Maya la vuelven más peligrosa una vía</w:t>
      </w:r>
      <w:r>
        <w:rPr>
          <w:rFonts w:cs="Arial" w:ascii="Times New Roman" w:hAnsi="Times New Roman"/>
          <w:sz w:val="20"/>
          <w:szCs w:val="20"/>
        </w:rPr>
        <w:t>. Recuperado 16 de septiembre de 2022, de https://www.yucatan.com.mx/yucatan/2022/2/9/los-trabajos-por-el-tren-maya-la-vuelven-mas-peligrosa-una-via-295701.html</w:t>
      </w:r>
    </w:p>
    <w:p>
      <w:pPr>
        <w:pStyle w:val="NormalWeb"/>
        <w:spacing w:lineRule="auto" w:line="240" w:beforeAutospacing="0" w:before="0" w:afterAutospacing="0" w:after="0"/>
        <w:ind w:left="0" w:right="0" w:hanging="0"/>
        <w:rPr>
          <w:rFonts w:cs="Arial"/>
        </w:rPr>
      </w:pPr>
      <w:r>
        <w:rPr>
          <w:rFonts w:ascii="Times New Roman" w:hAnsi="Times New Roman"/>
          <w:sz w:val="20"/>
          <w:szCs w:val="20"/>
        </w:rPr>
      </w:r>
    </w:p>
    <w:p>
      <w:pPr>
        <w:pStyle w:val="NormalWeb"/>
        <w:spacing w:lineRule="auto" w:line="240" w:beforeAutospacing="0" w:before="0" w:afterAutospacing="0" w:after="0"/>
        <w:ind w:left="0" w:right="0" w:hanging="0"/>
        <w:rPr>
          <w:rFonts w:ascii="Times New Roman" w:hAnsi="Times New Roman"/>
          <w:sz w:val="20"/>
          <w:szCs w:val="20"/>
        </w:rPr>
      </w:pPr>
      <w:r>
        <w:rPr>
          <w:rFonts w:cs="Arial" w:ascii="Times New Roman" w:hAnsi="Times New Roman"/>
          <w:sz w:val="20"/>
          <w:szCs w:val="20"/>
        </w:rPr>
        <w:t xml:space="preserve">DOF. (2013, 28 octubre). </w:t>
      </w:r>
      <w:r>
        <w:rPr>
          <w:rFonts w:cs="Arial" w:ascii="Times New Roman" w:hAnsi="Times New Roman"/>
          <w:i/>
          <w:iCs/>
          <w:sz w:val="20"/>
          <w:szCs w:val="20"/>
        </w:rPr>
        <w:t>Decreto número 117</w:t>
      </w:r>
      <w:r>
        <w:rPr>
          <w:rFonts w:cs="Arial" w:ascii="Times New Roman" w:hAnsi="Times New Roman"/>
          <w:sz w:val="20"/>
          <w:szCs w:val="20"/>
        </w:rPr>
        <w:t>. Gob. de Yucatán. Recuperado 21 de octubre de 2022, de https://www.yucatan.gob.mx/docs/diario_oficial/diarios/2013/2013-10-28_1.pdf</w:t>
      </w:r>
    </w:p>
    <w:p>
      <w:pPr>
        <w:pStyle w:val="Normal"/>
        <w:spacing w:lineRule="auto" w:line="240" w:before="0" w:after="0"/>
        <w:ind w:left="0" w:right="0" w:hanging="0"/>
        <w:rPr>
          <w:rFonts w:eastAsia="Times New Roman" w:cs="Arial"/>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Arial" w:ascii="Times New Roman" w:hAnsi="Times New Roman"/>
          <w:sz w:val="20"/>
          <w:szCs w:val="20"/>
        </w:rPr>
        <w:t>Escamilla, M. (2017). Aplicación básica de los métodos científicos: diseño no experimental. RUA UNAM. https://www.uaeh.edu.mx/docencia/VI_Presentaciones/licenciatura_en_mercadotecnia/fundamentos_de_metodologia_investigacion/PRES38.pdf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FONATUR. (2021, 10 diciembre). </w:t>
      </w:r>
      <w:r>
        <w:rPr>
          <w:rFonts w:cs="Arial" w:ascii="Times New Roman" w:hAnsi="Times New Roman"/>
          <w:i/>
          <w:iCs/>
          <w:sz w:val="20"/>
          <w:szCs w:val="20"/>
        </w:rPr>
        <w:t>UNAM presenta primeros resultados de encuesta de percepción e impacto socioeconómico del Tren Maya</w:t>
      </w:r>
      <w:r>
        <w:rPr>
          <w:rFonts w:cs="Arial" w:ascii="Times New Roman" w:hAnsi="Times New Roman"/>
          <w:sz w:val="20"/>
          <w:szCs w:val="20"/>
        </w:rPr>
        <w:t>. GOB. Recuperado 16 de septiembre de 2022, de https://www.gob.mx/fonatur/prensa/unam-presenta-primeros-resultados-de-encuesta-de-percepcion-e-impacto-socioeconomico-del-tren-maya?idiom=es</w:t>
      </w:r>
    </w:p>
    <w:p>
      <w:pPr>
        <w:pStyle w:val="NormalWeb"/>
        <w:spacing w:lineRule="auto" w:line="240" w:beforeAutospacing="0" w:before="0" w:afterAutospacing="0" w:after="0"/>
        <w:ind w:left="0" w:right="0" w:hanging="0"/>
        <w:rPr>
          <w:rFonts w:cs="Arial"/>
        </w:rPr>
      </w:pPr>
      <w:r>
        <w:rPr>
          <w:rFonts w:ascii="Times New Roman" w:hAnsi="Times New Roman"/>
          <w:sz w:val="20"/>
          <w:szCs w:val="20"/>
        </w:rPr>
      </w:r>
    </w:p>
    <w:p>
      <w:pPr>
        <w:pStyle w:val="NormalWeb"/>
        <w:spacing w:lineRule="auto" w:line="240" w:beforeAutospacing="0" w:before="0" w:afterAutospacing="0" w:after="0"/>
        <w:ind w:left="0" w:right="0" w:hanging="0"/>
        <w:rPr>
          <w:rFonts w:ascii="Times New Roman" w:hAnsi="Times New Roman"/>
          <w:sz w:val="20"/>
          <w:szCs w:val="20"/>
        </w:rPr>
      </w:pPr>
      <w:r>
        <w:rPr>
          <w:rFonts w:cs="Arial" w:ascii="Times New Roman" w:hAnsi="Times New Roman"/>
          <w:sz w:val="20"/>
          <w:szCs w:val="20"/>
        </w:rPr>
        <w:t xml:space="preserve">FONATUR. (s. f.). </w:t>
      </w:r>
      <w:r>
        <w:rPr>
          <w:rFonts w:cs="Arial" w:ascii="Times New Roman" w:hAnsi="Times New Roman"/>
          <w:i/>
          <w:iCs/>
          <w:sz w:val="20"/>
          <w:szCs w:val="20"/>
        </w:rPr>
        <w:t>Resumen Ejecutivo Manifestación de Impacto Ambiental Modalidad Regional (MIA-R)</w:t>
      </w:r>
      <w:r>
        <w:rPr>
          <w:rFonts w:cs="Arial" w:ascii="Times New Roman" w:hAnsi="Times New Roman"/>
          <w:sz w:val="20"/>
          <w:szCs w:val="20"/>
        </w:rPr>
        <w:t xml:space="preserve">. </w:t>
      </w:r>
    </w:p>
    <w:p>
      <w:pPr>
        <w:pStyle w:val="NormalWeb"/>
        <w:spacing w:lineRule="auto" w:line="240" w:beforeAutospacing="0" w:before="0" w:afterAutospacing="0" w:after="0"/>
        <w:ind w:left="0" w:right="0" w:hanging="0"/>
        <w:rPr>
          <w:rFonts w:cs="Arial"/>
        </w:rPr>
      </w:pPr>
      <w:r>
        <w:rPr>
          <w:rFonts w:ascii="Times New Roman" w:hAnsi="Times New Roman"/>
          <w:sz w:val="20"/>
          <w:szCs w:val="20"/>
        </w:rPr>
      </w:r>
    </w:p>
    <w:p>
      <w:pPr>
        <w:pStyle w:val="NormalWeb"/>
        <w:spacing w:lineRule="auto" w:line="240" w:beforeAutospacing="0" w:before="0" w:afterAutospacing="0" w:after="0"/>
        <w:ind w:left="0" w:right="0" w:hanging="0"/>
        <w:rPr>
          <w:rFonts w:ascii="Times New Roman" w:hAnsi="Times New Roman"/>
          <w:sz w:val="20"/>
          <w:szCs w:val="20"/>
        </w:rPr>
      </w:pPr>
      <w:r>
        <w:rPr>
          <w:rFonts w:cs="Arial" w:ascii="Times New Roman" w:hAnsi="Times New Roman"/>
          <w:sz w:val="20"/>
          <w:szCs w:val="20"/>
        </w:rPr>
        <w:t>FONATUR TREN MAYA S.A de C.V. Recuperado 21 de octubre de 2022, de https://apps1.semarnat.gob.mx:8443/dgiraDocs/documentos/camp/resumenes/2020/04CA2020V0009.pdf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Geocomunes. (s. f.). </w:t>
      </w:r>
      <w:r>
        <w:rPr>
          <w:rFonts w:cs="Arial" w:ascii="Times New Roman" w:hAnsi="Times New Roman"/>
          <w:i/>
          <w:iCs/>
          <w:sz w:val="20"/>
          <w:szCs w:val="20"/>
        </w:rPr>
        <w:t>Tren Maya como nueva infraestructura de articulación de los capitales agroindustriales y turísticos inmobiliarios en la península</w:t>
      </w:r>
      <w:r>
        <w:rPr>
          <w:rFonts w:cs="Arial" w:ascii="Times New Roman" w:hAnsi="Times New Roman"/>
          <w:sz w:val="20"/>
          <w:szCs w:val="20"/>
        </w:rPr>
        <w:t>. Recuperado 16 de septiembre de 2022, de http://geocomunes.org/Analisis_PDF/TrenMaya_AnalisisCartografico_Geocomunes.pdf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Gobierno del Estado de Yucatán. (2013, 28 octubre). </w:t>
      </w:r>
      <w:r>
        <w:rPr>
          <w:rFonts w:cs="Arial" w:ascii="Times New Roman" w:hAnsi="Times New Roman"/>
          <w:i/>
          <w:iCs/>
          <w:sz w:val="20"/>
          <w:szCs w:val="20"/>
        </w:rPr>
        <w:t>Decreto que establece el área natural protegida denominada reserva estatal geohidrológica del anillo de cenotes</w:t>
      </w:r>
      <w:r>
        <w:rPr>
          <w:rFonts w:cs="Arial" w:ascii="Times New Roman" w:hAnsi="Times New Roman"/>
          <w:sz w:val="20"/>
          <w:szCs w:val="20"/>
        </w:rPr>
        <w:t>. Diario oficial de federación. Recuperado 20 de septiembre de 2022, de https://sds.yucatan.gob.mx/areas-naturales/documentos/decreto-reserva-estatal-geohidrologica-anillo-de-cenotes.pdf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Gobierno del Estado de Yucatán. (2022, 6 abril). </w:t>
      </w:r>
      <w:r>
        <w:rPr>
          <w:rFonts w:cs="Arial" w:ascii="Times New Roman" w:hAnsi="Times New Roman"/>
          <w:i/>
          <w:iCs/>
          <w:sz w:val="20"/>
          <w:szCs w:val="20"/>
        </w:rPr>
        <w:t>Yucatán</w:t>
      </w:r>
      <w:r>
        <w:rPr>
          <w:rFonts w:cs="Arial" w:ascii="Times New Roman" w:hAnsi="Times New Roman"/>
          <w:sz w:val="20"/>
          <w:szCs w:val="20"/>
        </w:rPr>
        <w:t>. GOB DE YUCATAN. Recuperado 16 de septiembre de 2022, de https://yucatan.gob.mx/estado/</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Herrera, J. (2017, 20 junio). </w:t>
      </w:r>
      <w:r>
        <w:rPr>
          <w:rFonts w:cs="Arial" w:ascii="Times New Roman" w:hAnsi="Times New Roman"/>
          <w:i/>
          <w:iCs/>
          <w:sz w:val="20"/>
          <w:szCs w:val="20"/>
        </w:rPr>
        <w:t>Algunas observaciones sobre el derecho a la consulta previa</w:t>
      </w:r>
      <w:r>
        <w:rPr>
          <w:rFonts w:cs="Arial" w:ascii="Times New Roman" w:hAnsi="Times New Roman"/>
          <w:sz w:val="20"/>
          <w:szCs w:val="20"/>
        </w:rPr>
        <w:t>. Revistas jurídicas. Recuperado 16 de septiembre de 2022, de https://revistas.juridicas.unam.mx/index.php/hechos-y-derechos/article/view/11343/13272#:~:text=Ahora%20bien%2C%20el%20derecho%20a%20la%20consulta%20previa,caso%2C%20incorporar%20las%20recomendaciones%20y%20propuestas%20que%20realicen.</w:t>
      </w:r>
    </w:p>
    <w:p>
      <w:pPr>
        <w:pStyle w:val="Normal"/>
        <w:spacing w:lineRule="auto" w:line="240" w:before="0" w:after="0"/>
        <w:ind w:left="0" w:right="0" w:hanging="0"/>
        <w:rPr>
          <w:rFonts w:eastAsia="Times New Roman" w:cs="Arial"/>
        </w:rPr>
      </w:pPr>
      <w:r>
        <w:rPr>
          <w:rFonts w:ascii="Times New Roman" w:hAnsi="Times New Roman"/>
          <w:sz w:val="20"/>
          <w:szCs w:val="20"/>
        </w:rPr>
      </w:r>
    </w:p>
    <w:p>
      <w:pPr>
        <w:pStyle w:val="Normal"/>
        <w:spacing w:lineRule="auto" w:line="240" w:before="0" w:after="0"/>
        <w:ind w:left="0" w:right="0" w:hanging="0"/>
        <w:rPr>
          <w:rFonts w:ascii="Times New Roman" w:hAnsi="Times New Roman"/>
          <w:sz w:val="20"/>
          <w:szCs w:val="20"/>
        </w:rPr>
      </w:pPr>
      <w:r>
        <w:rPr>
          <w:rFonts w:eastAsia="Times New Roman" w:cs="Arial" w:ascii="Times New Roman" w:hAnsi="Times New Roman"/>
          <w:sz w:val="20"/>
          <w:szCs w:val="20"/>
        </w:rPr>
        <w:t>Henestrosa, E. (2022, 12 septiembre). ¿Qué es el método descriptivo? Centro Banamex. https://www.centrobanamex.com.mx/que-es-el-metodo-descriptivo</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INEGI. (2022). </w:t>
      </w:r>
      <w:r>
        <w:rPr>
          <w:rFonts w:cs="Arial" w:ascii="Times New Roman" w:hAnsi="Times New Roman"/>
          <w:i/>
          <w:iCs/>
          <w:sz w:val="20"/>
          <w:szCs w:val="20"/>
        </w:rPr>
        <w:t>Sistema de alcantarillado de Yucatán</w:t>
      </w:r>
      <w:r>
        <w:rPr>
          <w:rFonts w:cs="Arial" w:ascii="Times New Roman" w:hAnsi="Times New Roman"/>
          <w:sz w:val="20"/>
          <w:szCs w:val="20"/>
        </w:rPr>
        <w:t>. Recuperado 20 de septiembre de 2022, de https://sinegi.page.link/xYVL</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INFOBAE. (2022, 8 septiembre). El impresionante sitio arqueológico que INAH halló en el Tramo 5 del Tren Maya. </w:t>
      </w:r>
      <w:r>
        <w:rPr>
          <w:rFonts w:cs="Arial" w:ascii="Times New Roman" w:hAnsi="Times New Roman"/>
          <w:i/>
          <w:iCs/>
          <w:sz w:val="20"/>
          <w:szCs w:val="20"/>
        </w:rPr>
        <w:t>Infobae América México</w:t>
      </w:r>
      <w:r>
        <w:rPr>
          <w:rFonts w:cs="Arial" w:ascii="Times New Roman" w:hAnsi="Times New Roman"/>
          <w:sz w:val="20"/>
          <w:szCs w:val="20"/>
        </w:rPr>
        <w:t>. Recuperado 20 de septiembre de 2022, de https://www.infobae.com/america/mexico/2022/09/09/el-impresionante-sitio-arqueologico-que-inah-hallo-en-el-tramo-5-del-tren-maya/#:~:text=Ricardo%20Prieto%2C%20encargado%20del%20Instituto%20Nacional%20de%20Antropolog%C3%ADa,Paamul%20II%2C%20se%20reservar%C3%A1%20como%20una%20zona%20arqueol%C3%B3gica.</w:t>
      </w:r>
    </w:p>
    <w:p>
      <w:pPr>
        <w:pStyle w:val="NormalWeb"/>
        <w:spacing w:lineRule="auto" w:line="240" w:beforeAutospacing="0" w:before="0" w:afterAutospacing="0" w:after="0"/>
        <w:ind w:left="0" w:right="0" w:hanging="0"/>
        <w:jc w:val="both"/>
        <w:rPr>
          <w:rFonts w:eastAsia="Arial"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RAN. (2020). </w:t>
      </w:r>
      <w:r>
        <w:rPr>
          <w:rFonts w:cs="Arial" w:ascii="Times New Roman" w:hAnsi="Times New Roman"/>
          <w:i/>
          <w:iCs/>
          <w:sz w:val="20"/>
          <w:szCs w:val="20"/>
        </w:rPr>
        <w:t>Indicadores básicos de la propiedad social</w:t>
      </w:r>
      <w:r>
        <w:rPr>
          <w:rFonts w:cs="Arial" w:ascii="Times New Roman" w:hAnsi="Times New Roman"/>
          <w:sz w:val="20"/>
          <w:szCs w:val="20"/>
        </w:rPr>
        <w:t>. GOB. Recuperado 16 de septiembre de 2022, de http://www.ran.gob.mx/ran/indic_bps/1_ER-2020.pdf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Salazar, J. (2021, 4 junio). </w:t>
      </w:r>
      <w:r>
        <w:rPr>
          <w:rFonts w:cs="Arial" w:ascii="Times New Roman" w:hAnsi="Times New Roman"/>
          <w:i/>
          <w:iCs/>
          <w:sz w:val="20"/>
          <w:szCs w:val="20"/>
        </w:rPr>
        <w:t>Yucatán pasa apuros por escaso sistema de drenaje</w:t>
      </w:r>
      <w:r>
        <w:rPr>
          <w:rFonts w:cs="Arial" w:ascii="Times New Roman" w:hAnsi="Times New Roman"/>
          <w:sz w:val="20"/>
          <w:szCs w:val="20"/>
        </w:rPr>
        <w:t>. Novedades Yucatán. Recuperado 20 de septiembre de 2022, de https://sipse.com/novedades-yucatan/drenaje-yucatan-inundaciones-lluvias-367493.html</w:t>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Secretaria de Economía. (2014). </w:t>
      </w:r>
      <w:r>
        <w:rPr>
          <w:rFonts w:cs="Arial" w:ascii="Times New Roman" w:hAnsi="Times New Roman"/>
          <w:i/>
          <w:iCs/>
          <w:sz w:val="20"/>
          <w:szCs w:val="20"/>
        </w:rPr>
        <w:t>Información económica y estatal Yucatán</w:t>
      </w:r>
      <w:r>
        <w:rPr>
          <w:rFonts w:cs="Arial" w:ascii="Times New Roman" w:hAnsi="Times New Roman"/>
          <w:sz w:val="20"/>
          <w:szCs w:val="20"/>
        </w:rPr>
        <w:t>. GOB. Recuperado 16 de septiembre de 2022, de https://www.gob.mx/cms/uploads/attachment/file/43817/Yucatan.pdf#:~:text=El%20estado%20de%20Yucat%C3%A1n%20cuenta%20con%20una%20superficie,anual%20promedio%20de%201%2C100%20mm1.%20-%203%20-</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STPS. (2011, 13 abril). </w:t>
      </w:r>
      <w:r>
        <w:rPr>
          <w:rFonts w:cs="Arial" w:ascii="Times New Roman" w:hAnsi="Times New Roman"/>
          <w:i/>
          <w:iCs/>
          <w:sz w:val="20"/>
          <w:szCs w:val="20"/>
        </w:rPr>
        <w:t>NORMA OFICIAL MEXICANA NOM-019-STPS-2011</w:t>
      </w:r>
      <w:r>
        <w:rPr>
          <w:rFonts w:cs="Arial" w:ascii="Times New Roman" w:hAnsi="Times New Roman"/>
          <w:sz w:val="20"/>
          <w:szCs w:val="20"/>
        </w:rPr>
        <w:t>. DIARIO OFICIAL DE FEDERACION. Recuperado 16 de septiembre de 2022, de https://www.gob.mx/cms/uploads/attachment/file/680129/NOM-019-STPS-2011.pdf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 xml:space="preserve">Toledo, V. (2018, 5 diciembre). </w:t>
      </w:r>
      <w:r>
        <w:rPr>
          <w:rFonts w:cs="Arial" w:ascii="Times New Roman" w:hAnsi="Times New Roman"/>
          <w:i/>
          <w:iCs/>
          <w:sz w:val="20"/>
          <w:szCs w:val="20"/>
        </w:rPr>
        <w:t>El tren maya: ¿sueño o pesadilla?</w:t>
      </w:r>
      <w:r>
        <w:rPr>
          <w:rFonts w:cs="Arial" w:ascii="Times New Roman" w:hAnsi="Times New Roman"/>
          <w:sz w:val="20"/>
          <w:szCs w:val="20"/>
        </w:rPr>
        <w:t xml:space="preserve"> Uccs. Recuperado 16 de septiembre de 2022, de https://maderasdelpueblo.org/wp-content/uploads/2021/08/Ensayo.-El-Tren-Maya.-Victor-Toledo-UCSS-dic-2018.pdf</w:t>
      </w:r>
    </w:p>
    <w:p>
      <w:pPr>
        <w:pStyle w:val="NormalWeb"/>
        <w:spacing w:lineRule="auto" w:line="240" w:beforeAutospacing="0" w:before="0" w:afterAutospacing="0" w:after="0"/>
        <w:ind w:left="0" w:right="0" w:hanging="0"/>
        <w:jc w:val="both"/>
        <w:rPr>
          <w:rFonts w:cs="Arial"/>
        </w:rPr>
      </w:pPr>
      <w:r>
        <w:rPr>
          <w:rFonts w:ascii="Times New Roman" w:hAnsi="Times New Roman"/>
          <w:sz w:val="20"/>
          <w:szCs w:val="20"/>
        </w:rPr>
      </w:r>
    </w:p>
    <w:p>
      <w:pPr>
        <w:pStyle w:val="NormalWeb"/>
        <w:spacing w:lineRule="auto" w:line="240" w:beforeAutospacing="0" w:before="0" w:afterAutospacing="0" w:after="0"/>
        <w:ind w:left="0" w:right="0" w:hanging="0"/>
        <w:jc w:val="both"/>
        <w:rPr>
          <w:rFonts w:ascii="Times New Roman" w:hAnsi="Times New Roman"/>
          <w:sz w:val="20"/>
          <w:szCs w:val="20"/>
        </w:rPr>
      </w:pPr>
      <w:r>
        <w:rPr>
          <w:rFonts w:cs="Arial" w:ascii="Times New Roman" w:hAnsi="Times New Roman"/>
          <w:sz w:val="20"/>
          <w:szCs w:val="20"/>
        </w:rPr>
        <w:t>Olivera, A. (2022, 18 mayo). Reporte técnico del análisis de la manifestación de impacto ambiental modalidad regional del proyecto Tren Maya tramo 5 sur. Recuperado 20 de octubre de 2022, de https://www.greenpeace.org/static/planet4-mexico-stateless/2022/06/177e038c-reporte-ana%CC%81lisis-te%CC%81cnico-tren-maya-tramo-5-sur-revisado-1.pdf</w:t>
      </w:r>
    </w:p>
    <w:p>
      <w:pPr>
        <w:sectPr>
          <w:type w:val="continuous"/>
          <w:pgSz w:w="12240" w:h="15840"/>
          <w:pgMar w:left="1417" w:right="1417" w:header="1417" w:top="1983" w:footer="1417" w:bottom="1983" w:gutter="0"/>
          <w:cols w:num="2" w:space="282" w:equalWidth="true" w:sep="false"/>
          <w:formProt w:val="false"/>
          <w:textDirection w:val="lrTb"/>
          <w:docGrid w:type="default" w:linePitch="100" w:charSpace="4096"/>
        </w:sectPr>
      </w:pPr>
    </w:p>
    <w:sectPr>
      <w:headerReference w:type="even" r:id="rId18"/>
      <w:headerReference w:type="default" r:id="rId19"/>
      <w:headerReference w:type="first" r:id="rId20"/>
      <w:footerReference w:type="even" r:id="rId21"/>
      <w:footerReference w:type="default" r:id="rId22"/>
      <w:footerReference w:type="first" r:id="rId23"/>
      <w:type w:val="continuous"/>
      <w:pgSz w:w="12240" w:h="15840"/>
      <w:pgMar w:left="1417" w:right="1417" w:header="1417" w:top="1983" w:footer="1417" w:bottom="1983"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Segoe UI">
    <w:charset w:val="01"/>
    <w:family w:val="roman"/>
    <w:pitch w:val="variable"/>
  </w:font>
  <w:font w:name="Courier New">
    <w:charset w:val="01"/>
    <w:family w:val="roman"/>
    <w:pitch w:val="variable"/>
  </w:font>
  <w:font w:name="Liberation Sans">
    <w:altName w:val="Arial"/>
    <w:charset w:val="01"/>
    <w:family w:val="swiss"/>
    <w:pitch w:val="variable"/>
  </w:font>
  <w:font w:name="Georgia">
    <w:charset w:val="01"/>
    <w:family w:val="roman"/>
    <w:pitch w:val="variable"/>
  </w:font>
  <w:font w:name="Times new roman">
    <w:charset w:val="01"/>
    <w:family w:val="roman"/>
    <w:pitch w:val="variable"/>
  </w:font>
  <w:font w:name="Arial">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abs>
        <w:tab w:val="clear" w:pos="720"/>
        <w:tab w:val="center" w:pos="4419" w:leader="none"/>
        <w:tab w:val="right" w:pos="8838" w:leader="none"/>
      </w:tabs>
      <w:spacing w:lineRule="auto" w:line="240" w:before="0" w:after="0"/>
      <w:rPr>
        <w:rFonts w:ascii="Arial" w:hAnsi="Arial" w:eastAsia="Arial" w:cs="Arial"/>
        <w:sz w:val="20"/>
        <w:szCs w:val="20"/>
      </w:rPr>
    </w:pPr>
    <w:r>
      <w:rPr>
        <w:color w:val="000000"/>
      </w:rPr>
    </w:r>
  </w:p>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2</w:t>
          </w:r>
          <w:r>
            <w:rPr>
              <w:rFonts w:ascii="Times new roman" w:hAnsi="Times new roman"/>
              <w:sz w:val="16"/>
              <w:szCs w:val="16"/>
            </w:rPr>
            <w:t>1</w:t>
          </w:r>
          <w:r>
            <w:rPr>
              <w:rFonts w:ascii="Times new roman" w:hAnsi="Times new roman"/>
              <w:sz w:val="16"/>
              <w:szCs w:val="16"/>
            </w:rPr>
            <w:t>/Octubre/2022</w:t>
          </w:r>
        </w:p>
        <w:p>
          <w:pPr>
            <w:pStyle w:val="Contenidodelatabla"/>
            <w:widowControl w:val="false"/>
            <w:bidi w:val="0"/>
            <w:spacing w:before="0" w:after="0"/>
            <w:ind w:hanging="0"/>
            <w:jc w:val="left"/>
            <w:rPr/>
          </w:pPr>
          <w:r>
            <w:rPr>
              <w:rFonts w:ascii="Times new roman" w:hAnsi="Times new roman"/>
              <w:sz w:val="16"/>
              <w:szCs w:val="16"/>
            </w:rPr>
            <w:t>Aceptado: 12/Diciembre/2022</w:t>
          </w:r>
        </w:p>
      </w:tc>
      <w:tc>
        <w:tcPr>
          <w:tcW w:w="4142"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17, pp. 1</w:t>
          </w:r>
          <w:r>
            <w:rPr>
              <w:rFonts w:eastAsia="Times New Roman" w:cs="Times New Roman" w:ascii="Times new roman" w:hAnsi="Times new roman"/>
              <w:sz w:val="20"/>
              <w:szCs w:val="20"/>
            </w:rPr>
            <w:t>44</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51</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Enero - Junio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pBdr/>
      <w:tabs>
        <w:tab w:val="clear" w:pos="4674"/>
        <w:tab w:val="clear" w:pos="9349"/>
        <w:tab w:val="center" w:pos="4419" w:leader="none"/>
        <w:tab w:val="right" w:pos="8838" w:leader="none"/>
      </w:tabs>
      <w:spacing w:lineRule="auto" w:line="240" w:before="0" w:after="160"/>
      <w:ind w:left="0" w:right="0" w:hanging="0"/>
      <w:jc w:val="center"/>
      <w:rPr>
        <w:color w:val="000000"/>
      </w:rPr>
    </w:pPr>
    <w:r>
      <w:rPr>
        <w:rFonts w:ascii="Times new roman" w:hAnsi="Times new roman"/>
        <w:b w:val="false"/>
        <w:i/>
        <w:iCs/>
        <w:caps w:val="false"/>
        <w:smallCaps w:val="false"/>
        <w:color w:val="000000"/>
        <w:spacing w:val="0"/>
        <w:sz w:val="16"/>
        <w:szCs w:val="16"/>
      </w:rPr>
      <w:t>Advances in Engineering and Innovation Vol. 8, No. 17, pp. 1</w:t>
    </w:r>
    <w:r>
      <w:rPr>
        <w:rFonts w:ascii="Times new roman" w:hAnsi="Times new roman"/>
        <w:b w:val="false"/>
        <w:i/>
        <w:iCs/>
        <w:caps w:val="false"/>
        <w:smallCaps w:val="false"/>
        <w:color w:val="000000"/>
        <w:spacing w:val="0"/>
        <w:sz w:val="16"/>
        <w:szCs w:val="16"/>
      </w:rPr>
      <w:t>44</w:t>
    </w:r>
    <w:r>
      <w:rPr>
        <w:rFonts w:ascii="Times new roman" w:hAnsi="Times new roman"/>
        <w:b w:val="false"/>
        <w:i/>
        <w:iCs/>
        <w:caps w:val="false"/>
        <w:smallCaps w:val="false"/>
        <w:color w:val="000000"/>
        <w:spacing w:val="0"/>
        <w:sz w:val="16"/>
        <w:szCs w:val="16"/>
      </w:rPr>
      <w:t>-1</w:t>
    </w:r>
    <w:r>
      <w:rPr>
        <w:rFonts w:ascii="Times new roman" w:hAnsi="Times new roman"/>
        <w:b w:val="false"/>
        <w:i/>
        <w:iCs/>
        <w:caps w:val="false"/>
        <w:smallCaps w:val="false"/>
        <w:color w:val="000000"/>
        <w:spacing w:val="0"/>
        <w:sz w:val="16"/>
        <w:szCs w:val="16"/>
      </w:rPr>
      <w:t>51</w:t>
    </w:r>
    <w:r>
      <w:rPr>
        <w:rFonts w:ascii="Times new roman" w:hAnsi="Times new roman"/>
        <w:b w:val="false"/>
        <w:i/>
        <w:iCs/>
        <w:caps w:val="false"/>
        <w:smallCaps w:val="false"/>
        <w:color w:val="000000"/>
        <w:spacing w:val="0"/>
        <w:sz w:val="16"/>
        <w:szCs w:val="16"/>
      </w:rPr>
      <w:t>, Enero - Junio 2023</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2019b"/>
    <w:pPr>
      <w:widowControl/>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d62f5b"/>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Ttulo3">
    <w:name w:val="Heading 3"/>
    <w:basedOn w:val="Normal"/>
    <w:link w:val="Ttulo3Car"/>
    <w:uiPriority w:val="9"/>
    <w:semiHidden/>
    <w:unhideWhenUsed/>
    <w:qFormat/>
    <w:rsid w:val="00d62f5b"/>
    <w:pPr>
      <w:spacing w:lineRule="auto" w:line="240" w:beforeAutospacing="1" w:afterAutospacing="1"/>
      <w:outlineLvl w:val="2"/>
    </w:pPr>
    <w:rPr>
      <w:rFonts w:ascii="Times New Roman" w:hAnsi="Times New Roman" w:eastAsia="Times New Roman" w:cs="Times New Roman"/>
      <w:b/>
      <w:bCs/>
      <w:sz w:val="27"/>
      <w:szCs w:val="27"/>
    </w:rPr>
  </w:style>
  <w:style w:type="paragraph" w:styleId="Ttulo4">
    <w:name w:val="Heading 4"/>
    <w:basedOn w:val="Normal"/>
    <w:next w:val="Normal"/>
    <w:link w:val="Ttulo4Car"/>
    <w:uiPriority w:val="9"/>
    <w:semiHidden/>
    <w:unhideWhenUsed/>
    <w:qFormat/>
    <w:rsid w:val="00d62f5b"/>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4e3154"/>
    <w:rPr/>
  </w:style>
  <w:style w:type="character" w:styleId="PiedepginaCar" w:customStyle="1">
    <w:name w:val="Pie de página Car"/>
    <w:basedOn w:val="DefaultParagraphFont"/>
    <w:link w:val="Piedepgina"/>
    <w:uiPriority w:val="99"/>
    <w:qFormat/>
    <w:rsid w:val="004e3154"/>
    <w:rPr/>
  </w:style>
  <w:style w:type="character" w:styleId="Ttulo3Car" w:customStyle="1">
    <w:name w:val="Título 3 Car"/>
    <w:basedOn w:val="DefaultParagraphFont"/>
    <w:link w:val="Ttulo3"/>
    <w:uiPriority w:val="9"/>
    <w:qFormat/>
    <w:rsid w:val="00d62f5b"/>
    <w:rPr>
      <w:rFonts w:ascii="Times New Roman" w:hAnsi="Times New Roman" w:eastAsia="Times New Roman" w:cs="Times New Roman"/>
      <w:b/>
      <w:bCs/>
      <w:sz w:val="27"/>
      <w:szCs w:val="27"/>
      <w:lang w:eastAsia="es-MX"/>
    </w:rPr>
  </w:style>
  <w:style w:type="character" w:styleId="EnlacedeInternet">
    <w:name w:val="Enlace de Internet"/>
    <w:basedOn w:val="DefaultParagraphFont"/>
    <w:uiPriority w:val="99"/>
    <w:unhideWhenUsed/>
    <w:rsid w:val="00d62f5b"/>
    <w:rPr>
      <w:color w:val="0000FF"/>
      <w:u w:val="single"/>
    </w:rPr>
  </w:style>
  <w:style w:type="character" w:styleId="Ttulo2Car" w:customStyle="1">
    <w:name w:val="Título 2 Car"/>
    <w:basedOn w:val="DefaultParagraphFont"/>
    <w:link w:val="Ttulo2"/>
    <w:uiPriority w:val="9"/>
    <w:semiHidden/>
    <w:qFormat/>
    <w:rsid w:val="00d62f5b"/>
    <w:rPr>
      <w:rFonts w:ascii="Calibri Light" w:hAnsi="Calibri Light" w:eastAsia="" w:cs="" w:asciiTheme="majorHAnsi" w:cstheme="majorBidi" w:eastAsiaTheme="majorEastAsia" w:hAnsiTheme="majorHAnsi"/>
      <w:color w:val="2E74B5" w:themeColor="accent1" w:themeShade="bf"/>
      <w:sz w:val="26"/>
      <w:szCs w:val="26"/>
    </w:rPr>
  </w:style>
  <w:style w:type="character" w:styleId="Ttulo4Car" w:customStyle="1">
    <w:name w:val="Título 4 Car"/>
    <w:basedOn w:val="DefaultParagraphFont"/>
    <w:link w:val="Ttulo4"/>
    <w:uiPriority w:val="9"/>
    <w:semiHidden/>
    <w:qFormat/>
    <w:rsid w:val="00d62f5b"/>
    <w:rPr>
      <w:rFonts w:ascii="Calibri Light" w:hAnsi="Calibri Light" w:eastAsia="" w:cs="" w:asciiTheme="majorHAnsi" w:cstheme="majorBidi" w:eastAsiaTheme="majorEastAsia" w:hAnsiTheme="majorHAnsi"/>
      <w:i/>
      <w:iCs/>
      <w:color w:val="2E74B5" w:themeColor="accent1" w:themeShade="bf"/>
    </w:rPr>
  </w:style>
  <w:style w:type="character" w:styleId="Annotationreference">
    <w:name w:val="annotation reference"/>
    <w:basedOn w:val="DefaultParagraphFont"/>
    <w:uiPriority w:val="99"/>
    <w:semiHidden/>
    <w:unhideWhenUsed/>
    <w:qFormat/>
    <w:rsid w:val="00e72bba"/>
    <w:rPr>
      <w:sz w:val="16"/>
      <w:szCs w:val="16"/>
    </w:rPr>
  </w:style>
  <w:style w:type="character" w:styleId="TextocomentarioCar" w:customStyle="1">
    <w:name w:val="Texto comentario Car"/>
    <w:basedOn w:val="DefaultParagraphFont"/>
    <w:link w:val="Textocomentario"/>
    <w:uiPriority w:val="99"/>
    <w:qFormat/>
    <w:rsid w:val="00e72bba"/>
    <w:rPr>
      <w:sz w:val="20"/>
      <w:szCs w:val="20"/>
    </w:rPr>
  </w:style>
  <w:style w:type="character" w:styleId="AsuntodelcomentarioCar" w:customStyle="1">
    <w:name w:val="Asunto del comentario Car"/>
    <w:basedOn w:val="TextocomentarioCar"/>
    <w:link w:val="Asuntodelcomentario"/>
    <w:uiPriority w:val="99"/>
    <w:semiHidden/>
    <w:qFormat/>
    <w:rsid w:val="00e72bba"/>
    <w:rPr>
      <w:b/>
      <w:bCs/>
      <w:sz w:val="20"/>
      <w:szCs w:val="20"/>
    </w:rPr>
  </w:style>
  <w:style w:type="character" w:styleId="TextodegloboCar" w:customStyle="1">
    <w:name w:val="Texto de globo Car"/>
    <w:basedOn w:val="DefaultParagraphFont"/>
    <w:link w:val="Textodeglobo"/>
    <w:uiPriority w:val="99"/>
    <w:semiHidden/>
    <w:qFormat/>
    <w:rsid w:val="00e72bba"/>
    <w:rPr>
      <w:rFonts w:ascii="Segoe UI" w:hAnsi="Segoe UI" w:cs="Segoe UI"/>
      <w:sz w:val="18"/>
      <w:szCs w:val="18"/>
    </w:rPr>
  </w:style>
  <w:style w:type="character" w:styleId="Mencinsinresolver1" w:customStyle="1">
    <w:name w:val="Mención sin resolver1"/>
    <w:basedOn w:val="DefaultParagraphFont"/>
    <w:uiPriority w:val="99"/>
    <w:semiHidden/>
    <w:unhideWhenUsed/>
    <w:qFormat/>
    <w:rsid w:val="0054373c"/>
    <w:rPr>
      <w:color w:val="605E5C"/>
      <w:shd w:fill="E1DFDD" w:val="clear"/>
    </w:rPr>
  </w:style>
  <w:style w:type="character" w:styleId="HTMLconformatoprevioCar" w:customStyle="1">
    <w:name w:val="HTML con formato previo Car"/>
    <w:basedOn w:val="DefaultParagraphFont"/>
    <w:link w:val="HTMLconformatoprevio"/>
    <w:uiPriority w:val="99"/>
    <w:semiHidden/>
    <w:qFormat/>
    <w:rsid w:val="00d2019b"/>
    <w:rPr>
      <w:rFonts w:ascii="Courier New" w:hAnsi="Courier New" w:eastAsia="Times New Roman" w:cs="Courier New"/>
      <w:sz w:val="20"/>
      <w:szCs w:val="20"/>
    </w:rPr>
  </w:style>
  <w:style w:type="character" w:styleId="Y2iqfc" w:customStyle="1">
    <w:name w:val="y2iqfc"/>
    <w:basedOn w:val="DefaultParagraphFont"/>
    <w:qFormat/>
    <w:rsid w:val="00d2019b"/>
    <w:rPr/>
  </w:style>
  <w:style w:type="character" w:styleId="EnlacedeInternetvisitado">
    <w:name w:val="Enlace de Internet visitado"/>
    <w:basedOn w:val="DefaultParagraphFont"/>
    <w:uiPriority w:val="99"/>
    <w:semiHidden/>
    <w:unhideWhenUsed/>
    <w:rsid w:val="00113f8d"/>
    <w:rPr>
      <w:color w:val="954F72" w:themeColor="followedHyperlink"/>
      <w:u w:val="single"/>
    </w:rPr>
  </w:style>
  <w:style w:type="character" w:styleId="UnresolvedMention" w:customStyle="1">
    <w:name w:val="Unresolved Mention"/>
    <w:basedOn w:val="DefaultParagraphFont"/>
    <w:uiPriority w:val="99"/>
    <w:semiHidden/>
    <w:unhideWhenUsed/>
    <w:qFormat/>
    <w:rsid w:val="00113f8d"/>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keepNext w:val="true"/>
      <w:keepLines/>
      <w:spacing w:before="480" w:after="120"/>
    </w:pPr>
    <w:rPr>
      <w:b/>
      <w:sz w:val="72"/>
      <w:szCs w:val="72"/>
    </w:rPr>
  </w:style>
  <w:style w:type="paragraph" w:styleId="NormalWeb">
    <w:name w:val="Normal (Web)"/>
    <w:basedOn w:val="Normal"/>
    <w:uiPriority w:val="99"/>
    <w:unhideWhenUsed/>
    <w:qFormat/>
    <w:rsid w:val="008f7984"/>
    <w:pPr>
      <w:spacing w:lineRule="auto" w:line="240" w:beforeAutospacing="1" w:afterAutospacing="1"/>
    </w:pPr>
    <w:rPr>
      <w:rFonts w:ascii="Times New Roman" w:hAnsi="Times New Roman" w:eastAsia="Times New Roman" w:cs="Times New Roman"/>
      <w:sz w:val="24"/>
      <w:szCs w:val="24"/>
    </w:rPr>
  </w:style>
  <w:style w:type="paragraph" w:styleId="ListParagraph">
    <w:name w:val="List Paragraph"/>
    <w:basedOn w:val="Normal"/>
    <w:uiPriority w:val="34"/>
    <w:qFormat/>
    <w:rsid w:val="00e5434e"/>
    <w:pPr>
      <w:spacing w:before="0" w:after="160"/>
      <w:ind w:left="720" w:hanging="0"/>
      <w:contextualSpacing/>
    </w:pPr>
    <w:rPr/>
  </w:style>
  <w:style w:type="paragraph" w:styleId="Cabeceraypie">
    <w:name w:val="Cabecera y pie"/>
    <w:basedOn w:val="Normal"/>
    <w:qFormat/>
    <w:pPr/>
    <w:rPr/>
  </w:style>
  <w:style w:type="paragraph" w:styleId="Cabecera">
    <w:name w:val="Header"/>
    <w:basedOn w:val="Normal"/>
    <w:link w:val="EncabezadoCar"/>
    <w:uiPriority w:val="99"/>
    <w:unhideWhenUsed/>
    <w:rsid w:val="004e3154"/>
    <w:pPr>
      <w:tabs>
        <w:tab w:val="clear" w:pos="720"/>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4e3154"/>
    <w:pPr>
      <w:tabs>
        <w:tab w:val="clear" w:pos="720"/>
        <w:tab w:val="center" w:pos="4419" w:leader="none"/>
        <w:tab w:val="right" w:pos="8838" w:leader="none"/>
      </w:tabs>
      <w:spacing w:lineRule="auto" w:line="240" w:before="0" w:after="0"/>
    </w:pPr>
    <w:rPr/>
  </w:style>
  <w:style w:type="paragraph" w:styleId="Annotationtext">
    <w:name w:val="annotation text"/>
    <w:basedOn w:val="Normal"/>
    <w:link w:val="TextocomentarioCar"/>
    <w:uiPriority w:val="99"/>
    <w:unhideWhenUsed/>
    <w:qFormat/>
    <w:rsid w:val="00e72bba"/>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e72bba"/>
    <w:pPr/>
    <w:rPr>
      <w:b/>
      <w:bCs/>
    </w:rPr>
  </w:style>
  <w:style w:type="paragraph" w:styleId="BalloonText">
    <w:name w:val="Balloon Text"/>
    <w:basedOn w:val="Normal"/>
    <w:link w:val="TextodegloboCar"/>
    <w:uiPriority w:val="99"/>
    <w:semiHidden/>
    <w:unhideWhenUsed/>
    <w:qFormat/>
    <w:rsid w:val="00e72bba"/>
    <w:pPr>
      <w:spacing w:lineRule="auto" w:line="240" w:before="0" w:after="0"/>
    </w:pPr>
    <w:rPr>
      <w:rFonts w:ascii="Segoe UI" w:hAnsi="Segoe UI" w:cs="Segoe UI"/>
      <w:sz w:val="18"/>
      <w:szCs w:val="18"/>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aption">
    <w:name w:val="caption"/>
    <w:basedOn w:val="Normal"/>
    <w:next w:val="Normal"/>
    <w:uiPriority w:val="35"/>
    <w:unhideWhenUsed/>
    <w:qFormat/>
    <w:rsid w:val="004a543c"/>
    <w:pPr>
      <w:spacing w:lineRule="auto" w:line="240" w:before="0" w:after="200"/>
    </w:pPr>
    <w:rPr>
      <w:i/>
      <w:iCs/>
      <w:color w:val="44546A" w:themeColor="text2"/>
      <w:sz w:val="18"/>
      <w:szCs w:val="18"/>
    </w:rPr>
  </w:style>
  <w:style w:type="paragraph" w:styleId="HTMLPreformatted">
    <w:name w:val="HTML Preformatted"/>
    <w:basedOn w:val="Normal"/>
    <w:link w:val="HTMLconformatoprevioCar"/>
    <w:uiPriority w:val="99"/>
    <w:semiHidden/>
    <w:unhideWhenUsed/>
    <w:qFormat/>
    <w:rsid w:val="00d2019b"/>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Cabeceraizquierda">
    <w:name w:val="Cabecera izquierda"/>
    <w:basedOn w:val="Cabecera"/>
    <w:qFormat/>
    <w:pPr>
      <w:suppressLineNumbers/>
      <w:tabs>
        <w:tab w:val="clear" w:pos="4419"/>
        <w:tab w:val="clear" w:pos="8838"/>
        <w:tab w:val="center" w:pos="4674" w:leader="none"/>
        <w:tab w:val="right" w:pos="9349" w:leader="none"/>
      </w:tab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736d9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delista1clara">
    <w:name w:val="List Table 1 Light"/>
    <w:basedOn w:val="Tablanormal"/>
    <w:uiPriority w:val="46"/>
    <w:rsid w:val="0002483b"/>
    <w:pPr>
      <w:spacing w:after="0" w:line="240" w:lineRule="auto"/>
    </w:pPr>
    <w:rPr>
      <w:rFonts w:asciiTheme="minorHAnsi" w:hAnsiTheme="minorHAnsi" w:eastAsiaTheme="minorHAnsi" w:cstheme="minorBidi"/>
      <w:lang w:eastAsia="en-US"/>
    </w:rPr>
    <w:tblPr>
      <w:tblStyleRowBandSize w:val="1"/>
      <w:tblStyleColBandSize w:val="1"/>
    </w:tblPr>
    <w:tblStylePr w:type="firstRow">
      <w:rPr>
        <w:b/>
        <w:bCs/>
      </w:rPr>
      <w:tblPr/>
      <w:tcPr>
        <w:tcBorders>
          <w:bottom w:val="single" w:color="666666" w:themeColor="text1" w:sz="4" w:space="0"/>
        </w:tcBorders>
      </w:tcPr>
    </w:tblStylePr>
    <w:tblStylePr w:type="lastRow">
      <w:rPr>
        <w:b/>
        <w:bCs/>
      </w:rPr>
      <w:tblPr/>
      <w:tcPr>
        <w:tcBorders>
          <w:top w:val="sing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header" Target="header8.xml"/><Relationship Id="rId19" Type="http://schemas.openxmlformats.org/officeDocument/2006/relationships/header" Target="header9.xml"/><Relationship Id="rId20" Type="http://schemas.openxmlformats.org/officeDocument/2006/relationships/header" Target="header10.xml"/><Relationship Id="rId21" Type="http://schemas.openxmlformats.org/officeDocument/2006/relationships/footer" Target="footer8.xml"/><Relationship Id="rId22" Type="http://schemas.openxmlformats.org/officeDocument/2006/relationships/footer" Target="footer9.xml"/><Relationship Id="rId23" Type="http://schemas.openxmlformats.org/officeDocument/2006/relationships/footer" Target="footer10.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Relationship Id="rId28" Type="http://schemas.openxmlformats.org/officeDocument/2006/relationships/customXml" Target="../customXml/item1.xml"/><Relationship Id="rId29" Type="http://schemas.openxmlformats.org/officeDocument/2006/relationships/customXml" Target="../customXml/item2.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roundtripDataSignature="AMtx7mjAObPj91LBdqxavuZ34H865rClBw==">AMUW2mXvvoMDps5az9AdTyTe2a9wSo5B2/Yr9aVRxbYY2er2NljIE1wN1O2cHbdLsceO+5cXKczI1zBNgV/q/9DhAgwkcNH644F0pY9ejsyIyNn7CTDYTl7WIaiGAqYOSBXqD7xjLFKc</go:docsCustomData>
</go:gDocsCustomXmlDataStorage>
</file>

<file path=customXml/itemProps1.xml><?xml version="1.0" encoding="utf-8"?>
<ds:datastoreItem xmlns:ds="http://schemas.openxmlformats.org/officeDocument/2006/customXml" ds:itemID="{9F8D73B4-6C0D-457F-8CD5-85EAD511072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Application>LibreOffice/7.0.4.2$Linux_X86_64 LibreOffice_project/00$Build-2</Application>
  <AppVersion>15.0000</AppVersion>
  <Pages>8</Pages>
  <Words>4111</Words>
  <Characters>25472</Characters>
  <CharactersWithSpaces>29487</CharactersWithSpaces>
  <Paragraphs>170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2022-11-29T16:35:00Z</dcterms:created>
  <dc:creator>Ivar Jesús Aguilar Guillermo</dc:creator>
  <dc:description/>
  <dc:language>es-MX</dc:language>
  <cp:lastModifiedBy/>
  <dcterms:modified xsi:type="dcterms:W3CDTF">2023-01-04T09:42:09Z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