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3.xml.rels" ContentType="application/vnd.openxmlformats-package.relationships+xml"/>
  <Override PartName="/word/_rels/header6.xml.rels" ContentType="application/vnd.openxmlformats-package.relationships+xml"/>
  <Override PartName="/word/footer4.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footer6.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28.jpeg" ContentType="image/jpeg"/>
  <Override PartName="/word/media/image27.jpeg" ContentType="image/jpeg"/>
  <Override PartName="/word/media/image23.jpeg" ContentType="image/jpeg"/>
  <Override PartName="/word/media/image21.jpeg" ContentType="image/jpeg"/>
  <Override PartName="/word/media/image20.jpeg" ContentType="image/jpeg"/>
  <Override PartName="/word/media/image19.jpeg" ContentType="image/jpeg"/>
  <Override PartName="/word/media/image18.jpeg" ContentType="image/jpeg"/>
  <Override PartName="/word/media/image17.jpeg" ContentType="image/jpeg"/>
  <Override PartName="/word/media/image16.jpeg" ContentType="image/jpeg"/>
  <Override PartName="/word/media/image15.jpeg" ContentType="image/jpeg"/>
  <Override PartName="/word/media/image14.jpeg" ContentType="image/jpeg"/>
  <Override PartName="/word/media/image41.jpeg" ContentType="image/jpeg"/>
  <Override PartName="/word/media/image1.png" ContentType="image/png"/>
  <Override PartName="/word/media/image10.jpeg" ContentType="image/jpeg"/>
  <Override PartName="/word/media/image29.jpeg" ContentType="image/jpeg"/>
  <Override PartName="/word/media/image35.jpeg" ContentType="image/jpeg"/>
  <Override PartName="/word/media/image13.jpeg" ContentType="image/jpeg"/>
  <Override PartName="/word/media/image11.jpeg" ContentType="image/jpeg"/>
  <Override PartName="/word/media/image9.jpeg" ContentType="image/jpeg"/>
  <Override PartName="/word/media/image8.jpeg" ContentType="image/jpeg"/>
  <Override PartName="/word/media/image38.png" ContentType="image/png"/>
  <Override PartName="/word/media/image36.jpeg" ContentType="image/jpeg"/>
  <Override PartName="/word/media/image30.jpeg" ContentType="image/jpeg"/>
  <Override PartName="/word/media/image3.jpeg" ContentType="image/jpeg"/>
  <Override PartName="/word/media/image24.jpeg" ContentType="image/jpeg"/>
  <Override PartName="/word/media/image31.jpeg" ContentType="image/jpeg"/>
  <Override PartName="/word/media/image40.png" ContentType="image/png"/>
  <Override PartName="/word/media/image4.jpeg" ContentType="image/jpeg"/>
  <Override PartName="/word/media/image2.png" ContentType="image/png"/>
  <Override PartName="/word/media/image25.jpeg" ContentType="image/jpeg"/>
  <Override PartName="/word/media/image32.jpeg" ContentType="image/jpeg"/>
  <Override PartName="/word/media/image5.jpeg" ContentType="image/jpeg"/>
  <Override PartName="/word/media/image33.jpeg" ContentType="image/jpeg"/>
  <Override PartName="/word/media/image37.png" ContentType="image/png"/>
  <Override PartName="/word/media/image34.jpeg" ContentType="image/jpeg"/>
  <Override PartName="/word/media/image7.png" ContentType="image/png"/>
  <Override PartName="/word/media/image22.jpeg" ContentType="image/jpeg"/>
  <Override PartName="/word/media/image39.png" ContentType="image/png"/>
  <Override PartName="/word/media/image12.jpeg" ContentType="image/jpeg"/>
  <Override PartName="/word/media/image6.png" ContentType="image/png"/>
  <Override PartName="/word/media/image26.jpeg" ContentType="image/jpeg"/>
  <Override PartName="/word/media/image42.png" ContentType="image/png"/>
  <Override PartName="/word/fontTable.xml" ContentType="application/vnd.openxmlformats-officedocument.wordprocessingml.fontTable+xml"/>
  <Override PartName="/word/header3.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general"/>
        <w:spacing w:lineRule="auto" w:line="240" w:before="0" w:after="0"/>
        <w:rPr>
          <w:rFonts w:ascii="Times New Roman" w:hAnsi="Times New Roman"/>
          <w:b w:val="false"/>
          <w:b w:val="false"/>
          <w:bCs w:val="false"/>
          <w:sz w:val="44"/>
          <w:szCs w:val="44"/>
        </w:rPr>
      </w:pPr>
      <w:r>
        <w:rPr>
          <w:rFonts w:ascii="Times New Roman" w:hAnsi="Times New Roman"/>
          <w:b w:val="false"/>
          <w:bCs w:val="false"/>
          <w:sz w:val="44"/>
          <w:szCs w:val="44"/>
        </w:rPr>
        <w:t>Aplicación en realidad aumentada para mejorar la visualización en 3D de moléculas y modelos químicos y su efecto en el aprovechamiento</w:t>
      </w:r>
    </w:p>
    <w:p>
      <w:pPr>
        <w:pStyle w:val="Normal"/>
        <w:spacing w:lineRule="auto" w:line="240" w:before="0" w:after="0"/>
        <w:rPr>
          <w:rFonts w:ascii="Times New Roman" w:hAnsi="Times New Roman"/>
          <w:b w:val="false"/>
          <w:b w:val="false"/>
          <w:bCs w:val="false"/>
          <w:sz w:val="20"/>
          <w:szCs w:val="20"/>
        </w:rPr>
      </w:pPr>
      <w:r>
        <w:rPr>
          <w:rFonts w:ascii="Times New Roman" w:hAnsi="Times New Roman"/>
          <w:b w:val="false"/>
          <w:bCs w:val="false"/>
          <w:sz w:val="20"/>
          <w:szCs w:val="20"/>
        </w:rPr>
      </w:r>
    </w:p>
    <w:p>
      <w:pPr>
        <w:pStyle w:val="Normal"/>
        <w:pBdr/>
        <w:spacing w:lineRule="auto" w:line="240" w:before="0" w:after="0"/>
        <w:jc w:val="center"/>
        <w:rPr>
          <w:rFonts w:ascii="Times New Roman" w:hAnsi="Times New Roman"/>
          <w:b w:val="false"/>
          <w:b w:val="false"/>
          <w:bCs w:val="false"/>
          <w:sz w:val="36"/>
          <w:szCs w:val="36"/>
        </w:rPr>
      </w:pPr>
      <w:r>
        <w:rPr>
          <w:rFonts w:cs="Times New Roman" w:ascii="Times New Roman" w:hAnsi="Times New Roman"/>
          <w:b w:val="false"/>
          <w:bCs w:val="false"/>
          <w:sz w:val="36"/>
          <w:szCs w:val="36"/>
          <w:lang w:val="en-US"/>
        </w:rPr>
        <w:t>Application in augmented reality to improve the 3D visualization of molecules and chemical models and their effect on the academic achievement</w:t>
      </w:r>
    </w:p>
    <w:p>
      <w:pPr>
        <w:pStyle w:val="Normal"/>
        <w:pBdr/>
        <w:spacing w:lineRule="auto" w:line="240" w:before="0" w:after="0"/>
        <w:jc w:val="center"/>
        <w:rPr>
          <w:rFonts w:cs="Times New Roman"/>
          <w:lang w:val="en-US"/>
        </w:rPr>
      </w:pPr>
      <w:r>
        <w:rPr>
          <w:rFonts w:ascii="Times New Roman" w:hAnsi="Times New Roman"/>
          <w:b w:val="false"/>
          <w:bCs w:val="false"/>
          <w:sz w:val="20"/>
          <w:szCs w:val="20"/>
        </w:rPr>
      </w:r>
    </w:p>
    <w:p>
      <w:pPr>
        <w:pStyle w:val="Normal"/>
        <w:pBdr/>
        <w:spacing w:lineRule="auto" w:line="240" w:before="0" w:after="0"/>
        <w:jc w:val="center"/>
        <w:rPr>
          <w:rFonts w:ascii="Times New Roman" w:hAnsi="Times New Roman"/>
          <w:sz w:val="24"/>
          <w:szCs w:val="24"/>
        </w:rPr>
      </w:pPr>
      <w:r>
        <w:rPr>
          <w:rFonts w:cs="Times New Roman" w:ascii="Times New Roman" w:hAnsi="Times New Roman"/>
          <w:b w:val="false"/>
          <w:bCs w:val="false"/>
          <w:sz w:val="24"/>
          <w:szCs w:val="24"/>
          <w:lang w:val="en-US"/>
        </w:rPr>
        <w:t>León Francisco Austria Melo</w:t>
      </w:r>
      <w:r>
        <w:rPr>
          <w:rFonts w:cs="Times New Roman" w:ascii="Times New Roman" w:hAnsi="Times New Roman"/>
          <w:b w:val="false"/>
          <w:bCs w:val="false"/>
          <w:sz w:val="24"/>
          <w:szCs w:val="24"/>
          <w:vertAlign w:val="superscript"/>
          <w:lang w:val="en-US"/>
        </w:rPr>
        <w:t>1</w:t>
      </w:r>
      <w:r>
        <w:rPr>
          <w:rFonts w:cs="Times New Roman" w:ascii="Times New Roman" w:hAnsi="Times New Roman"/>
          <w:b w:val="false"/>
          <w:bCs w:val="false"/>
          <w:sz w:val="24"/>
          <w:szCs w:val="24"/>
          <w:lang w:val="en-US"/>
        </w:rPr>
        <w:t xml:space="preserve">, </w:t>
      </w:r>
      <w:r>
        <w:rPr>
          <w:rFonts w:cs="Times New Roman" w:ascii="Times New Roman" w:hAnsi="Times New Roman"/>
          <w:sz w:val="24"/>
          <w:szCs w:val="24"/>
          <w:lang w:val="en-US"/>
        </w:rPr>
        <w:t>Diego Adrián Fabila Bustos</w:t>
      </w:r>
      <w:r>
        <w:rPr>
          <w:rFonts w:cs="Times New Roman" w:ascii="Times New Roman" w:hAnsi="Times New Roman"/>
          <w:sz w:val="24"/>
          <w:szCs w:val="24"/>
          <w:vertAlign w:val="superscript"/>
          <w:lang w:val="en-US"/>
        </w:rPr>
        <w:t>1*</w:t>
      </w:r>
      <w:r>
        <w:rPr>
          <w:rFonts w:cs="Times New Roman" w:ascii="Times New Roman" w:hAnsi="Times New Roman"/>
          <w:b w:val="false"/>
          <w:bCs w:val="false"/>
          <w:sz w:val="24"/>
          <w:szCs w:val="24"/>
          <w:lang w:val="en-US"/>
        </w:rPr>
        <w:t xml:space="preserve"> </w:t>
      </w:r>
      <w:r>
        <w:rPr>
          <w:rFonts w:cs="Times New Roman" w:ascii="Times New Roman" w:hAnsi="Times New Roman"/>
          <w:b w:val="false"/>
          <w:bCs w:val="false"/>
          <w:sz w:val="24"/>
          <w:szCs w:val="24"/>
          <w:lang w:val="en-US"/>
        </w:rPr>
        <w:t>y Macaria Hernández Chávez</w:t>
      </w:r>
      <w:r>
        <w:rPr>
          <w:rFonts w:cs="Times New Roman" w:ascii="Times New Roman" w:hAnsi="Times New Roman"/>
          <w:b w:val="false"/>
          <w:bCs w:val="false"/>
          <w:sz w:val="24"/>
          <w:szCs w:val="24"/>
          <w:vertAlign w:val="superscript"/>
          <w:lang w:val="en-US"/>
        </w:rPr>
        <w:t>1</w:t>
      </w:r>
    </w:p>
    <w:p>
      <w:pPr>
        <w:pStyle w:val="Normal"/>
        <w:pBdr/>
        <w:spacing w:lineRule="auto" w:line="240" w:before="0" w:after="0"/>
        <w:jc w:val="center"/>
        <w:rPr>
          <w:rFonts w:cs="Times New Roman"/>
          <w:lang w:val="en-US"/>
        </w:rPr>
      </w:pPr>
      <w:r>
        <w:rPr>
          <w:rFonts w:ascii="Times New Roman" w:hAnsi="Times New Roman"/>
          <w:b w:val="false"/>
          <w:bCs w:val="false"/>
          <w:sz w:val="24"/>
          <w:szCs w:val="24"/>
        </w:rPr>
      </w:r>
    </w:p>
    <w:p>
      <w:pPr>
        <w:pStyle w:val="Normal"/>
        <w:pBdr/>
        <w:spacing w:lineRule="auto" w:line="240" w:before="0" w:after="0"/>
        <w:jc w:val="center"/>
        <w:rPr>
          <w:rFonts w:ascii="Times New Roman" w:hAnsi="Times New Roman"/>
          <w:i/>
          <w:i/>
          <w:iCs/>
          <w:sz w:val="24"/>
          <w:szCs w:val="24"/>
        </w:rPr>
      </w:pPr>
      <w:r>
        <w:rPr>
          <w:rFonts w:cs="Times New Roman" w:ascii="Times New Roman" w:hAnsi="Times New Roman"/>
          <w:b w:val="false"/>
          <w:bCs w:val="false"/>
          <w:i/>
          <w:iCs/>
          <w:sz w:val="24"/>
          <w:szCs w:val="24"/>
          <w:vertAlign w:val="superscript"/>
          <w:lang w:val="en-US"/>
        </w:rPr>
        <w:t>1</w:t>
      </w:r>
      <w:r>
        <w:rPr>
          <w:rFonts w:cs="Times New Roman" w:ascii="Times New Roman" w:hAnsi="Times New Roman"/>
          <w:b w:val="false"/>
          <w:bCs w:val="false"/>
          <w:i/>
          <w:iCs/>
          <w:sz w:val="24"/>
          <w:szCs w:val="24"/>
          <w:lang w:val="en-US"/>
        </w:rPr>
        <w:t xml:space="preserve">Instituto Politécnico Nacional, Unidad Profesional Interdisciplinaria de Ingeniería Campus Hidalgo , </w:t>
      </w:r>
      <w:r>
        <w:rPr>
          <w:rFonts w:cs="Times New Roman" w:ascii="Times New Roman" w:hAnsi="Times New Roman"/>
          <w:i/>
          <w:iCs/>
          <w:sz w:val="24"/>
          <w:szCs w:val="24"/>
          <w:lang w:val="en-US"/>
        </w:rPr>
        <w:t xml:space="preserve">Carretera Pachuca - Actopan Kilómetro 1+500 Ciudad del Conocimiento y la Cultura Educación, 42162 </w:t>
      </w:r>
      <w:r>
        <w:rPr>
          <w:rFonts w:cs="Times New Roman" w:ascii="Times New Roman" w:hAnsi="Times New Roman"/>
          <w:i/>
          <w:iCs/>
          <w:sz w:val="24"/>
          <w:szCs w:val="24"/>
          <w:lang w:val="en-US"/>
        </w:rPr>
        <w:t xml:space="preserve">Pachuca, </w:t>
      </w:r>
      <w:r>
        <w:rPr>
          <w:rFonts w:cs="Times New Roman" w:ascii="Times New Roman" w:hAnsi="Times New Roman"/>
          <w:i/>
          <w:iCs/>
          <w:sz w:val="24"/>
          <w:szCs w:val="24"/>
          <w:lang w:val="en-US"/>
        </w:rPr>
        <w:t>H</w:t>
      </w:r>
      <w:r>
        <w:rPr>
          <w:rFonts w:cs="Times New Roman" w:ascii="Times New Roman" w:hAnsi="Times New Roman"/>
          <w:i/>
          <w:iCs/>
          <w:sz w:val="24"/>
          <w:szCs w:val="24"/>
          <w:lang w:val="en-US"/>
        </w:rPr>
        <w:t>idal</w:t>
      </w:r>
      <w:r>
        <w:rPr>
          <w:rFonts w:cs="Times New Roman" w:ascii="Times New Roman" w:hAnsi="Times New Roman"/>
          <w:i/>
          <w:iCs/>
          <w:sz w:val="24"/>
          <w:szCs w:val="24"/>
          <w:lang w:val="en-US"/>
        </w:rPr>
        <w:t xml:space="preserve">go, </w:t>
      </w:r>
      <w:r>
        <w:rPr>
          <w:rFonts w:cs="Times New Roman" w:ascii="Times New Roman" w:hAnsi="Times New Roman"/>
          <w:i/>
          <w:iCs/>
          <w:sz w:val="24"/>
          <w:szCs w:val="24"/>
          <w:lang w:val="en-US"/>
        </w:rPr>
        <w:t>México.</w:t>
      </w:r>
    </w:p>
    <w:p>
      <w:pPr>
        <w:pStyle w:val="Normal"/>
        <w:pBdr/>
        <w:spacing w:lineRule="auto" w:line="240" w:before="0" w:after="0"/>
        <w:jc w:val="center"/>
        <w:rPr>
          <w:rFonts w:cs="Times New Roman"/>
          <w:lang w:val="en-US"/>
        </w:rPr>
      </w:pPr>
      <w:r>
        <w:rPr>
          <w:rFonts w:ascii="Times New Roman" w:hAnsi="Times New Roman"/>
          <w:b w:val="false"/>
          <w:bCs w:val="false"/>
          <w:sz w:val="20"/>
          <w:szCs w:val="20"/>
        </w:rPr>
      </w:r>
    </w:p>
    <w:p>
      <w:pPr>
        <w:pStyle w:val="Normal"/>
        <w:pBdr/>
        <w:spacing w:lineRule="auto" w:line="240" w:before="0" w:after="0"/>
        <w:jc w:val="center"/>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lang w:val="en-US"/>
        </w:rPr>
        <w:t>*</w:t>
      </w:r>
      <w:r>
        <w:rPr>
          <w:rFonts w:cs="Times New Roman" w:ascii="Times New Roman" w:hAnsi="Times New Roman"/>
          <w:b w:val="false"/>
          <w:bCs w:val="false"/>
          <w:i/>
          <w:iCs/>
          <w:sz w:val="20"/>
          <w:szCs w:val="20"/>
          <w:lang w:val="en-US"/>
        </w:rPr>
        <w:t>Corresponding author:</w:t>
      </w:r>
    </w:p>
    <w:p>
      <w:pPr>
        <w:pStyle w:val="Normal"/>
        <w:pBdr/>
        <w:spacing w:lineRule="auto" w:line="240" w:before="0" w:after="0"/>
        <w:jc w:val="center"/>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lang w:val="en-US"/>
        </w:rPr>
        <w:t>dfabilab@ipn.mx</w:t>
      </w:r>
    </w:p>
    <w:p>
      <w:pPr>
        <w:pStyle w:val="Normal"/>
        <w:pBdr/>
        <w:spacing w:lineRule="auto" w:line="240" w:before="0" w:after="0"/>
        <w:rPr>
          <w:rFonts w:ascii="Times New Roman" w:hAnsi="Times New Roman"/>
          <w:sz w:val="20"/>
          <w:szCs w:val="20"/>
        </w:rPr>
      </w:pPr>
      <w:r>
        <w:rPr>
          <w:rFonts w:ascii="Times New Roman" w:hAnsi="Times New Roman"/>
          <w:sz w:val="20"/>
          <w:szCs w:val="20"/>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2044" w:footer="1417" w:bottom="2092" w:gutter="0"/>
          <w:pgNumType w:start="1" w:fmt="decimal"/>
          <w:formProt w:val="false"/>
          <w:titlePg/>
          <w:textDirection w:val="lrTb"/>
          <w:docGrid w:type="default" w:linePitch="100" w:charSpace="4096"/>
        </w:sectPr>
      </w:pPr>
    </w:p>
    <w:p>
      <w:pPr>
        <w:pStyle w:val="Normal"/>
        <w:spacing w:lineRule="auto" w:line="240" w:before="0" w:after="0"/>
        <w:jc w:val="both"/>
        <w:rPr>
          <w:rFonts w:ascii="Times New Roman" w:hAnsi="Times New Roman"/>
          <w:b/>
          <w:b/>
          <w:bCs/>
          <w:sz w:val="20"/>
          <w:szCs w:val="20"/>
        </w:rPr>
      </w:pPr>
      <w:r>
        <w:rPr>
          <w:rFonts w:eastAsia="Times New Roman" w:cs="Times New Roman" w:ascii="Times New Roman" w:hAnsi="Times New Roman"/>
          <w:b/>
          <w:bCs/>
          <w:sz w:val="20"/>
          <w:szCs w:val="20"/>
        </w:rPr>
        <w:t>Resumen: En este trabajo se presenta el desarrollo y evaluación de una aplicación en Realidad Aumentada (RA) para dispositivos móviles con sistema operativo Android y Windows, la cual permite mejorar el aprovechamiento de los estudiantes de auímica del primer semestre de Ingeniería en Sistemas Automotrices, al mostrar de forma tridimensional diferentes moléculas y modelos químicos. La aplicación fue desarrollada durante la pandemia ocasionada por la COVID-19 por uno de los estudiantes de la asignatura en el motor gráfico Unity3D en conjunto con el SDK EasyAR, y los modelos tridimensionales fueron modelados en SolidWorks y Blender. Para evaluar la aplicación se realizó una prueba piloto en un grupo de 15 estudiantes, en donde se reportaron aspectos como calidad gráfica e interacción. Los resultados obtenidos reflejan mayor interés y comodidad al utilizar herramientas tecnológicas en su aprendizaje y al contrastar con el aprovechamiento del mismo curso a distancia sin el uso de la aplicación, hubo un incremento del 25%.</w:t>
      </w:r>
    </w:p>
    <w:p>
      <w:pPr>
        <w:pStyle w:val="Normal"/>
        <w:spacing w:lineRule="auto" w:line="240" w:before="0" w:after="0"/>
        <w:jc w:val="both"/>
        <w:rPr>
          <w:rFonts w:eastAsia="Times New Roman" w:cs="Times New Roman"/>
        </w:rPr>
      </w:pPr>
      <w:r>
        <w:rPr>
          <w:rFonts w:ascii="Times New Roman" w:hAnsi="Times New Roman"/>
          <w:b/>
          <w:bCs/>
          <w:sz w:val="20"/>
          <w:szCs w:val="20"/>
        </w:rPr>
      </w:r>
    </w:p>
    <w:p>
      <w:pPr>
        <w:pStyle w:val="Normal"/>
        <w:spacing w:lineRule="auto" w:line="240" w:before="0" w:after="0"/>
        <w:jc w:val="both"/>
        <w:rPr>
          <w:rFonts w:ascii="Times New Roman" w:hAnsi="Times New Roman"/>
          <w:b/>
          <w:b/>
          <w:bCs/>
          <w:sz w:val="20"/>
          <w:szCs w:val="20"/>
        </w:rPr>
      </w:pPr>
      <w:r>
        <w:rPr>
          <w:rFonts w:eastAsia="Times New Roman" w:cs="Times New Roman" w:ascii="Times New Roman" w:hAnsi="Times New Roman"/>
          <w:b/>
          <w:bCs/>
          <w:sz w:val="20"/>
          <w:szCs w:val="20"/>
        </w:rPr>
        <w:t xml:space="preserve">Palabras claves: Realidad aumentada, </w:t>
      </w:r>
      <w:r>
        <w:rPr>
          <w:rFonts w:eastAsia="Times New Roman" w:cs="Times New Roman" w:ascii="Times New Roman" w:hAnsi="Times New Roman"/>
          <w:b/>
          <w:bCs/>
          <w:sz w:val="20"/>
          <w:szCs w:val="20"/>
        </w:rPr>
        <w:t>u</w:t>
      </w:r>
      <w:r>
        <w:rPr>
          <w:rFonts w:eastAsia="Times New Roman" w:cs="Times New Roman" w:ascii="Times New Roman" w:hAnsi="Times New Roman"/>
          <w:b/>
          <w:bCs/>
          <w:sz w:val="20"/>
          <w:szCs w:val="20"/>
        </w:rPr>
        <w:t xml:space="preserve">nity 3D, modelos 3D, </w:t>
      </w:r>
      <w:r>
        <w:rPr>
          <w:rFonts w:eastAsia="Times New Roman" w:cs="Times New Roman" w:ascii="Times New Roman" w:hAnsi="Times New Roman"/>
          <w:b/>
          <w:bCs/>
          <w:sz w:val="20"/>
          <w:szCs w:val="20"/>
        </w:rPr>
        <w:t>m</w:t>
      </w:r>
      <w:r>
        <w:rPr>
          <w:rFonts w:eastAsia="Times New Roman" w:cs="Times New Roman" w:ascii="Times New Roman" w:hAnsi="Times New Roman"/>
          <w:b/>
          <w:bCs/>
          <w:sz w:val="20"/>
          <w:szCs w:val="20"/>
        </w:rPr>
        <w:t xml:space="preserve">oléculas y </w:t>
      </w:r>
      <w:r>
        <w:rPr>
          <w:rFonts w:eastAsia="Times New Roman" w:cs="Times New Roman" w:ascii="Times New Roman" w:hAnsi="Times New Roman"/>
          <w:b/>
          <w:bCs/>
          <w:sz w:val="20"/>
          <w:szCs w:val="20"/>
        </w:rPr>
        <w:t>m</w:t>
      </w:r>
      <w:r>
        <w:rPr>
          <w:rFonts w:eastAsia="Times New Roman" w:cs="Times New Roman" w:ascii="Times New Roman" w:hAnsi="Times New Roman"/>
          <w:b/>
          <w:bCs/>
          <w:sz w:val="20"/>
          <w:szCs w:val="20"/>
        </w:rPr>
        <w:t xml:space="preserve">odelos </w:t>
      </w:r>
      <w:r>
        <w:rPr>
          <w:rFonts w:eastAsia="Times New Roman" w:cs="Times New Roman" w:ascii="Times New Roman" w:hAnsi="Times New Roman"/>
          <w:b/>
          <w:bCs/>
          <w:sz w:val="20"/>
          <w:szCs w:val="20"/>
        </w:rPr>
        <w:t>q</w:t>
      </w:r>
      <w:r>
        <w:rPr>
          <w:rFonts w:eastAsia="Times New Roman" w:cs="Times New Roman" w:ascii="Times New Roman" w:hAnsi="Times New Roman"/>
          <w:b/>
          <w:bCs/>
          <w:sz w:val="20"/>
          <w:szCs w:val="20"/>
        </w:rPr>
        <w:t>uímicos.</w:t>
      </w:r>
    </w:p>
    <w:p>
      <w:pPr>
        <w:pStyle w:val="Normal"/>
        <w:spacing w:lineRule="auto" w:line="240" w:before="0" w:after="0"/>
        <w:jc w:val="both"/>
        <w:rPr>
          <w:rFonts w:eastAsia="Times New Roman" w:cs="Times New Roman"/>
        </w:rPr>
      </w:pPr>
      <w:r>
        <w:rPr>
          <w:rFonts w:ascii="Times New Roman" w:hAnsi="Times New Roman"/>
          <w:b/>
          <w:bCs/>
          <w:sz w:val="20"/>
          <w:szCs w:val="20"/>
        </w:rPr>
      </w:r>
    </w:p>
    <w:p>
      <w:pPr>
        <w:pStyle w:val="Normal"/>
        <w:spacing w:lineRule="auto" w:line="240" w:before="0" w:after="0"/>
        <w:jc w:val="both"/>
        <w:rPr>
          <w:rFonts w:ascii="Times New Roman" w:hAnsi="Times New Roman"/>
          <w:b/>
          <w:b/>
          <w:bCs/>
          <w:sz w:val="20"/>
          <w:szCs w:val="20"/>
        </w:rPr>
      </w:pPr>
      <w:r>
        <w:rPr>
          <w:rFonts w:eastAsia="Times New Roman" w:cs="Times New Roman" w:ascii="Times New Roman" w:hAnsi="Times New Roman"/>
          <w:b/>
          <w:bCs/>
          <w:sz w:val="20"/>
          <w:szCs w:val="20"/>
        </w:rPr>
        <w:t>Abstract: This paper presents the development and evaluation of an Augmented Reality (AR) application for mobile devices with Android and Windows operating systems, which allows improving the achievement of Chemistry students in the first semester of Automotive Systems Engineering, by showing in a three-dimensional way different molecules and chemical models. The application was developed during the pandemic caused by COVID-19 by one of the students of the course in the Unity3D graphics engine in conjunction with the EasyAR SDK, and the three-dimensional models were modeled in SolidWorks and Blender. To evaluate the application, a pilot test was carried out in a group of 15 students, where aspects such as graphic quality and interaction were reported. The results obtained reflect greater interest and comfort when using technological tools in their learning and when contrasting with the use of the same distance course without the use of the application, there was an increase of 25%.</w:t>
      </w:r>
    </w:p>
    <w:p>
      <w:pPr>
        <w:pStyle w:val="Normal"/>
        <w:spacing w:lineRule="auto" w:line="240" w:before="0" w:after="0"/>
        <w:jc w:val="both"/>
        <w:rPr>
          <w:rFonts w:eastAsia="Times New Roman" w:cs="Times New Roman"/>
        </w:rPr>
      </w:pPr>
      <w:r>
        <w:rPr>
          <w:rFonts w:ascii="Times New Roman" w:hAnsi="Times New Roman"/>
          <w:b/>
          <w:bCs/>
          <w:sz w:val="20"/>
          <w:szCs w:val="20"/>
        </w:rPr>
      </w:r>
    </w:p>
    <w:p>
      <w:pPr>
        <w:pStyle w:val="Normal"/>
        <w:spacing w:lineRule="auto" w:line="240" w:before="0" w:after="0"/>
        <w:jc w:val="both"/>
        <w:rPr>
          <w:rFonts w:ascii="Times New Roman" w:hAnsi="Times New Roman"/>
          <w:b/>
          <w:b/>
          <w:bCs/>
          <w:sz w:val="20"/>
          <w:szCs w:val="20"/>
        </w:rPr>
      </w:pPr>
      <w:r>
        <w:rPr>
          <w:rFonts w:eastAsia="Times New Roman" w:cs="Times New Roman" w:ascii="Times New Roman" w:hAnsi="Times New Roman"/>
          <w:b/>
          <w:bCs/>
          <w:sz w:val="20"/>
          <w:szCs w:val="20"/>
        </w:rPr>
        <w:t xml:space="preserve">Keywords: Augmented reality, </w:t>
      </w:r>
      <w:r>
        <w:rPr>
          <w:rFonts w:eastAsia="Times New Roman" w:cs="Times New Roman" w:ascii="Times New Roman" w:hAnsi="Times New Roman"/>
          <w:b/>
          <w:bCs/>
          <w:sz w:val="20"/>
          <w:szCs w:val="20"/>
        </w:rPr>
        <w:t>u</w:t>
      </w:r>
      <w:r>
        <w:rPr>
          <w:rFonts w:eastAsia="Times New Roman" w:cs="Times New Roman" w:ascii="Times New Roman" w:hAnsi="Times New Roman"/>
          <w:b/>
          <w:bCs/>
          <w:sz w:val="20"/>
          <w:szCs w:val="20"/>
        </w:rPr>
        <w:t xml:space="preserve">nity 3D, 3D models, </w:t>
      </w:r>
      <w:r>
        <w:rPr>
          <w:rFonts w:eastAsia="Times New Roman" w:cs="Times New Roman" w:ascii="Times New Roman" w:hAnsi="Times New Roman"/>
          <w:b/>
          <w:bCs/>
          <w:sz w:val="20"/>
          <w:szCs w:val="20"/>
        </w:rPr>
        <w:t>m</w:t>
      </w:r>
      <w:r>
        <w:rPr>
          <w:rFonts w:eastAsia="Times New Roman" w:cs="Times New Roman" w:ascii="Times New Roman" w:hAnsi="Times New Roman"/>
          <w:b/>
          <w:bCs/>
          <w:sz w:val="20"/>
          <w:szCs w:val="20"/>
        </w:rPr>
        <w:t xml:space="preserve">olecules and </w:t>
      </w:r>
      <w:r>
        <w:rPr>
          <w:rFonts w:eastAsia="Times New Roman" w:cs="Times New Roman" w:ascii="Times New Roman" w:hAnsi="Times New Roman"/>
          <w:b/>
          <w:bCs/>
          <w:sz w:val="20"/>
          <w:szCs w:val="20"/>
        </w:rPr>
        <w:t>c</w:t>
      </w:r>
      <w:r>
        <w:rPr>
          <w:rFonts w:eastAsia="Times New Roman" w:cs="Times New Roman" w:ascii="Times New Roman" w:hAnsi="Times New Roman"/>
          <w:b/>
          <w:bCs/>
          <w:sz w:val="20"/>
          <w:szCs w:val="20"/>
        </w:rPr>
        <w:t xml:space="preserve">hemical </w:t>
      </w:r>
      <w:r>
        <w:rPr>
          <w:rFonts w:eastAsia="Times New Roman" w:cs="Times New Roman" w:ascii="Times New Roman" w:hAnsi="Times New Roman"/>
          <w:b/>
          <w:bCs/>
          <w:sz w:val="20"/>
          <w:szCs w:val="20"/>
        </w:rPr>
        <w:t>m</w:t>
      </w:r>
      <w:r>
        <w:rPr>
          <w:rFonts w:eastAsia="Times New Roman" w:cs="Times New Roman" w:ascii="Times New Roman" w:hAnsi="Times New Roman"/>
          <w:b/>
          <w:bCs/>
          <w:sz w:val="20"/>
          <w:szCs w:val="20"/>
        </w:rPr>
        <w:t>odels.</w:t>
      </w:r>
    </w:p>
    <w:p>
      <w:pPr>
        <w:pStyle w:val="Normal"/>
        <w:spacing w:lineRule="auto" w:line="240" w:before="0" w:after="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jc w:val="left"/>
        <w:rPr>
          <w:rFonts w:ascii="Times New Roman" w:hAnsi="Times New Roman"/>
          <w:sz w:val="20"/>
          <w:szCs w:val="20"/>
        </w:rPr>
      </w:pPr>
      <w:r>
        <w:rPr>
          <w:rFonts w:eastAsia="Times New Roman" w:cs="Times New Roman" w:ascii="Times New Roman" w:hAnsi="Times New Roman"/>
          <w:b/>
          <w:sz w:val="20"/>
          <w:szCs w:val="20"/>
        </w:rPr>
        <w:t xml:space="preserve">I. </w:t>
      </w:r>
      <w:r>
        <w:rPr>
          <w:rFonts w:eastAsia="Times New Roman" w:cs="Times New Roman" w:ascii="Times New Roman" w:hAnsi="Times New Roman"/>
          <w:b/>
          <w:sz w:val="20"/>
          <w:szCs w:val="20"/>
        </w:rPr>
        <w:t>INTRODUCCIÓN</w:t>
      </w:r>
      <w:bookmarkStart w:id="1" w:name="_gjdgxs"/>
      <w:bookmarkEnd w:id="1"/>
    </w:p>
    <w:p>
      <w:pPr>
        <w:pStyle w:val="Paragraph"/>
        <w:spacing w:lineRule="auto" w:line="240" w:beforeAutospacing="0" w:before="0" w:afterAutospacing="0" w:after="0"/>
        <w:jc w:val="both"/>
        <w:textAlignment w:val="baseline"/>
        <w:rPr/>
      </w:pPr>
      <w:r>
        <w:rPr>
          <w:rStyle w:val="Normaltextrun"/>
          <w:rFonts w:ascii="Times New Roman" w:hAnsi="Times New Roman"/>
          <w:color w:val="000000"/>
          <w:sz w:val="20"/>
          <w:szCs w:val="20"/>
        </w:rPr>
        <w:t>El impacto que tuvo la pandemia provocada por la COVID-19 se sigue evaluando</w:t>
      </w:r>
      <w:r>
        <w:fldChar w:fldCharType="begin"/>
      </w:r>
      <w:r>
        <w:rPr>
          <w:rStyle w:val="Normaltextrun"/>
          <w:sz w:val="20"/>
          <w:szCs w:val="20"/>
          <w:rFonts w:ascii="Times New Roman" w:hAnsi="Times New Roman"/>
          <w:color w:val="000000"/>
        </w:rPr>
        <w:instrText>ADDIN CSL_CITATION {"citationItems":[{"id":"ITEM-1","itemData":{"abstract":"As the world becomes increasingly interconnected, so do the risks we face. The COVID-19 pandemic has not stopped at national borders. It has affected people regardless of nationality, level of education, income or gender. But the same has not been true for its consequences, which have hit the most vulnerable hardest. Education is no exception. Students from privileged backgrounds, supported by their parents and eager and able to learn, could find their way past closed school doors to alternative learning opportunities. Those from disadvantaged backgrounds often remained shut out when their schools shut down. This crisis has exposed the many inadequacies and inequities in our education systems â from access to the broadband and computers needed for online education, and the supportive environments needed to focus on learning, up to the misalignment between resources and needs. The policy responses presented in this brochure cover key measures announced or introduced before the end of June 2020. [Executive summary, ed]","author":[{"dropping-particle":"","family":"Schleicher","given":"Andreas","non-dropping-particle":"","parse-names":false,"suffix":""}],"container-title":"OECD Journal: Economic Studies","id":"ITEM-1","issued":{"date-parts":[["2020"]]},"page":"1-31","title":"The impact of COVID-19 on education: Insights from education at a glance 2020","type":"article-journal"},"uris":["http://www.mendeley.com/documents/?uuid=41942bcf-f4b5-4257-925f-502a4ef5e026"]}],"mendeley":{"formattedCitation":"(Schleicher, 2020)","plainTextFormattedCitation":"(Schleicher, 2020)","previouslyFormattedCitation":"(Schleicher, 2020)"},"properties":{"noteIndex":0},"schema":"https://github.com/citation-style-language/schema/raw/master/csl-citation.json"}</w:instrTex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separate"/>
      </w:r>
      <w:r>
        <w:rPr>
          <w:rStyle w:val="Normaltextrun"/>
          <w:rFonts w:ascii="Times New Roman" w:hAnsi="Times New Roman"/>
          <w:color w:val="000000"/>
          <w:sz w:val="20"/>
          <w:szCs w:val="20"/>
        </w:rPr>
        <w:t>(Schleicher, 2020;</w: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end"/>
      </w:r>
      <w:r>
        <w:rPr>
          <w:rStyle w:val="Normaltextrun"/>
          <w:rFonts w:ascii="Times New Roman" w:hAnsi="Times New Roman"/>
          <w:color w:val="000000"/>
          <w:sz w:val="20"/>
          <w:szCs w:val="20"/>
        </w:rPr>
        <w:t xml:space="preserve"> </w:t>
      </w:r>
      <w:r>
        <w:fldChar w:fldCharType="begin"/>
      </w:r>
      <w:r>
        <w:rPr>
          <w:rStyle w:val="Normaltextrun"/>
          <w:sz w:val="20"/>
          <w:szCs w:val="20"/>
          <w:rFonts w:ascii="Times New Roman" w:hAnsi="Times New Roman"/>
          <w:color w:val="000000"/>
        </w:rPr>
        <w:instrText>ADDIN CSL_CITATION {"citationItems":[{"id":"ITEM-1","itemData":{"ISBN":"9789807175517","abstract":"Análisis de impactos, respuestas políticas y recomendaciones Este informe, realizado por el equipo técnico del Instituto Internacional de la UNESCO para la Educación Superior (IESALC) examina, en primer lugar, cuáles están siendo los impactos inmediatos de la pandemia en el sector de la educación superior universitaria, tanto para los distintos actores como para las instituciones y el sistema en su conjunto. Algunos de estos impactos, que parecen menos evidentes a simple vista son, desafortunadamente, tremendamente importantes y aflorarán a medio y largo plazo. En segundo lugar, se revisa qué acciones han emprendido gobiernos e IES para garantizar el derecho a la educación superior durante la pandemia. Finalmente, tomando en consideración diversos escenarios, se formulan algunas consideraciones y recomendaciones para encarar la reapertura de las IES, momento para el cual es importante prepararse cuanto antes","author":[{"dropping-particle":"","family":"UNESCO","given":"","non-dropping-particle":"","parse-names":false,"suffix":""}],"container-title":"Unesco","id":"ITEM-1","issued":{"date-parts":[["2020"]]},"number-of-pages":"5-6","title":"COVID-19 y educación superior : De los efectos inmediatos al día después","type":"book"},"uris":["http://www.mendeley.com/documents/?uuid=cc689a01-5e45-40e6-8da6-43d3a9fb740a"]}],"mendeley":{"formattedCitation":"(UNESCO, 2020)","manualFormatting":"UNESCO, 2020)","plainTextFormattedCitation":"(UNESCO, 2020)","previouslyFormattedCitation":"(UNESCO, 2020)"},"properties":{"noteIndex":0},"schema":"https://github.com/citation-style-language/schema/raw/master/csl-citation.json"}</w:instrTex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separate"/>
      </w:r>
      <w:r>
        <w:rPr>
          <w:rStyle w:val="Normaltextrun"/>
          <w:rFonts w:ascii="Times New Roman" w:hAnsi="Times New Roman"/>
          <w:color w:val="000000"/>
          <w:sz w:val="20"/>
          <w:szCs w:val="20"/>
        </w:rPr>
        <w:t>UNESCO, 2020)</w: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end"/>
      </w:r>
      <w:r>
        <w:rPr>
          <w:rStyle w:val="Normaltextrun"/>
          <w:rFonts w:ascii="Times New Roman" w:hAnsi="Times New Roman"/>
          <w:color w:val="000000"/>
          <w:sz w:val="20"/>
          <w:szCs w:val="20"/>
        </w:rPr>
        <w:t>, sin embargo, la educación superior y todos los niveles educativos, tuvieron que adaptar sus cursos al trabajo a distancia, mediado por un dispositivo con acceso a internet y los recursos tradicionales que un estudiante utiliza habitualmente para sus cursos. La dificultad que se presenta en asignaturas como química, es la visualización de modelos y moléculas en tres dimensiones con los que los estudiantes puedan interactuar para visualizar aspectos relevantes como ángulos y longitudes de enlace y distribución espacial y tamaño de los átomos, repercute directamente en el aprovechamiento de la asignatura. Esta visualización tradicionalmente se hace dentro del salón de clases por medio de modelos físicos de plástico que permiten armar moléculas y explicar los aspectos relevantes ya mencionados. Estos modelos tienen la desventaja de ser costosos para los estudiantes y durante la pandemia, el uso de estos modelos fue prácticamente inexistente por parte de los estudiantes.</w:t>
      </w:r>
    </w:p>
    <w:p>
      <w:pPr>
        <w:pStyle w:val="Paragraph"/>
        <w:spacing w:lineRule="auto" w:line="240" w:beforeAutospacing="0" w:before="0" w:afterAutospacing="0" w:after="0"/>
        <w:jc w:val="both"/>
        <w:textAlignment w:val="baseline"/>
        <w:rPr>
          <w:rFonts w:ascii="Times New Roman" w:hAnsi="Times New Roman"/>
          <w:sz w:val="20"/>
          <w:szCs w:val="20"/>
        </w:rPr>
      </w:pPr>
      <w:r>
        <w:rPr>
          <w:rFonts w:ascii="Times New Roman" w:hAnsi="Times New Roman"/>
          <w:sz w:val="20"/>
          <w:szCs w:val="20"/>
        </w:rPr>
      </w:r>
    </w:p>
    <w:p>
      <w:pPr>
        <w:pStyle w:val="Paragraph"/>
        <w:spacing w:lineRule="auto" w:line="240" w:beforeAutospacing="0" w:before="0" w:afterAutospacing="0" w:after="0"/>
        <w:jc w:val="both"/>
        <w:textAlignment w:val="baseline"/>
        <w:rPr/>
      </w:pPr>
      <w:r>
        <w:rPr>
          <w:rStyle w:val="Normaltextrun"/>
          <w:rFonts w:ascii="Times New Roman" w:hAnsi="Times New Roman"/>
          <w:color w:val="000000"/>
          <w:sz w:val="20"/>
          <w:szCs w:val="20"/>
        </w:rPr>
        <w:t xml:space="preserve">Varias alternativas para la visualización e interacción con modelos 3D la ofrecen los entornos virtuales de aprendizaje </w:t>
      </w:r>
      <w:r>
        <w:fldChar w:fldCharType="begin"/>
      </w:r>
      <w:r>
        <w:rPr>
          <w:rStyle w:val="Normaltextrun"/>
          <w:sz w:val="20"/>
          <w:szCs w:val="20"/>
          <w:rFonts w:ascii="Times New Roman" w:hAnsi="Times New Roman"/>
          <w:color w:val="000000"/>
        </w:rPr>
        <w:instrText>ADDIN CSL_CITATION {"citationItems":[{"id":"ITEM-1","itemData":{"DOI":"10.1109/TLT.2016.2609910","author":[{"dropping-particle":"","family":"Scott","given":"Ezequiel","non-dropping-particle":"","parse-names":false,"suffix":""},{"dropping-particle":"","family":"Soria","given":"Alvaro","non-dropping-particle":"","parse-names":false,"suffix":""},{"dropping-particle":"","family":"Campo","given":"Marcelo","non-dropping-particle":"","parse-names":false,"suffix":""}],"id":"ITEM-1","issue":"c","issued":{"date-parts":[["2016"]]},"page":"1-15","title":"Adaptive 3D Virtual Learning Environments – A Review of the Literature","type":"article-journal","volume":"1382"},"uris":["http://www.mendeley.com/documents/?uuid=1ab212eb-3393-4569-acb0-083923acd209"]}],"mendeley":{"formattedCitation":"(Scott et al., 2016)","manualFormatting":"((Martín-Gutiérrez et al., 2017)Scott et al., 2016)","plainTextFormattedCitation":"(Scott et al., 2016)","previouslyFormattedCitation":"(Scott et al., 2016)"},"properties":{"noteIndex":0},"schema":"https://github.com/citation-style-language/schema/raw/master/csl-citation.json"}</w:instrTex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separate"/>
      </w:r>
      <w:r>
        <w:rPr>
          <w:rStyle w:val="Normaltextrun"/>
          <w:rFonts w:ascii="Times New Roman" w:hAnsi="Times New Roman"/>
          <w:color w:val="000000"/>
          <w:sz w:val="20"/>
          <w:szCs w:val="20"/>
        </w:rPr>
        <w:t>(</w:t>
      </w:r>
      <w:r>
        <w:fldChar w:fldCharType="begin"/>
      </w:r>
      <w:r>
        <w:rPr>
          <w:rStyle w:val="Normaltextrun"/>
          <w:sz w:val="20"/>
          <w:szCs w:val="20"/>
          <w:rFonts w:ascii="Times New Roman" w:hAnsi="Times New Roman"/>
          <w:color w:val="000000"/>
        </w:rPr>
        <w:instrText>ADDIN CSL_CITATION {"citationItems":[{"id":"ITEM-1","itemData":{"DOI":"10.12973/eurasia.2017.00626a","ISSN":"13058223","abstract":"Virtual reality captures people's attention. This technology has been applied in many sectors such as medicine, industry, education, video games, or tourism. Perhaps its biggest area of interest has been leisure and entertainment. Regardless the sector, the introduction of virtual or augmented reality had several constraints: it was expensive, it had poor ergonomics, or implied too much work to create contents. Recent technological innovations, including the rapid adoption of smartphones by society, have facilitated the access to virtual reality and augmented reality of anyone. In addition, several large companies like Apple, Facebook, Samsung, and Magic Leap, among others, have increased their investment to make these technologies to improve their accessibility within the next few years. Educational institutions will benefit from better accessibility to virtual technologies; this will make it possible to teach in virtual environments that are impossible to visualize in physical classrooms, like accessing into virtual laboratories, visualizing machines, industrial plants, or even medical scenarios. The huge possibilities of accessible virtual technologies will make it possible to break the boundaries of formal education.","author":[{"dropping-particle":"","family":"Martín-Gutiérrez","given":"Jorge","non-dropping-particle":"","parse-names":false,"suffix":""},{"dropping-particle":"","family":"Mora","given":"Carlos Efrén","non-dropping-particle":"","parse-names":false,"suffix":""},{"dropping-particle":"","family":"Añorbe-Díaz","given":"Beatriz","non-dropping-particle":"","parse-names":false,"suffix":""},{"dropping-particle":"","family":"González-Marrero","given":"Antonio","non-dropping-particle":"","parse-names":false,"suffix":""}],"container-title":"Eurasia Journal of Mathematics, Science and Technology Education","id":"ITEM-1","issue":"2","issued":{"date-parts":[["2017"]]},"page":"469-486","title":"Virtual technologies trends in education","type":"article-journal","volume":"13"},"uris":["http://www.mendeley.com/documents/?uuid=d633df29-fb1e-40e8-85e2-ffe03ab17a2b"]}],"mendeley":{"formattedCitation":"(Martín-Gutiérrez et al., 2017)","manualFormatting":"Martín-Gutiérrez et al., 2017","plainTextFormattedCitation":"(Martín-Gutiérrez et al., 2017)","previouslyFormattedCitation":"(Martín-Gutiérrez et al., 2017)"},"properties":{"noteIndex":0},"schema":"https://github.com/citation-style-language/schema/raw/master/csl-citation.json"}</w:instrTex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separate"/>
      </w:r>
      <w:r>
        <w:rPr>
          <w:rStyle w:val="Normaltextrun"/>
          <w:rFonts w:ascii="Times New Roman" w:hAnsi="Times New Roman"/>
          <w:color w:val="000000"/>
          <w:sz w:val="20"/>
          <w:szCs w:val="20"/>
        </w:rPr>
        <w:t>Martín-Gutiérrez et al., 2017</w: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end"/>
      </w:r>
      <w:r>
        <w:rPr>
          <w:rStyle w:val="Normaltextrun"/>
          <w:rFonts w:ascii="Times New Roman" w:hAnsi="Times New Roman"/>
          <w:color w:val="000000"/>
          <w:sz w:val="20"/>
          <w:szCs w:val="20"/>
        </w:rPr>
        <w:t>; Scott et al., 2016)</w: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end"/>
      </w:r>
      <w:r>
        <w:rPr>
          <w:rStyle w:val="Normaltextrun"/>
          <w:rFonts w:ascii="Times New Roman" w:hAnsi="Times New Roman"/>
          <w:color w:val="000000"/>
          <w:sz w:val="20"/>
          <w:szCs w:val="20"/>
        </w:rPr>
        <w:t xml:space="preserve"> y hay varias propuestas en la literatura de cómo integrarlas en la enseñanza de la Química </w:t>
      </w:r>
      <w:r>
        <w:fldChar w:fldCharType="begin"/>
      </w:r>
      <w:r>
        <w:rPr>
          <w:rStyle w:val="Normaltextrun"/>
          <w:sz w:val="20"/>
          <w:szCs w:val="20"/>
          <w:rFonts w:ascii="Times New Roman" w:hAnsi="Times New Roman"/>
          <w:color w:val="000000"/>
        </w:rPr>
        <w:instrText>ADDIN CSL_CITATION {"citationItems":[{"id":"ITEM-1","itemData":{"DOI":"10.1021/bk-2019-1318.ch001","ISSN":"19475918","abstract":"This chapter provides an overview of the Information and Communication Technologies (ICTs) and introduces the different chapters. The purpose is to highlight the information and technological resources that may prove to be useful for the chemistry education community for teaching, research, and policy considerations. To facilitate use by readers, the material has been organized into distinct sections on the background and evolution of ICTs that covers the three ICT revolutions and the advent of the World Wide Web. Next, the chapter introduces a few papers that were presented during the Biennial Conferences in Chemical Education at the University of Notre Dame. These papers are not included as chapters in the Technology Integration in Chemistry Education and Research (TICER) symposium series. A brief discussion of these papers is aimed at providing a better perspective of TICER for the audience of this book. This chapter also addresses an important concern regarding Open Access of Information and the emergence and increasing popularity of the Open Education Resources (OERs). Finally, the chapter provides a brief introduction to each chapter, which are categorized under (a) augmented and virtual reality applications in classrooms, (b) practical applications of technology in laboratory instruction, (c) real-time assessment and usability studies of on computer-based assessments, and (d) comprehensive technologies that focus on diverse tools and approaches in chemistry education and research.","author":[{"dropping-particle":"","family":"Belford","given":"R. E.","non-dropping-particle":"","parse-names":false,"suffix":""},{"dropping-particle":"","family":"Gupta","given":"Tanya","non-dropping-particle":"","parse-names":false,"suffix":""}],"container-title":"ACS Symposium Series","genre":"chapter","id":"ITEM-1","issued":{"date-parts":[["2019"]]},"page":"1-20","publisher":"American Chemical Society","title":"Introduction: Technology Integration in Chemistry Education and Research","type":"article-journal","volume":"1318"},"uris":["http://www.mendeley.com/documents/?uuid=cac95de5-3346-45e0-b6b5-b98202ebd096"]}],"mendeley":{"formattedCitation":"(Belford &amp; Gupta, 2019)","plainTextFormattedCitation":"(Belford &amp; Gupta, 2019)","previouslyFormattedCitation":"(Belford &amp; Gupta, 2019)"},"properties":{"noteIndex":0},"schema":"https://github.com/citation-style-language/schema/raw/master/csl-citation.json"}</w:instrTex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separate"/>
      </w:r>
      <w:r>
        <w:rPr>
          <w:rStyle w:val="Normaltextrun"/>
          <w:rFonts w:ascii="Times New Roman" w:hAnsi="Times New Roman"/>
          <w:color w:val="000000"/>
          <w:sz w:val="20"/>
          <w:szCs w:val="20"/>
        </w:rPr>
        <w:t>(Belford &amp; Gupta, 2019)</w: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end"/>
      </w:r>
      <w:r>
        <w:rPr>
          <w:rStyle w:val="Normaltextrun"/>
          <w:rFonts w:ascii="Times New Roman" w:hAnsi="Times New Roman"/>
          <w:color w:val="000000"/>
          <w:sz w:val="20"/>
          <w:szCs w:val="20"/>
        </w:rPr>
        <w:t xml:space="preserve">, propuestas que van desde la gamificación </w:t>
      </w:r>
      <w:r>
        <w:fldChar w:fldCharType="begin"/>
      </w:r>
      <w:r>
        <w:rPr>
          <w:rStyle w:val="Normaltextrun"/>
          <w:sz w:val="20"/>
          <w:szCs w:val="20"/>
          <w:rFonts w:ascii="Times New Roman" w:hAnsi="Times New Roman"/>
          <w:color w:val="000000"/>
        </w:rPr>
        <w:instrText>ADDIN CSL_CITATION {"citationItems":[{"id":"ITEM-1","itemData":{"DOI":"10.3389/feduc.2021.623745","ISSN":"2504284X","abstract":"Chemistry education is challenging when many students cannot see the relevance and interest between what they learn at school and their everyday life outside the curriculum. Due to the prevalence of chemicals in real life, students lose interest in those not-so-novel Chemistry problems as they are satisfied with their rudimentary grasp of knowledge. Therefore, it is of paramount importance to draw students’ attention to those day-to-day Chemistry concepts, a task in which augmented reality (AR) can be a competent pedagogical facilitator. Despite its popularity due to the development of smart devices, educators are still averse to adopting AR in teaching because of the doubts about its pedagogical effectiveness and difficulties in implementation. This paper will demonstrate an AR app developed by City University of Hong Kong (CityU) for a year four undergraduate Chemistry course under two UGC’s project funds and CityU’s Teaching Development Grant that aligns with the university’s Discovery and Innovation-enriched Curriculum. The learning theories and technology stack of development and deployment will be shared in this paper. The consideration during preparation, production, and publishing will also be documented. A pilot survey about students’ perception of the AR showed positive feedback for the AR app in terms of enhancing awareness, learning, understanding, and engagement, which addresses the concerns of retaining students’ engagement during teaching and learning real-life Chemistry. We hope that educators who are interested in adopting AR can gain insights from this AR development experience. This research can act as a foundation for further exploration of applying AR in secondary and tertiary Chemistry education.","author":[{"dropping-particle":"","family":"Lu","given":"Angel","non-dropping-particle":"","parse-names":false,"suffix":""},{"dropping-particle":"","family":"Wong","given":"Crusher S.K.","non-dropping-particle":"","parse-names":false,"suffix":""},{"dropping-particle":"","family":"Cheung","given":"Richard Y.H.","non-dropping-particle":"","parse-names":false,"suffix":""},{"dropping-particle":"","family":"Im","given":"Tarloff S.W.","non-dropping-particle":"","parse-names":false,"suffix":""}],"container-title":"Frontiers in Education","id":"ITEM-1","issue":"April","issued":{"date-parts":[["2021"]]},"page":"1-11","title":"Supporting Flipped and Gamified Learning With Augmented Reality in Higher Education","type":"article-journal","volume":"6"},"uris":["http://www.mendeley.com/documents/?uuid=1b428d6b-04ee-4be8-ba68-1229b0e45efe"]}],"mendeley":{"formattedCitation":"(Lu et al., 2021)","plainTextFormattedCitation":"(Lu et al., 2021)","previouslyFormattedCitation":"(Lu et al., 2021)"},"properties":{"noteIndex":0},"schema":"https://github.com/citation-style-language/schema/raw/master/csl-citation.json"}</w:instrTex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separate"/>
      </w:r>
      <w:r>
        <w:rPr>
          <w:rStyle w:val="Normaltextrun"/>
          <w:rFonts w:ascii="Times New Roman" w:hAnsi="Times New Roman"/>
          <w:color w:val="000000"/>
          <w:sz w:val="20"/>
          <w:szCs w:val="20"/>
        </w:rPr>
        <w:t>(Gupta, 2019; Lu et al., 2021)</w: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end"/>
      </w:r>
      <w:r>
        <w:rPr>
          <w:rStyle w:val="Normaltextrun"/>
          <w:rFonts w:ascii="Times New Roman" w:hAnsi="Times New Roman"/>
          <w:color w:val="000000"/>
          <w:sz w:val="20"/>
          <w:szCs w:val="20"/>
        </w:rPr>
        <w:t xml:space="preserve">, realidad aumentada </w:t>
      </w:r>
      <w:r>
        <w:fldChar w:fldCharType="begin"/>
      </w:r>
      <w:r>
        <w:rPr>
          <w:rStyle w:val="Normaltextrun"/>
          <w:sz w:val="20"/>
          <w:szCs w:val="20"/>
          <w:rFonts w:ascii="Times New Roman" w:hAnsi="Times New Roman"/>
          <w:color w:val="000000"/>
        </w:rPr>
        <w:instrText>ADDIN CSL_CITATION {"citationItems":[{"id":"ITEM-1","itemData":{"DOI":"10.1021/bk-2019-1318.ch003","ISSN":"19475918","abstract":"This text aims to give an overview of the uses of augmented and immersive virtual-reality (IVR) technologies in the art of teaching chemistry at the high school and college levels, to convey the idea that the future of education requires the use of these technologies to engage students in areas like chemistry, and to express the idea that the future of education may be online education, where the student will learn more independently. The majority of augmented-reality projects explored in this text use markers to generate the virtual information (e.g., three-dimensional [3D] molecule representations and solutions) that is superimposed on the real world. The IVR projects addressed here combine different technologies like 3D user interfaces, haptic technology, head-mounted displays, and immersive projection technology displays to observe the virtual world. The most common chemistry topics considered in these experiences are molecular 3D structures, chemical bonding, and intermolecular interactions of simple and complex molecules. These technologies have had a positive effect on student's learning and engagement because of the immersiveness and 3D visualization of structures.","author":[{"dropping-particle":"","family":"Jiménez","given":"Zulma A.","non-dropping-particle":"","parse-names":false,"suffix":""}],"container-title":"ACS Symposium Series","genre":"chapter","id":"ITEM-1","issued":{"date-parts":[["2019"]]},"page":"31-52","publisher":"American Chemical Society","title":"Teaching and Learning Chemistry via Augmented and Immersive Virtual Reality","type":"article-journal","volume":"1318"},"uris":["http://www.mendeley.com/documents/?uuid=d2977cfa-9020-43c3-818d-a56cdc7c49f9"]}],"mendeley":{"formattedCitation":"(Jiménez, 2019)","plainTextFormattedCitation":"(Jiménez, 2019)","previouslyFormattedCitation":"(Jiménez, 2019)"},"properties":{"noteIndex":0},"schema":"https://github.com/citation-style-language/schema/raw/master/csl-citation.json"}</w:instrTex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separate"/>
      </w:r>
      <w:r>
        <w:rPr>
          <w:rStyle w:val="Normaltextrun"/>
          <w:rFonts w:ascii="Times New Roman" w:hAnsi="Times New Roman"/>
          <w:color w:val="000000"/>
          <w:sz w:val="20"/>
          <w:szCs w:val="20"/>
        </w:rPr>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end"/>
      </w:r>
      <w:r>
        <w:fldChar w:fldCharType="begin"/>
      </w:r>
      <w:r>
        <w:rPr>
          <w:rStyle w:val="Normaltextrun"/>
          <w:sz w:val="20"/>
          <w:szCs w:val="20"/>
          <w:rFonts w:ascii="Times New Roman" w:hAnsi="Times New Roman"/>
          <w:color w:val="000000"/>
        </w:rPr>
        <w:instrText>ADDIN CSL_CITATION {"citationItems":[{"id":"ITEM-1","itemData":{"DOI":"10.1021/bk-2019-1318.ch002","ISSN":"19475918","abstract":"This chapter presents the use of augmented reality (AR) applications in science classes. Additionally, a study is presented in which the augmented reality application, Elements 4D by Daqri, was used for teaching chemistry in an elementary science methods class. Findings suggest that augmented reality is an exciting way to immerse students in the subject matter by using technology.","author":[{"dropping-particle":"","family":"Annetta","given":"Leonard A.","non-dropping-particle":"","parse-names":false,"suffix":""},{"dropping-particle":"","family":"Shapiro","given":"Marina","non-dropping-particle":"","parse-names":false,"suffix":""}],"container-title":"ACS Symposium Series","genre":"chapter","id":"ITEM-1","issued":{"date-parts":[["2019"]]},"page":"23-30","publisher":"American Chemical Society","title":"Augmented Reality Applications for Teaching Chemistry across the K-20 Curriculum","type":"article-journal","volume":"1318"},"uris":["http://www.mendeley.com/documents/?uuid=8ac8932d-e65a-442a-aeb2-091515a4e295"]}],"mendeley":{"formattedCitation":"(Annetta &amp; Shapiro, 2019)","manualFormatting":"(Annetta &amp; Shapiro, 2019;","plainTextFormattedCitation":"(Annetta &amp; Shapiro, 2019)","previouslyFormattedCitation":"(Annetta &amp; Shapiro, 2019)"},"properties":{"noteIndex":0},"schema":"https://github.com/citation-style-language/schema/raw/master/csl-citation.json"}</w:instrTex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separate"/>
      </w:r>
      <w:r>
        <w:rPr>
          <w:rStyle w:val="Normaltextrun"/>
          <w:rFonts w:ascii="Times New Roman" w:hAnsi="Times New Roman"/>
          <w:color w:val="000000"/>
          <w:sz w:val="20"/>
          <w:szCs w:val="20"/>
        </w:rPr>
        <w:t>(Annetta &amp; Shapiro, 2019;</w: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end"/>
      </w:r>
      <w:r>
        <w:rPr>
          <w:rStyle w:val="Normaltextrun"/>
          <w:rFonts w:ascii="Times New Roman" w:hAnsi="Times New Roman"/>
          <w:color w:val="000000"/>
          <w:sz w:val="20"/>
          <w:szCs w:val="20"/>
        </w:rPr>
        <w:t xml:space="preserve"> </w:t>
      </w:r>
      <w:r>
        <w:fldChar w:fldCharType="begin"/>
      </w:r>
      <w:r>
        <w:rPr>
          <w:rStyle w:val="Normaltextrun"/>
          <w:sz w:val="20"/>
          <w:szCs w:val="20"/>
          <w:rFonts w:ascii="Times New Roman" w:hAnsi="Times New Roman"/>
          <w:color w:val="000000"/>
        </w:rPr>
        <w:instrText>ADDIN CSL_CITATION {"citationItems":[{"id":"ITEM-1","itemData":{"DOI":"10.3390/cryst10060456","ISBN":"3492025102","ISSN":"20734352","abstract":"Nowadays, there are many situations in which information and communications technology(ICT) is used as a vehicle to transmit knowledge. The fast evolution of technology in recent decades has favored the development of virtual reality (VR) and augmented reality (AR) and with them the emergence of virtual laboratories (VLs) using VR or AR. Since such technologies can help students understand the atomic spatial distribution, crystallography is a discipline that has taken advantage of the use of VL in the teaching of crystal lattices, thus solving the usual educational problem of visualization in two-and three-dimensions. This paper presents a literature review that helps to identify the main features of VLs (based on VR or AR) that have been developed in the academic field to support the learning of crystallography concepts. Furthermore, this paper describes a VL developed by the authors where students can learn the main contents related to the 14 Bravais lattices (unit cells, directions, crystallographic planes, interstitial sites, etc.) by exploring the stands of a virtual museum. Such a VL uses non-immersive VR and has been designed based on the authors’ long-term research to achieve a high learning effectiveness educative platform.","author":[{"dropping-particle":"","family":"Extremera","given":"Jamil","non-dropping-particle":"","parse-names":false,"suffix":""},{"dropping-particle":"","family":"Vergara","given":"Diego","non-dropping-particle":"","parse-names":false,"suffix":""},{"dropping-particle":"","family":"Dávila","given":"Lilian P.","non-dropping-particle":"","parse-names":false,"suffix":""},{"dropping-particle":"","family":"Rubio","given":"Manuel P.","non-dropping-particle":"","parse-names":false,"suffix":""}],"container-title":"Crystals","id":"ITEM-1","issue":"6","issued":{"date-parts":[["2020"]]},"title":"Virtual and augmented reality environments to learn the fundamentals of crystallography","type":"article-journal","volume":"10"},"uris":["http://www.mendeley.com/documents/?uuid=f7d99407-8c7e-44ef-a5cf-0e5e2ec6355c"]}],"mendeley":{"formattedCitation":"(Extremera et al., 2020)","manualFormatting":"Extremera et al., 2020; Jiménez, 2019;","plainTextFormattedCitation":"(Extremera et al., 2020)","previouslyFormattedCitation":"(Extremera et al., 2020)"},"properties":{"noteIndex":0},"schema":"https://github.com/citation-style-language/schema/raw/master/csl-citation.json"}</w:instrTex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separate"/>
      </w:r>
      <w:r>
        <w:rPr>
          <w:rStyle w:val="Normaltextrun"/>
          <w:rFonts w:ascii="Times New Roman" w:hAnsi="Times New Roman"/>
          <w:color w:val="000000"/>
          <w:sz w:val="20"/>
          <w:szCs w:val="20"/>
        </w:rPr>
        <w:t>Extremera et al., 2020; Jiménez, 2019;</w: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end"/>
      </w:r>
      <w:r>
        <w:fldChar w:fldCharType="begin"/>
      </w:r>
      <w:r>
        <w:rPr>
          <w:rStyle w:val="Normaltextrun"/>
          <w:sz w:val="20"/>
          <w:szCs w:val="20"/>
          <w:rFonts w:ascii="Times New Roman" w:hAnsi="Times New Roman"/>
          <w:color w:val="000000"/>
        </w:rPr>
        <w:instrText>ADDIN CSL_CITATION {"citationItems":[{"id":"ITEM-1","itemData":{"DOI":"10.2533/chimia.2022.145","ISSN":"0009-4293","abstract":"moleculARweb (https://molecularweb.epfl.ch) began as a website for education and outreach in chemistry and structural biology through augmented reality (AR) content that runs in the web browsers of regular devices like smartphones, tablets, and computers. Here we present two evolutions of moleculARweb’s Virtual Modeling Kits (VMK), tools where users can build and view molecules, and explore their mechanics, in 3D AR by handling the molecules in full 3D with custom-printed cube markers (VMK 2.0) or by moving around a simulated scene with mouse or touch gestures (VMK 3.0). Upon simulation the molecules experience visually realistic torsions, clashes, and hydrogen-bonding interactions that the user can manually switch on and off to explore their effects. Moreover, by manually tuning a fictitious temperature the users can accelerate conformational transitions or 'freeze' specific conformations for careful inspection in 3D. Even some phase transitions and separations can be simulated. We here showcase these and other features of the new VMKs connecting them to possible specific applications to teaching and self-learning of concepts from general, organic, biological and physical chemistry; and in assisting with small tasks in molecular modelling for research. Last, in a short discussion section we overview what future developments are needed for the 'dream tool' for the future of chemistry education and work.","author":[{"dropping-particle":"","family":"Rodríguez","given":"Fabio Cortés","non-dropping-particle":"","parse-names":false,"suffix":""},{"dropping-particle":"","family":"Krapp","given":"Lucien F","non-dropping-particle":"","parse-names":false,"suffix":""},{"dropping-particle":"","family":"Peraro","given":"Matteo Dal","non-dropping-particle":"","parse-names":false,"suffix":""},{"dropping-particle":"","family":"Abriata","given":"Luciano A","non-dropping-particle":"","parse-names":false,"suffix":""}],"container-title":"Chimia","id":"ITEM-1","issue":"1-2","issued":{"date-parts":[["2022"]]},"page":"145","title":"Visualization, Interactive Handling and Simulation of Molecules in Commodity Augmented Reality in Web Browsers Using moleculARweb’s Virtual Modeling Kits","type":"article-journal","volume":"76"},"uris":["http://www.mendeley.com/documents/?uuid=82109009-3242-4010-80cb-a66ac762f7b5"]}],"mendeley":{"formattedCitation":"(Rodríguez et al., 2022)","plainTextFormattedCitation":"(Rodríguez et al., 2022)","previouslyFormattedCitation":"(Rodríguez et al., 2022)"},"properties":{"noteIndex":0},"schema":"https://github.com/citation-style-language/schema/raw/master/csl-citation.json"}</w:instrTex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separate"/>
      </w:r>
      <w:r>
        <w:rPr>
          <w:rStyle w:val="Normaltextrun"/>
          <w:rFonts w:ascii="Times New Roman" w:hAnsi="Times New Roman"/>
          <w:color w:val="000000"/>
          <w:sz w:val="20"/>
          <w:szCs w:val="20"/>
        </w:rPr>
        <w:t>Rodríguez et al., 2022)</w: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end"/>
      </w:r>
      <w:r>
        <w:rPr>
          <w:rStyle w:val="Normaltextrun"/>
          <w:rFonts w:ascii="Times New Roman" w:hAnsi="Times New Roman"/>
          <w:color w:val="000000"/>
          <w:sz w:val="20"/>
          <w:szCs w:val="20"/>
        </w:rPr>
        <w:t xml:space="preserve"> y las que requieren de la implementación de algunos sistemas hápticos para interactuar con los modelos 3D </w:t>
      </w:r>
      <w:r>
        <w:fldChar w:fldCharType="begin"/>
      </w:r>
      <w:r>
        <w:rPr>
          <w:rStyle w:val="Normaltextrun"/>
          <w:sz w:val="20"/>
          <w:szCs w:val="20"/>
          <w:rFonts w:ascii="Times New Roman" w:hAnsi="Times New Roman"/>
          <w:color w:val="000000"/>
        </w:rPr>
        <w:instrText>ADDIN CSL_CITATION {"citationItems":[{"id":"ITEM-1","itemData":{"DOI":"10.12962/j23546026.y2014i1.285","abstract":"Augmented Reality (AR) is a research area that allow to overlay multimedia contents such as text and visual information onto real world through camera views. AR can be used to as an educational assistance to help student acquire a deep conceptual understanding and spatial intuition. The course material can be enriched by viewing multimedia content, as well as in tabletop AR environment. We present this paper an AR system for teaching chemical problem solving especialy chemical bonds to highschool students. Our system is built based on inexpensive webcams and open-source library. Chemical bonds are visualize through marker. By combine different markers, student can get different result and visualization. A survey was conducted after experience the AR chemical bonds, show great acceptance of system and visualization.","author":[{"dropping-particle":"","family":"Christyowidiasmoro","given":"Christyowidiasmoro","non-dropping-particle":"","parse-names":false,"suffix":""},{"dropping-particle":"","family":"Sumpeno","given":"Surya","non-dropping-particle":"","parse-names":false,"suffix":""}],"container-title":"IPTEK Journal of Proceedings Series","id":"ITEM-1","issue":"1","issued":{"date-parts":[["2015"]]},"page":"264-268","title":"Chemical Bonds Visualization using Particle Effect and Augmented Reality","type":"article-journal","volume":"0"},"uris":["http://www.mendeley.com/documents/?uuid=fc917959-3e29-4718-8ce7-8495542394f8"]}],"mendeley":{"formattedCitation":"(Christyowidiasmoro &amp; Sumpeno, 2015)","plainTextFormattedCitation":"(Christyowidiasmoro &amp; Sumpeno, 2015)","previouslyFormattedCitation":"(Christyowidiasmoro &amp; Sumpeno, 2015)"},"properties":{"noteIndex":0},"schema":"https://github.com/citation-style-language/schema/raw/master/csl-citation.json"}</w:instrTex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separate"/>
      </w:r>
      <w:r>
        <w:rPr>
          <w:rStyle w:val="Normaltextrun"/>
          <w:rFonts w:ascii="Times New Roman" w:hAnsi="Times New Roman"/>
          <w:color w:val="000000"/>
          <w:sz w:val="20"/>
          <w:szCs w:val="20"/>
        </w:rPr>
        <w:t>(Christyowidiasmoro &amp; Sumpeno, 2015)</w: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end"/>
      </w:r>
      <w:r>
        <w:rPr>
          <w:rStyle w:val="Normaltextrun"/>
          <w:rFonts w:ascii="Times New Roman" w:hAnsi="Times New Roman"/>
          <w:color w:val="000000"/>
          <w:sz w:val="20"/>
          <w:szCs w:val="20"/>
        </w:rPr>
        <w:t>. El inconveniente de estas alternativas de visualización e interacción de modelos 3D en RA, es que son trabajos de investigación que no incluyen las aplicaciones para ser utilizadas por los estudiantes.</w:t>
      </w:r>
    </w:p>
    <w:p>
      <w:pPr>
        <w:pStyle w:val="Paragraph"/>
        <w:spacing w:lineRule="auto" w:line="240" w:beforeAutospacing="0" w:before="0" w:afterAutospacing="0" w:after="0"/>
        <w:jc w:val="both"/>
        <w:textAlignment w:val="baseline"/>
        <w:rPr>
          <w:rFonts w:ascii="Times New Roman" w:hAnsi="Times New Roman"/>
          <w:sz w:val="20"/>
          <w:szCs w:val="20"/>
        </w:rPr>
      </w:pPr>
      <w:r>
        <w:rPr>
          <w:rFonts w:ascii="Times New Roman" w:hAnsi="Times New Roman"/>
          <w:sz w:val="20"/>
          <w:szCs w:val="20"/>
        </w:rPr>
      </w:r>
    </w:p>
    <w:p>
      <w:pPr>
        <w:pStyle w:val="Paragraph"/>
        <w:spacing w:lineRule="auto" w:line="240" w:beforeAutospacing="0" w:before="0" w:afterAutospacing="0" w:after="0"/>
        <w:jc w:val="both"/>
        <w:textAlignment w:val="baseline"/>
        <w:rPr/>
      </w:pPr>
      <w:r>
        <w:rPr>
          <w:rStyle w:val="Normaltextrun"/>
          <w:rFonts w:ascii="Times New Roman" w:hAnsi="Times New Roman"/>
          <w:color w:val="000000"/>
          <w:sz w:val="20"/>
          <w:szCs w:val="20"/>
        </w:rPr>
        <w:t xml:space="preserve">La realidad aumentada es una tecnología que integra señales captadas del mundo real (típicamente video y audio) con señales generadas por computadores (objetos gráficos tridimensionales); las hace corresponder para construir nuevos mundos coherentes, complementados y enriquecidos – hace coexistir objetos del mundo real y objetos del mundo virtual en el ciberespacio- </w:t>
      </w:r>
      <w:r>
        <w:fldChar w:fldCharType="begin"/>
      </w:r>
      <w:r>
        <w:rPr>
          <w:rStyle w:val="Normaltextrun"/>
          <w:sz w:val="20"/>
          <w:szCs w:val="20"/>
          <w:rFonts w:ascii="Times New Roman" w:hAnsi="Times New Roman"/>
          <w:color w:val="000000"/>
        </w:rPr>
        <w:instrText>ADDIN CSL_CITATION {"citationItems":[{"id":"ITEM-1","itemData":{"abstract":"Se autoriza la reproducción total o parcial de este artículo, siempre y cuando se cite la fuente completa y su dirección electrónica.","author":[{"dropping-particle":"","family":"Heras","given":"Biol Lizbeth","non-dropping-particle":"","parse-names":false,"suffix":""},{"dropping-particle":"","family":"Técnico","given":"Lara","non-dropping-particle":"","parse-names":false,"suffix":""},{"dropping-particle":"","family":"José","given":"Biol","non-dropping-particle":"","parse-names":false,"suffix":""},{"dropping-particle":"","family":"Villarreal Benítez","given":"Luis","non-dropping-particle":"","parse-names":false,"suffix":""}],"id":"ITEM-1","issued":{"date-parts":[["2007"]]},"title":"Realidad Aumentada: una tecnología en espera de usuarios","type":"article-journal"},"uris":["http://www.mendeley.com/documents/?uuid=509bd88c-a2ee-3095-8145-b9f47985ad68","http://www.mendeley.com/documents/?uuid=6aa5a665-e39b-4a8c-863c-2b3c3e99a51b"]}],"mendeley":{"formattedCitation":"(Heras et al., 2007)","plainTextFormattedCitation":"(Heras et al., 2007)","previouslyFormattedCitation":"(Heras et al., 2007)"},"properties":{"noteIndex":0},"schema":"https://github.com/citation-style-language/schema/raw/master/csl-citation.json"}</w:instrTex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separate"/>
      </w:r>
      <w:r>
        <w:rPr>
          <w:rStyle w:val="Normaltextrun"/>
          <w:rFonts w:ascii="Times New Roman" w:hAnsi="Times New Roman"/>
          <w:color w:val="000000"/>
          <w:sz w:val="20"/>
          <w:szCs w:val="20"/>
        </w:rPr>
        <w:t>(Heras et al., 2007)</w:t>
      </w:r>
      <w:r>
        <w:rPr>
          <w:rStyle w:val="Normaltextrun"/>
          <w:rFonts w:ascii="Times New Roman" w:hAnsi="Times New Roman"/>
          <w:color w:val="000000"/>
          <w:sz w:val="20"/>
          <w:szCs w:val="20"/>
        </w:rPr>
      </w:r>
      <w:r>
        <w:rPr>
          <w:rStyle w:val="Normaltextrun"/>
          <w:sz w:val="20"/>
          <w:szCs w:val="20"/>
          <w:rFonts w:ascii="Times New Roman" w:hAnsi="Times New Roman"/>
          <w:color w:val="000000"/>
        </w:rPr>
        <w:fldChar w:fldCharType="end"/>
      </w:r>
      <w:r>
        <w:rPr>
          <w:rStyle w:val="Normaltextrun"/>
          <w:rFonts w:ascii="Times New Roman" w:hAnsi="Times New Roman"/>
          <w:color w:val="000000"/>
          <w:sz w:val="20"/>
          <w:szCs w:val="20"/>
        </w:rPr>
        <w:t xml:space="preserve">. </w:t>
      </w:r>
    </w:p>
    <w:p>
      <w:pPr>
        <w:pStyle w:val="Paragraph"/>
        <w:spacing w:lineRule="auto" w:line="240" w:beforeAutospacing="0" w:before="0" w:afterAutospacing="0" w:after="0"/>
        <w:jc w:val="both"/>
        <w:textAlignment w:val="baseline"/>
        <w:rPr>
          <w:rFonts w:ascii="Times New Roman" w:hAnsi="Times New Roman"/>
          <w:sz w:val="20"/>
          <w:szCs w:val="20"/>
        </w:rPr>
      </w:pPr>
      <w:r>
        <w:rPr>
          <w:rFonts w:ascii="Times New Roman" w:hAnsi="Times New Roman"/>
          <w:sz w:val="20"/>
          <w:szCs w:val="20"/>
        </w:rPr>
      </w:r>
    </w:p>
    <w:p>
      <w:pPr>
        <w:pStyle w:val="Paragraph"/>
        <w:spacing w:lineRule="auto" w:line="240" w:beforeAutospacing="0" w:before="0" w:afterAutospacing="0" w:after="0"/>
        <w:jc w:val="both"/>
        <w:textAlignment w:val="baseline"/>
        <w:rPr/>
      </w:pPr>
      <w:r>
        <w:rPr>
          <w:rStyle w:val="Normaltextrun"/>
          <w:rFonts w:ascii="Times New Roman" w:hAnsi="Times New Roman"/>
          <w:color w:val="000000"/>
          <w:sz w:val="20"/>
          <w:szCs w:val="20"/>
        </w:rPr>
        <w:t xml:space="preserve">En el primer curso de auímica que corrimos completo durante la pandemia, en agosto de 2020, un estudiante de la asignatura impartida en el primer semestre de la carrera de Ingeniería en Sistemas Automotrices, desarrolló una aplicación portable que utiliza marcadores físicos para proyectar </w:t>
      </w:r>
      <w:bookmarkStart w:id="2" w:name="_Hlk101992049"/>
      <w:r>
        <w:rPr>
          <w:rStyle w:val="Normaltextrun"/>
          <w:rFonts w:ascii="Times New Roman" w:hAnsi="Times New Roman"/>
          <w:sz w:val="20"/>
          <w:szCs w:val="20"/>
        </w:rPr>
        <w:t xml:space="preserve">modelos de moléculas químicas tridimensionales (oxiácidos, hidrocarburos, aldehídos, cetonas, ácidos carboxílicos, éteres, ésteres, aminas, amidas, alcoholes, derivados aromáticos, polímeros y cerámicos) y modelos tridimensionales (modelos atómicos de Bohr de cada elemento de la tabla periódica y orbitales atómicos) </w:t>
      </w:r>
      <w:bookmarkEnd w:id="2"/>
      <w:r>
        <w:rPr>
          <w:rStyle w:val="Normaltextrun"/>
          <w:rFonts w:ascii="Times New Roman" w:hAnsi="Times New Roman"/>
          <w:sz w:val="20"/>
          <w:szCs w:val="20"/>
        </w:rPr>
        <w:t>que son difíciles de visualizar en 3D y dibujar en el cuaderno en 2D para los estudiantes y en los materiales bibliográficos de consulta, que muestran modelos moleculares y atómicos tridimensionales que están representados en los libros en dos dimensiones, por medio de esta aplicación desarrollada en Realidad Aumentada (RA), se observan los modelos químicos en tres dimensiones y además en este entorno pueden manipular el modelo tridimensional para observarlo en distintos ángulos de tal forma que sea más entendible su estructura y proporción 3D. Algunas ventajas de la aplicación desarrollada es que no es necesario estar conectados a internet para utilizarla, incluye los contenidos del curso de Química en una misma aplicación y se puede utilizar con cualquier dispositivo que tenga cámara y plataforma Android o Windows. El desarrollo de esta aplicación se realizó bajo la hipótesis de que su implementación en el grupo ayudaría a mejorar no sólo la visualización 3D de las moléculas y modelos químicos que aborda la asignatura, sino el aprovechamiento de la misma, utilizando un solo recurso interactivo para este fin, ya que con el uso de esta aplicación se evitarían confusiones de perspectiva con los ángulos, longitudes de enlace, tamaño atómico y disposición espacial atómica, visualizando su geometría molecular.</w:t>
      </w:r>
      <w:r>
        <w:rPr>
          <w:rStyle w:val="Eop"/>
          <w:rFonts w:ascii="Times New Roman" w:hAnsi="Times New Roman"/>
          <w:sz w:val="20"/>
          <w:szCs w:val="20"/>
        </w:rPr>
        <w:t xml:space="preserve"> Estos aspectos son relevantes en el aprendizaje y evaluación de la asignatura. </w:t>
      </w:r>
    </w:p>
    <w:p>
      <w:pPr>
        <w:pStyle w:val="Paragraph"/>
        <w:spacing w:lineRule="auto" w:line="240" w:beforeAutospacing="0" w:before="0" w:afterAutospacing="0" w:after="0"/>
        <w:jc w:val="both"/>
        <w:textAlignment w:val="baseline"/>
        <w:rPr>
          <w:rFonts w:ascii="Times New Roman" w:hAnsi="Times New Roman"/>
          <w:sz w:val="20"/>
          <w:szCs w:val="20"/>
        </w:rPr>
      </w:pPr>
      <w:r>
        <w:rPr>
          <w:rFonts w:ascii="Times New Roman" w:hAnsi="Times New Roman"/>
          <w:sz w:val="20"/>
          <w:szCs w:val="20"/>
        </w:rPr>
      </w:r>
    </w:p>
    <w:p>
      <w:pPr>
        <w:pStyle w:val="Paragraph"/>
        <w:spacing w:lineRule="auto" w:line="240" w:beforeAutospacing="0" w:before="0" w:afterAutospacing="0" w:after="0"/>
        <w:jc w:val="both"/>
        <w:textAlignment w:val="baseline"/>
        <w:rPr/>
      </w:pPr>
      <w:r>
        <w:rPr>
          <w:rStyle w:val="Normaltextrun"/>
          <w:rFonts w:ascii="Times New Roman" w:hAnsi="Times New Roman"/>
          <w:sz w:val="20"/>
          <w:szCs w:val="20"/>
        </w:rPr>
        <w:t>La aplicación fue desarrolla utilizando el motor gráfico Unity3D y usando herramientas que facilitan el desarrollo de estas aplicaciones como EasyAR. </w:t>
      </w:r>
    </w:p>
    <w:p>
      <w:pPr>
        <w:pStyle w:val="Paragraph"/>
        <w:spacing w:lineRule="auto" w:line="240" w:beforeAutospacing="0" w:before="0" w:afterAutospacing="0" w:after="0"/>
        <w:jc w:val="both"/>
        <w:textAlignment w:val="baseline"/>
        <w:rPr>
          <w:rFonts w:ascii="Times New Roman" w:hAnsi="Times New Roman"/>
          <w:sz w:val="20"/>
          <w:szCs w:val="20"/>
        </w:rPr>
      </w:pPr>
      <w:r>
        <w:rPr>
          <w:rFonts w:ascii="Times New Roman" w:hAnsi="Times New Roman"/>
          <w:sz w:val="20"/>
          <w:szCs w:val="20"/>
        </w:rPr>
      </w:r>
    </w:p>
    <w:p>
      <w:pPr>
        <w:pStyle w:val="Paragraph"/>
        <w:spacing w:lineRule="auto" w:line="240" w:beforeAutospacing="0" w:before="0" w:afterAutospacing="0" w:after="0"/>
        <w:jc w:val="both"/>
        <w:textAlignment w:val="baseline"/>
        <w:rPr/>
      </w:pPr>
      <w:r>
        <w:rPr>
          <w:rStyle w:val="Normaltextrun"/>
          <w:rFonts w:ascii="Times New Roman" w:hAnsi="Times New Roman"/>
          <w:sz w:val="20"/>
          <w:szCs w:val="20"/>
        </w:rPr>
        <w:t xml:space="preserve">En nuestro grupo de trabajo, se han desarrollado previamente aplicaciones que utilizan Realidad Aumentada y Realidad Virtual que buscan mejorar la visualización 3D, inmersión, interacción y aprendizaje de los estudiantes de Ingeniería </w:t>
      </w:r>
      <w:r>
        <w:fldChar w:fldCharType="begin"/>
      </w:r>
      <w:r>
        <w:rPr>
          <w:rStyle w:val="Normaltextrun"/>
          <w:sz w:val="20"/>
          <w:szCs w:val="20"/>
          <w:rFonts w:ascii="Times New Roman" w:hAnsi="Times New Roman"/>
        </w:rPr>
        <w:instrText>ADDIN CSL_CITATION {"citationItems":[{"id":"ITEM-1","itemData":{"abstract":"En este trabajo se describe el desarrollo de un manual en realidad aumentada para dispositivos móviles Android enfocado en los estudiantes del programa académico de Ingeniería en Sistemas Automotrices, como una herramienta de enseñanza en el contexto de la Educación 4.0. Se utilizaron los pilares tecnológicos de la Industria 4.0 para perfilar a los estudiantes de modo que puedan cumplir con las exigencias de su desempeño profesional en el nivel industrial. La realidad aumentada (RA) desempeña un papel muy importante en áreas como el control de calidad, la identificación de fallos, la generación/desarrollo de manuales de información, así como en cursos de capacitación y manejo. La información que se presenta en el manual brinda al estudiante una experiencia más inmersiva e interactiva, apoyada en los modelos 3D tanto del motor como de las partes que lo conforman, y le permite manipular las piezas, escuchar información adicional de su composición, su uso y relacionar el funcionamiento del motor con el ciclo termodinámico Otto.","author":[{"dropping-particle":"","family":"Cortés-Caballero","given":"José M.","non-dropping-particle":"","parse-names":false,"suffix":""},{"dropping-particle":"","family":"Pérez-Martínez","given":"Ángel A.","non-dropping-particle":"","parse-names":false,"suffix":""},{"dropping-particle":"","family":"Mejía-Villegas","given":"José E.","non-dropping-particle":"","parse-names":false,"suffix":""},{"dropping-particle":"","family":"Hernández-Chávez","given":"Macaria","non-dropping-particle":"","parse-names":false,"suffix":""},{"dropping-particle":"","family":"Fabila-Bustos","given":"Diego A.","non-dropping-particle":"","parse-names":false,"suffix":""},{"dropping-particle":"","family":"Hernández-Quintanar","given":"Luis F.","non-dropping-particle":"","parse-names":false,"suffix":""}],"container-title":"red Iberoamericana de innovación y conocimiento científico","id":"ITEM-1","issued":{"date-parts":[["2020"]]},"page":"25-44","title":"La formación de ingenieros en sistemas automotrices mediante la realidad aumentada","type":"article-journal","volume":"20"},"uris":["http://www.mendeley.com/documents/?uuid=c08ff696-7a41-44f3-89fb-6ec2be404a1a"]}],"mendeley":{"formattedCitation":"(Cortés-Caballero et al., 2020)","plainTextFormattedCitation":"(Cortés-Caballero et al., 2020)","previouslyFormattedCitation":"(Cortés-Caballero et al., 2020)"},"properties":{"noteIndex":0},"schema":"https://github.com/citation-style-language/schema/raw/master/csl-citation.json"}</w:instrText>
      </w:r>
      <w:r>
        <w:rPr>
          <w:rStyle w:val="Normaltextrun"/>
          <w:rFonts w:ascii="Times New Roman" w:hAnsi="Times New Roman"/>
          <w:sz w:val="20"/>
          <w:szCs w:val="20"/>
        </w:rPr>
      </w:r>
      <w:r>
        <w:rPr>
          <w:rStyle w:val="Normaltextrun"/>
          <w:sz w:val="20"/>
          <w:szCs w:val="20"/>
          <w:rFonts w:ascii="Times New Roman" w:hAnsi="Times New Roman"/>
        </w:rPr>
        <w:fldChar w:fldCharType="separate"/>
      </w:r>
      <w:r>
        <w:rPr>
          <w:rStyle w:val="Normaltextrun"/>
          <w:rFonts w:ascii="Times New Roman" w:hAnsi="Times New Roman"/>
          <w:sz w:val="20"/>
          <w:szCs w:val="20"/>
        </w:rPr>
        <w:t>(Cortés-Caballero et al., 2020)</w:t>
      </w:r>
      <w:r>
        <w:rPr>
          <w:rStyle w:val="Normaltextrun"/>
          <w:rFonts w:ascii="Times New Roman" w:hAnsi="Times New Roman"/>
          <w:sz w:val="20"/>
          <w:szCs w:val="20"/>
        </w:rPr>
      </w:r>
      <w:r>
        <w:rPr>
          <w:rStyle w:val="Normaltextrun"/>
          <w:sz w:val="20"/>
          <w:szCs w:val="20"/>
          <w:rFonts w:ascii="Times New Roman" w:hAnsi="Times New Roman"/>
        </w:rPr>
        <w:fldChar w:fldCharType="end"/>
      </w:r>
      <w:r>
        <w:rPr>
          <w:rStyle w:val="Normaltextrun"/>
          <w:rFonts w:ascii="Times New Roman" w:hAnsi="Times New Roman"/>
          <w:sz w:val="20"/>
          <w:szCs w:val="20"/>
        </w:rPr>
        <w:t xml:space="preserve">, </w:t>
      </w:r>
      <w:r>
        <w:fldChar w:fldCharType="begin"/>
      </w:r>
      <w:r>
        <w:rPr>
          <w:rStyle w:val="Normaltextrun"/>
          <w:sz w:val="20"/>
          <w:szCs w:val="20"/>
          <w:rFonts w:ascii="Times New Roman" w:hAnsi="Times New Roman"/>
        </w:rPr>
        <w:instrText>ADDIN CSL_CITATION {"citationItems":[{"id":"ITEM-1","itemData":{"DOI":"10.3390/su13179776","ISSN":"2071-1050","abstract":"A Virtual Reality application was developed to be used as an immersive virtual learning strategy for Oculus Rift S Virtual Reality glasses and through Leap Motion Controller™ infrared sensors, focused on students of the Automotive Systems Engineering academic program, as a practical teaching-learning tool in the context of Education 4.0 and the pandemic caused by COVID-19 that has kept schools closed since March 2020. The technological pillars of Industry 4.0 were used to profile students so that they can meet the demands of their professional performance at the industrial level. Virtual Reality (VR) plays a very important role for the production-engineering sector in areas such as design and autonomous cars, as well as in training and driving courses. The VR application provides the student with a more immersive and interactive experience, supported by 3D models of both the main parts that make up the four-stroke combustion engine and the mechanical workshop scenario; it allows the student to manipulate the main parts of the four-stroke combustion engine through the Oculus Rift S controls and the Leap Motion Controller™ infrared sensors, and relate them to the operation of the engine, through the animation of its operation and the additional information shown for each part that makes it up in the application.","author":[{"dropping-particle":"","family":"Hernández-Chávez","given":"Macaria","non-dropping-particle":"","parse-names":false,"suffix":""},{"dropping-particle":"","family":"Cortés-Caballero","given":"José M","non-dropping-particle":"","parse-names":false,"suffix":""},{"dropping-particle":"","family":"Pérez-Martínez","given":"Ángel A","non-dropping-particle":"","parse-names":false,"suffix":""},{"dropping-particle":"","family":"Hernández-Quintanar","given":"Luis F","non-dropping-particle":"","parse-names":false,"suffix":""},{"dropping-particle":"","family":"Roa-Tort","given":"Karen","non-dropping-particle":"","parse-names":false,"suffix":""},{"dropping-particle":"","family":"Rivera-Fernández","given":"Josué D","non-dropping-particle":"","parse-names":false,"suffix":""},{"dropping-particle":"","family":"Fabila-Bustos","given":"Diego A","non-dropping-particle":"","parse-names":false,"suffix":""}],"container-title":"Sustainability","id":"ITEM-1","issue":"17","issued":{"date-parts":[["2021"]]},"title":"Development of Virtual Reality Automotive Lab for Training in Engineering Students","type":"article-journal","volume":"13"},"uris":["http://www.mendeley.com/documents/?uuid=204b9f82-296c-475a-a5cd-0e92746469c2"]}],"mendeley":{"formattedCitation":"(Hernández-Chávez et al., 2021)","plainTextFormattedCitation":"(Hernández-Chávez et al., 2021)","previouslyFormattedCitation":"(Hernández-Chávez et al., 2021)"},"properties":{"noteIndex":0},"schema":"https://github.com/citation-style-language/schema/raw/master/csl-citation.json"}</w:instrText>
      </w:r>
      <w:r>
        <w:rPr>
          <w:rStyle w:val="Normaltextrun"/>
          <w:rFonts w:ascii="Times New Roman" w:hAnsi="Times New Roman"/>
          <w:sz w:val="20"/>
          <w:szCs w:val="20"/>
        </w:rPr>
      </w:r>
      <w:r>
        <w:rPr>
          <w:rStyle w:val="Normaltextrun"/>
          <w:sz w:val="20"/>
          <w:szCs w:val="20"/>
          <w:rFonts w:ascii="Times New Roman" w:hAnsi="Times New Roman"/>
        </w:rPr>
        <w:fldChar w:fldCharType="separate"/>
      </w:r>
      <w:r>
        <w:rPr>
          <w:rStyle w:val="Normaltextrun"/>
          <w:rFonts w:ascii="Times New Roman" w:hAnsi="Times New Roman"/>
          <w:sz w:val="20"/>
          <w:szCs w:val="20"/>
        </w:rPr>
        <w:t>(Hernández-Chávez et al., 2021)</w:t>
      </w:r>
      <w:r>
        <w:rPr>
          <w:rStyle w:val="Normaltextrun"/>
          <w:rFonts w:ascii="Times New Roman" w:hAnsi="Times New Roman"/>
          <w:sz w:val="20"/>
          <w:szCs w:val="20"/>
        </w:rPr>
      </w:r>
      <w:r>
        <w:rPr>
          <w:rStyle w:val="Normaltextrun"/>
          <w:sz w:val="20"/>
          <w:szCs w:val="20"/>
          <w:rFonts w:ascii="Times New Roman" w:hAnsi="Times New Roman"/>
        </w:rPr>
        <w:fldChar w:fldCharType="end"/>
      </w:r>
      <w:r>
        <w:rPr>
          <w:rStyle w:val="Normaltextrun"/>
          <w:rFonts w:ascii="Times New Roman" w:hAnsi="Times New Roman"/>
          <w:sz w:val="20"/>
          <w:szCs w:val="20"/>
        </w:rPr>
        <w:t xml:space="preserve">, y en el caso de la química, hay ejemplos muy recientes, de fácil acceso y muy completos como MoleculAR, la cual “es una aplicación disponible para Android e iOS que permite visualizar e interactuar con gran cantidad de moléculas orgánicas. Además, incluye información sobre diferentes reacciones de síntesis.” </w:t>
      </w:r>
      <w:r>
        <w:fldChar w:fldCharType="begin"/>
      </w:r>
      <w:r>
        <w:rPr>
          <w:rStyle w:val="Normaltextrun"/>
          <w:sz w:val="20"/>
          <w:szCs w:val="20"/>
          <w:rFonts w:ascii="Times New Roman" w:hAnsi="Times New Roman"/>
        </w:rPr>
        <w:instrText>ADDIN CSL_CITATION {"citationItems":[{"id":"ITEM-1","itemData":{"abstract":"Trabajo de Fin de Máster del Máster en Profesor de Educación Secundaria Obligatoria y Bachillerato, Formación Profesional y Enseñanza de Idiomas, curso 2019/2020","author":[{"dropping-particle":"","family":"Palos Hernández","given":"Andrea","non-dropping-particle":"","parse-names":false,"suffix":""}],"id":"ITEM-1","issued":{"date-parts":[["2020"]]},"title":"Aplicación de realidad aumentada a la docencia de asignaturas de Física y Química de E.S.O. y Bachillerato","type":"article-journal"},"uris":["http://www.mendeley.com/documents/?uuid=5e65c2ba-ed1c-422d-918f-6e993aced9b3","http://www.mendeley.com/documents/?uuid=34f8141a-02b0-4800-87d5-2633e478ca6b"]}],"mendeley":{"formattedCitation":"(Palos Hernández, 2020)","plainTextFormattedCitation":"(Palos Hernández, 2020)","previouslyFormattedCitation":"(Palos Hernández, 2020)"},"properties":{"noteIndex":0},"schema":"https://github.com/citation-style-language/schema/raw/master/csl-citation.json"}</w:instrText>
      </w:r>
      <w:r>
        <w:rPr>
          <w:rStyle w:val="Normaltextrun"/>
          <w:rFonts w:ascii="Times New Roman" w:hAnsi="Times New Roman"/>
          <w:sz w:val="20"/>
          <w:szCs w:val="20"/>
        </w:rPr>
      </w:r>
      <w:r>
        <w:rPr>
          <w:rStyle w:val="Normaltextrun"/>
          <w:sz w:val="20"/>
          <w:szCs w:val="20"/>
          <w:rFonts w:ascii="Times New Roman" w:hAnsi="Times New Roman"/>
        </w:rPr>
        <w:fldChar w:fldCharType="separate"/>
      </w:r>
      <w:r>
        <w:rPr>
          <w:rStyle w:val="Normaltextrun"/>
          <w:rFonts w:ascii="Times New Roman" w:hAnsi="Times New Roman"/>
          <w:sz w:val="20"/>
          <w:szCs w:val="20"/>
        </w:rPr>
        <w:t>(Palos Hernández, 2020)</w:t>
      </w:r>
      <w:r>
        <w:rPr>
          <w:rStyle w:val="Normaltextrun"/>
          <w:rFonts w:ascii="Times New Roman" w:hAnsi="Times New Roman"/>
          <w:sz w:val="20"/>
          <w:szCs w:val="20"/>
        </w:rPr>
      </w:r>
      <w:r>
        <w:rPr>
          <w:rStyle w:val="Normaltextrun"/>
          <w:sz w:val="20"/>
          <w:szCs w:val="20"/>
          <w:rFonts w:ascii="Times New Roman" w:hAnsi="Times New Roman"/>
        </w:rPr>
        <w:fldChar w:fldCharType="end"/>
      </w:r>
      <w:r>
        <w:rPr>
          <w:rStyle w:val="Normaltextrun"/>
          <w:rFonts w:ascii="Times New Roman" w:hAnsi="Times New Roman"/>
          <w:sz w:val="20"/>
          <w:szCs w:val="20"/>
        </w:rPr>
        <w:t xml:space="preserve"> o ModelAR que es “una poderosa herramienta de modelado 3D para estudiantes que buscan practicar química orgánica. Puede explorar estructuras químicas creando una molécula en el espacio de trabajo y alternar rápidamente para aparecer en AR” </w:t>
      </w:r>
      <w:r>
        <w:fldChar w:fldCharType="begin"/>
      </w:r>
      <w:r>
        <w:rPr>
          <w:rStyle w:val="Normaltextrun"/>
          <w:sz w:val="20"/>
          <w:szCs w:val="20"/>
          <w:rFonts w:ascii="Times New Roman" w:hAnsi="Times New Roman"/>
        </w:rPr>
        <w:instrText>ADDIN CSL_CITATION {"citationItems":[{"id":"ITEM-1","itemData":{"abstract":"Trabajo de Fin de Máster del Máster en Profesor de Educación Secundaria Obligatoria y Bachillerato, Formación Profesional y Enseñanza de Idiomas, curso 2019/2020","author":[{"dropping-particle":"","family":"Palos Hernández","given":"Andrea","non-dropping-particle":"","parse-names":false,"suffix":""}],"id":"ITEM-1","issued":{"date-parts":[["2020"]]},"title":"Aplicación de realidad aumentada a la docencia de asignaturas de Física y Química de E.S.O. y Bachillerato","type":"article-journal"},"uris":["http://www.mendeley.com/documents/?uuid=34f8141a-02b0-4800-87d5-2633e478ca6b","http://www.mendeley.com/documents/?uuid=5e65c2ba-ed1c-422d-918f-6e993aced9b3"]}],"mendeley":{"formattedCitation":"(Palos Hernández, 2020)","plainTextFormattedCitation":"(Palos Hernández, 2020)","previouslyFormattedCitation":"(Palos Hernández, 2020)"},"properties":{"noteIndex":0},"schema":"https://github.com/citation-style-language/schema/raw/master/csl-citation.json"}</w:instrText>
      </w:r>
      <w:r>
        <w:rPr>
          <w:rStyle w:val="Normaltextrun"/>
          <w:rFonts w:ascii="Times New Roman" w:hAnsi="Times New Roman"/>
          <w:sz w:val="20"/>
          <w:szCs w:val="20"/>
        </w:rPr>
      </w:r>
      <w:r>
        <w:rPr>
          <w:rStyle w:val="Normaltextrun"/>
          <w:sz w:val="20"/>
          <w:szCs w:val="20"/>
          <w:rFonts w:ascii="Times New Roman" w:hAnsi="Times New Roman"/>
        </w:rPr>
        <w:fldChar w:fldCharType="separate"/>
      </w:r>
      <w:r>
        <w:rPr>
          <w:rStyle w:val="Normaltextrun"/>
          <w:rFonts w:ascii="Times New Roman" w:hAnsi="Times New Roman"/>
          <w:sz w:val="20"/>
          <w:szCs w:val="20"/>
        </w:rPr>
        <w:t>(Palos Hernández, 2020)</w:t>
      </w:r>
      <w:r>
        <w:rPr>
          <w:rStyle w:val="Normaltextrun"/>
          <w:rFonts w:ascii="Times New Roman" w:hAnsi="Times New Roman"/>
          <w:sz w:val="20"/>
          <w:szCs w:val="20"/>
        </w:rPr>
      </w:r>
      <w:r>
        <w:rPr>
          <w:rStyle w:val="Normaltextrun"/>
          <w:sz w:val="20"/>
          <w:szCs w:val="20"/>
          <w:rFonts w:ascii="Times New Roman" w:hAnsi="Times New Roman"/>
        </w:rPr>
        <w:fldChar w:fldCharType="end"/>
      </w:r>
      <w:r>
        <w:rPr>
          <w:rStyle w:val="Normaltextrun"/>
          <w:rFonts w:ascii="Times New Roman" w:hAnsi="Times New Roman"/>
          <w:sz w:val="20"/>
          <w:szCs w:val="20"/>
        </w:rPr>
        <w:t xml:space="preserve"> </w:t>
      </w:r>
    </w:p>
    <w:p>
      <w:pPr>
        <w:pStyle w:val="Normal"/>
        <w:spacing w:lineRule="auto" w:line="240" w:before="0" w:after="0"/>
        <w:rPr>
          <w:rFonts w:ascii="Times New Roman" w:hAnsi="Times New Roman"/>
          <w:sz w:val="20"/>
          <w:szCs w:val="20"/>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b/>
          <w:sz w:val="20"/>
          <w:szCs w:val="20"/>
        </w:rPr>
        <w:t xml:space="preserve">II. </w:t>
      </w:r>
      <w:r>
        <w:rPr>
          <w:rFonts w:eastAsia="Times New Roman" w:cs="Times New Roman" w:ascii="Times New Roman" w:hAnsi="Times New Roman"/>
          <w:b/>
          <w:sz w:val="20"/>
          <w:szCs w:val="20"/>
        </w:rPr>
        <w:t>METODOLOGÍA</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Para poder crear la aplicación se utilizó el motor gráfico Unity3D, en la versión 2021.2.1f1 utilizando el módulo de Android Build Support en conjunto con EasyAR. Para el caso de los modelos 3D se utilizó SolidWorks 2020 y Blender 2.93.5.</w:t>
      </w:r>
    </w:p>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istParagraph"/>
        <w:numPr>
          <w:ilvl w:val="0"/>
          <w:numId w:val="1"/>
        </w:numPr>
        <w:spacing w:lineRule="auto" w:line="240" w:before="0" w:after="0"/>
        <w:rPr>
          <w:rFonts w:ascii="Times New Roman" w:hAnsi="Times New Roman"/>
          <w:sz w:val="20"/>
          <w:szCs w:val="20"/>
        </w:rPr>
      </w:pPr>
      <w:r>
        <w:rPr>
          <w:rFonts w:eastAsia="Times New Roman" w:cs="Times New Roman" w:ascii="Times New Roman" w:hAnsi="Times New Roman"/>
          <w:sz w:val="20"/>
          <w:szCs w:val="20"/>
        </w:rPr>
        <w:t>Unity3D</w:t>
      </w:r>
    </w:p>
    <w:p>
      <w:pPr>
        <w:pStyle w:val="ListParagraph"/>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Es un motor de videojuegos multiplataforma creado por Unity Technologies que permite el diseño, la creación y el funcionamiento de un entrono interactivo, además Unity trabaja con el lenguaje C# para realizar los scripts los cuales pueden trabajar con GameObject proporcionándole una funcionalidad concreta.</w:t>
      </w:r>
    </w:p>
    <w:p>
      <w:pPr>
        <w:pStyle w:val="ListParagraph"/>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istParagraph"/>
        <w:numPr>
          <w:ilvl w:val="0"/>
          <w:numId w:val="1"/>
        </w:numPr>
        <w:spacing w:lineRule="auto" w:line="240" w:before="0" w:after="0"/>
        <w:rPr>
          <w:rFonts w:ascii="Times New Roman" w:hAnsi="Times New Roman"/>
          <w:sz w:val="20"/>
          <w:szCs w:val="20"/>
        </w:rPr>
      </w:pPr>
      <w:r>
        <w:rPr>
          <w:rFonts w:eastAsia="Times New Roman" w:cs="Times New Roman" w:ascii="Times New Roman" w:hAnsi="Times New Roman"/>
          <w:sz w:val="20"/>
          <w:szCs w:val="20"/>
        </w:rPr>
        <w:t>EasyAR</w:t>
      </w:r>
    </w:p>
    <w:p>
      <w:pPr>
        <w:pStyle w:val="ListParagraph"/>
        <w:spacing w:lineRule="auto" w:line="240" w:before="0" w:after="0"/>
        <w:rPr>
          <w:rFonts w:ascii="Times New Roman" w:hAnsi="Times New Roman"/>
          <w:sz w:val="20"/>
          <w:szCs w:val="20"/>
        </w:rPr>
      </w:pPr>
      <w:r>
        <w:rPr>
          <w:rFonts w:eastAsia="Times New Roman" w:cs="Times New Roman" w:ascii="Times New Roman" w:hAnsi="Times New Roman"/>
          <w:sz w:val="20"/>
          <w:szCs w:val="20"/>
        </w:rPr>
        <w:t>Es un motor de realidad aumentada.</w:t>
      </w:r>
    </w:p>
    <w:p>
      <w:pPr>
        <w:pStyle w:val="ListParagraph"/>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istParagraph"/>
        <w:numPr>
          <w:ilvl w:val="0"/>
          <w:numId w:val="1"/>
        </w:numPr>
        <w:spacing w:lineRule="auto" w:line="240" w:before="0" w:after="0"/>
        <w:rPr>
          <w:rFonts w:ascii="Times New Roman" w:hAnsi="Times New Roman"/>
          <w:sz w:val="20"/>
          <w:szCs w:val="20"/>
        </w:rPr>
      </w:pPr>
      <w:r>
        <w:rPr>
          <w:rFonts w:eastAsia="Times New Roman" w:cs="Times New Roman" w:ascii="Times New Roman" w:hAnsi="Times New Roman"/>
          <w:sz w:val="20"/>
          <w:szCs w:val="20"/>
        </w:rPr>
        <w:t>SolidWorks</w:t>
      </w:r>
    </w:p>
    <w:p>
      <w:pPr>
        <w:pStyle w:val="ListParagraph"/>
        <w:spacing w:lineRule="auto" w:line="240" w:before="0" w:after="0"/>
        <w:rPr>
          <w:rFonts w:ascii="Times New Roman" w:hAnsi="Times New Roman"/>
          <w:sz w:val="20"/>
          <w:szCs w:val="20"/>
        </w:rPr>
      </w:pPr>
      <w:r>
        <w:rPr>
          <w:rFonts w:eastAsia="Times New Roman" w:cs="Times New Roman" w:ascii="Times New Roman" w:hAnsi="Times New Roman"/>
          <w:sz w:val="20"/>
          <w:szCs w:val="20"/>
        </w:rPr>
        <w:t>SolidWorks es un software CAD para modelado mecánico en 2D y 3D, desarrollado en la actualidad por SolidWorks Corp.</w:t>
      </w:r>
    </w:p>
    <w:p>
      <w:pPr>
        <w:pStyle w:val="ListParagraph"/>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istParagraph"/>
        <w:numPr>
          <w:ilvl w:val="0"/>
          <w:numId w:val="1"/>
        </w:numPr>
        <w:spacing w:lineRule="auto" w:line="240" w:before="0" w:after="0"/>
        <w:rPr>
          <w:rFonts w:ascii="Times New Roman" w:hAnsi="Times New Roman"/>
          <w:sz w:val="20"/>
          <w:szCs w:val="20"/>
        </w:rPr>
      </w:pPr>
      <w:r>
        <w:rPr>
          <w:rFonts w:eastAsia="Times New Roman" w:cs="Times New Roman" w:ascii="Times New Roman" w:hAnsi="Times New Roman"/>
          <w:sz w:val="20"/>
          <w:szCs w:val="20"/>
        </w:rPr>
        <w:t>Blender</w:t>
      </w:r>
    </w:p>
    <w:p>
      <w:pPr>
        <w:pStyle w:val="Normal"/>
        <w:spacing w:lineRule="auto" w:line="240" w:before="0" w:after="0"/>
        <w:ind w:left="720" w:hanging="0"/>
        <w:rPr>
          <w:rFonts w:ascii="Times New Roman" w:hAnsi="Times New Roman"/>
          <w:sz w:val="20"/>
          <w:szCs w:val="20"/>
        </w:rPr>
      </w:pPr>
      <w:r>
        <w:rPr>
          <w:rFonts w:eastAsia="Times New Roman" w:cs="Times New Roman" w:ascii="Times New Roman" w:hAnsi="Times New Roman"/>
          <w:sz w:val="20"/>
          <w:szCs w:val="20"/>
        </w:rPr>
        <w:t>Blender es un programa informático multiplataforma, dedicado especialmente al modelado, iluminación, renderizado, la animación y creación de gráficos tridimensionales.</w:t>
      </w:r>
    </w:p>
    <w:p>
      <w:pPr>
        <w:pStyle w:val="Normal"/>
        <w:spacing w:lineRule="auto" w:line="240" w:before="0" w:after="0"/>
        <w:ind w:left="72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La aplicación utiliza ImageTarget´s, que contienen los modelos de moléculas químicas tridimensionales (oxiácidos, hidrocarburos, aldehídos, cetonas, ácidos carboxílicos, éteres, ésteres, aminas, amidas, alcoholes, derivados aromáticos, polímeros y cerámicos) y modelos tridimensionales (modelos atómicos de Bohr de cada elemento de la tabla periódica de acuerdo a su clasificación y orbitales atómicos) estos están conectados a un ImageTracker en el apartado Image Target controler (Script) en Tracker. En la Figura 1 se muestra la escena que contiene los ImageTracker’s desarrollados en el motor gráfico de Unity 3D que hacen posible mostrar los modelos en el dispositivo. Los ImageTarget´s se encuentran distribuidos en diferentes escenas, y se colocaron botones que permiten al usuario elegir entre las diferentes escenas. El menú inicial se muestra en la Figura, donde se encuentra seleccionada la opción de visualizar los modelos atómicos de Bohr de los diferentes elementos que constituyen la tabla periódica de los elementos químicos.</w:t>
      </w:r>
    </w:p>
    <w:p>
      <w:pPr>
        <w:pStyle w:val="Normal"/>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0">
            <wp:extent cx="2729230" cy="1225550"/>
            <wp:effectExtent l="0" t="0" r="0" b="0"/>
            <wp:docPr id="2" name="Imagen 3" descr="C:\Users\FoxysLab\AppData\Local\Microsoft\Windows\INetCache\Content.Word\UPIIH 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C:\Users\FoxysLab\AppData\Local\Microsoft\Windows\INetCache\Content.Word\UPIIH RA.PNG"/>
                    <pic:cNvPicPr>
                      <a:picLocks noChangeAspect="1" noChangeArrowheads="1"/>
                    </pic:cNvPicPr>
                  </pic:nvPicPr>
                  <pic:blipFill>
                    <a:blip r:embed="rId8"/>
                    <a:stretch>
                      <a:fillRect/>
                    </a:stretch>
                  </pic:blipFill>
                  <pic:spPr bwMode="auto">
                    <a:xfrm>
                      <a:off x="0" y="0"/>
                      <a:ext cx="2729230" cy="1225550"/>
                    </a:xfrm>
                    <a:prstGeom prst="rect">
                      <a:avLst/>
                    </a:prstGeom>
                  </pic:spPr>
                </pic:pic>
              </a:graphicData>
            </a:graphic>
          </wp:inline>
        </w:drawing>
      </w:r>
    </w:p>
    <w:p>
      <w:pPr>
        <w:pStyle w:val="Normal"/>
        <w:spacing w:lineRule="auto" w:line="240" w:before="0" w:after="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sz w:val="20"/>
          <w:szCs w:val="20"/>
        </w:rPr>
        <w:t xml:space="preserve">Figura 1. Motor gráfico Unity 3D con los 163 </w:t>
      </w:r>
      <w:r>
        <w:rPr>
          <w:rFonts w:eastAsia="Times New Roman" w:cs="Times New Roman" w:ascii="Times New Roman" w:hAnsi="Times New Roman"/>
          <w:b w:val="false"/>
          <w:bCs w:val="false"/>
          <w:i/>
          <w:iCs/>
          <w:sz w:val="20"/>
          <w:szCs w:val="20"/>
        </w:rPr>
        <w:t>ImageTarget´s</w:t>
      </w:r>
      <w:r>
        <w:rPr>
          <w:rFonts w:eastAsia="Times New Roman" w:cs="Times New Roman" w:ascii="Times New Roman" w:hAnsi="Times New Roman"/>
          <w:b w:val="false"/>
          <w:bCs w:val="false"/>
          <w:i/>
          <w:iCs/>
          <w:color w:val="000000"/>
          <w:sz w:val="20"/>
          <w:szCs w:val="20"/>
        </w:rPr>
        <w:t xml:space="preserve"> de todos los modelos de los elementos químicos de la tabla periódica en una sola escena. </w:t>
      </w:r>
      <w:r>
        <w:rPr>
          <w:rFonts w:eastAsia="Times New Roman" w:cs="Times New Roman" w:ascii="Times New Roman" w:hAnsi="Times New Roman"/>
          <w:b w:val="false"/>
          <w:bCs w:val="false"/>
          <w:i/>
          <w:iCs/>
          <w:color w:val="000000"/>
          <w:sz w:val="20"/>
          <w:szCs w:val="20"/>
        </w:rPr>
        <w:t>Fuente: Elaboración propia.</w:t>
      </w:r>
    </w:p>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0">
            <wp:extent cx="846455" cy="1561465"/>
            <wp:effectExtent l="0" t="0" r="0" b="0"/>
            <wp:docPr id="3" name="Imagen 4" descr="C:\Users\FoxysLab\Downloads\WhatsApp Image 2022-03-28 at 12.39.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C:\Users\FoxysLab\Downloads\WhatsApp Image 2022-03-28 at 12.39.28 PM.jpeg"/>
                    <pic:cNvPicPr>
                      <a:picLocks noChangeAspect="1" noChangeArrowheads="1"/>
                    </pic:cNvPicPr>
                  </pic:nvPicPr>
                  <pic:blipFill>
                    <a:blip r:embed="rId9"/>
                    <a:srcRect l="2230" t="7566" r="3823" b="8159"/>
                    <a:stretch>
                      <a:fillRect/>
                    </a:stretch>
                  </pic:blipFill>
                  <pic:spPr bwMode="auto">
                    <a:xfrm>
                      <a:off x="0" y="0"/>
                      <a:ext cx="846455" cy="1561465"/>
                    </a:xfrm>
                    <a:prstGeom prst="rect">
                      <a:avLst/>
                    </a:prstGeom>
                  </pic:spPr>
                </pic:pic>
              </a:graphicData>
            </a:graphic>
          </wp:inline>
        </w:drawing>
      </w:r>
      <w:r>
        <w:rPr>
          <w:rFonts w:ascii="Times New Roman" w:hAnsi="Times New Roman"/>
          <w:sz w:val="20"/>
          <w:szCs w:val="20"/>
        </w:rPr>
        <w:drawing>
          <wp:inline distT="0" distB="0" distL="0" distR="0">
            <wp:extent cx="847725" cy="1586865"/>
            <wp:effectExtent l="0" t="0" r="0" b="0"/>
            <wp:docPr id="4" name="Imagen 5" descr="C:\Users\FoxysLab\Downloads\WhatsApp Image 2022-03-28 at 12.39.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descr="C:\Users\FoxysLab\Downloads\WhatsApp Image 2022-03-28 at 12.39.28 PM (1).jpeg"/>
                    <pic:cNvPicPr>
                      <a:picLocks noChangeAspect="1" noChangeArrowheads="1"/>
                    </pic:cNvPicPr>
                  </pic:nvPicPr>
                  <pic:blipFill>
                    <a:blip r:embed="rId10"/>
                    <a:srcRect l="1516" t="7375" r="2021" b="6855"/>
                    <a:stretch>
                      <a:fillRect/>
                    </a:stretch>
                  </pic:blipFill>
                  <pic:spPr bwMode="auto">
                    <a:xfrm>
                      <a:off x="0" y="0"/>
                      <a:ext cx="847725" cy="1586865"/>
                    </a:xfrm>
                    <a:prstGeom prst="rect">
                      <a:avLst/>
                    </a:prstGeom>
                  </pic:spPr>
                </pic:pic>
              </a:graphicData>
            </a:graphic>
          </wp:inline>
        </w:drawing>
      </w:r>
      <w:r>
        <w:rPr>
          <w:rFonts w:ascii="Times New Roman" w:hAnsi="Times New Roman"/>
          <w:sz w:val="20"/>
          <w:szCs w:val="20"/>
        </w:rPr>
        <w:drawing>
          <wp:inline distT="0" distB="0" distL="0" distR="0">
            <wp:extent cx="855980" cy="1569720"/>
            <wp:effectExtent l="0" t="0" r="0" b="0"/>
            <wp:docPr id="5" name="Imagen 6" descr="C:\Users\FoxysLab\Downloads\WhatsApp Image 2022-03-28 at 12.39.2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6" descr="C:\Users\FoxysLab\Downloads\WhatsApp Image 2022-03-28 at 12.39.28 PM (2).jpeg"/>
                    <pic:cNvPicPr>
                      <a:picLocks noChangeAspect="1" noChangeArrowheads="1"/>
                    </pic:cNvPicPr>
                  </pic:nvPicPr>
                  <pic:blipFill>
                    <a:blip r:embed="rId11"/>
                    <a:srcRect l="2523" t="7376" r="2467" b="7789"/>
                    <a:stretch>
                      <a:fillRect/>
                    </a:stretch>
                  </pic:blipFill>
                  <pic:spPr bwMode="auto">
                    <a:xfrm>
                      <a:off x="0" y="0"/>
                      <a:ext cx="855980" cy="1569720"/>
                    </a:xfrm>
                    <a:prstGeom prst="rect">
                      <a:avLst/>
                    </a:prstGeom>
                  </pic:spPr>
                </pic:pic>
              </a:graphicData>
            </a:graphic>
          </wp:inline>
        </w:drawing>
      </w:r>
    </w:p>
    <w:p>
      <w:pPr>
        <w:pStyle w:val="Paragraph"/>
        <w:spacing w:lineRule="auto" w:line="240" w:beforeAutospacing="0" w:before="0" w:afterAutospacing="0" w:after="0"/>
        <w:textAlignment w:val="baseline"/>
        <w:rPr/>
      </w:pPr>
      <w:r>
        <w:rPr>
          <w:rStyle w:val="Eop"/>
          <w:rFonts w:cs="Calibri" w:ascii="Times New Roman" w:hAnsi="Times New Roman"/>
          <w:sz w:val="20"/>
          <w:szCs w:val="20"/>
        </w:rPr>
        <w:t> </w:t>
      </w:r>
    </w:p>
    <w:p>
      <w:pPr>
        <w:pStyle w:val="Paragraph"/>
        <w:spacing w:lineRule="auto" w:line="240" w:beforeAutospacing="0" w:before="0" w:afterAutospacing="0" w:after="0"/>
        <w:jc w:val="center"/>
        <w:textAlignment w:val="baseline"/>
        <w:rPr/>
      </w:pPr>
      <w:r>
        <w:rPr>
          <w:rStyle w:val="Normaltextrun"/>
          <w:rFonts w:ascii="Times New Roman" w:hAnsi="Times New Roman"/>
          <w:b w:val="false"/>
          <w:bCs w:val="false"/>
          <w:i/>
          <w:iCs/>
          <w:color w:val="000000" w:themeColor="text1"/>
          <w:sz w:val="20"/>
          <w:szCs w:val="20"/>
        </w:rPr>
        <w:t>Figura 2. Capturas de pantalla de los menús de la aplicación UPIIH RA. Fuente: Elaboración propia.</w:t>
      </w:r>
    </w:p>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La metodología de desarrollo utilizada fue la metodología de cascada (González González et al., 2019), a continuación, se describe su implementación:</w:t>
      </w:r>
    </w:p>
    <w:p>
      <w:pPr>
        <w:pStyle w:val="Normal"/>
        <w:spacing w:lineRule="auto" w:line="240" w:before="0" w:after="0"/>
        <w:rPr>
          <w:rFonts w:eastAsia="Times New Roman" w:cs="Times New Roman"/>
        </w:rPr>
      </w:pPr>
      <w:r>
        <w:rPr>
          <w:rFonts w:ascii="Times New Roman" w:hAnsi="Times New Roman"/>
          <w:b w:val="false"/>
          <w:bCs w:val="false"/>
          <w:sz w:val="20"/>
          <w:szCs w:val="20"/>
        </w:rPr>
      </w:r>
    </w:p>
    <w:p>
      <w:pPr>
        <w:pStyle w:val="Normal"/>
        <w:spacing w:lineRule="auto" w:line="240" w:before="0" w:after="0"/>
        <w:jc w:val="both"/>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A. </w:t>
      </w:r>
      <w:r>
        <w:rPr>
          <w:rFonts w:eastAsia="Times New Roman" w:cs="Times New Roman" w:ascii="Times New Roman" w:hAnsi="Times New Roman"/>
          <w:b w:val="false"/>
          <w:bCs w:val="false"/>
          <w:i/>
          <w:iCs/>
          <w:sz w:val="20"/>
          <w:szCs w:val="20"/>
        </w:rPr>
        <w:t>Ingeniería y análisis del sistema</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b w:val="false"/>
          <w:bCs w:val="false"/>
          <w:sz w:val="20"/>
          <w:szCs w:val="20"/>
        </w:rPr>
        <w:t xml:space="preserve">Se </w:t>
      </w:r>
      <w:r>
        <w:rPr>
          <w:rFonts w:eastAsia="Times New Roman" w:cs="Times New Roman" w:ascii="Times New Roman" w:hAnsi="Times New Roman"/>
          <w:sz w:val="20"/>
          <w:szCs w:val="20"/>
        </w:rPr>
        <w:t>establecieron los requisitos de la aplicación y la asignación de funciones. En esta etapa se propusieron las características del proyecto, como la visualización 3D de los modelos por medio de Realidad Aumentada, el implementarse en dispositivos móviles con sistema operativo Android.</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B. </w:t>
      </w:r>
      <w:r>
        <w:rPr>
          <w:rFonts w:eastAsia="Times New Roman" w:cs="Times New Roman" w:ascii="Times New Roman" w:hAnsi="Times New Roman"/>
          <w:b w:val="false"/>
          <w:bCs w:val="false"/>
          <w:i/>
          <w:iCs/>
          <w:sz w:val="20"/>
          <w:szCs w:val="20"/>
        </w:rPr>
        <w:t>Análisis de los requisitos del software</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Revisar la información que recibe la aplicación para potenciar las funciones, rendimiento e interfaces. Se establecieron las opciones de entrada por parte del usuario, sus procesos y salida. Al utilizar la herramienta EasyAR se estableció el uso de marcadores como entrada para proyectar modelos 3D. Esto a través de un teléfono inteligente y al cámara del dispositivo.</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C. </w:t>
      </w:r>
      <w:r>
        <w:rPr>
          <w:rFonts w:eastAsia="Times New Roman" w:cs="Times New Roman" w:ascii="Times New Roman" w:hAnsi="Times New Roman"/>
          <w:b w:val="false"/>
          <w:bCs w:val="false"/>
          <w:i/>
          <w:iCs/>
          <w:sz w:val="20"/>
          <w:szCs w:val="20"/>
        </w:rPr>
        <w:t xml:space="preserve">Diseño </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Se estructuran los datos, se da arquitectura al software, así como los detalles procedimentales y caracterizar la interface. Se accede a los modelos 3D mediante escenas, que se eligen en el menú principal, el cual lleva a su vez a tres escenas, las cuales son SampleScene que contienen los modelos de las moléculas y orbitales 3D, la segunda escena corresponde a los elementos químicos de la tabla periódica, la cual contiene dentro de ella la opción para dirigirse a otras escenas que contienen los modelos atómicos de Bohr de cada elemento químico y están ordenados conforme a la tabla periódica y por último, la tercera escena muestra los créditos. Esto se muestra en el siguiente diagrama de flujo:</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center"/>
        <w:rPr>
          <w:rFonts w:ascii="Times New Roman" w:hAnsi="Times New Roman"/>
          <w:sz w:val="20"/>
          <w:szCs w:val="20"/>
        </w:rPr>
      </w:pPr>
      <w:r>
        <w:rPr>
          <w:rFonts w:ascii="Times New Roman" w:hAnsi="Times New Roman"/>
          <w:sz w:val="20"/>
          <w:szCs w:val="20"/>
        </w:rPr>
        <mc:AlternateContent>
          <mc:Choice Requires="wps">
            <w:drawing>
              <wp:inline distT="0" distB="76200" distL="0" distR="0">
                <wp:extent cx="2393315" cy="1494155"/>
                <wp:effectExtent l="0" t="0" r="0" b="0"/>
                <wp:docPr id="6"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12"/>
                        <a:stretch/>
                      </pic:blipFill>
                      <pic:spPr>
                        <a:xfrm>
                          <a:off x="0" y="0"/>
                          <a:ext cx="2392560" cy="1493640"/>
                        </a:xfrm>
                        <a:prstGeom prst="rect">
                          <a:avLst/>
                        </a:prstGeom>
                        <a:ln w="0">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123.65pt;width:188.35pt;height:117.55pt;mso-wrap-style:none;v-text-anchor:middle;mso-position-vertical:top" type="shapetype_75">
                <v:imagedata r:id="rId12" o:detectmouseclick="t"/>
                <v:stroke color="#3465a4" joinstyle="round" endcap="flat"/>
                <w10:wrap type="none"/>
              </v:shape>
            </w:pict>
          </mc:Fallback>
        </mc:AlternateContent>
      </w:r>
    </w:p>
    <w:p>
      <w:pPr>
        <w:pStyle w:val="Normal"/>
        <w:spacing w:lineRule="auto" w:line="240" w:before="0" w:after="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sz w:val="20"/>
          <w:szCs w:val="20"/>
        </w:rPr>
        <w:t xml:space="preserve">Figura 3. Diagrama de flujo sobre el funcionamiento de la escena MainMenu de la aplicación en realidad aumentada desarrollada en Unity 3D. </w:t>
      </w:r>
      <w:r>
        <w:rPr>
          <w:rFonts w:eastAsia="Times New Roman" w:cs="Times New Roman" w:ascii="Times New Roman" w:hAnsi="Times New Roman"/>
          <w:b w:val="false"/>
          <w:bCs w:val="false"/>
          <w:i/>
          <w:iCs/>
          <w:color w:val="000000"/>
          <w:sz w:val="20"/>
          <w:szCs w:val="20"/>
        </w:rPr>
        <w:t>Fuente: Elaboración propia.</w:t>
      </w:r>
    </w:p>
    <w:p>
      <w:pPr>
        <w:pStyle w:val="Normal"/>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En la Figura 4, se escribe por medio del diagrama de flujo la escena Elementos Tabla, se mencionó que se dirige a los átomos y que están ordenados conforme a la tabla periódica, para lograr esto, la escena Elementos Tabla contiene la función de dirigirse a las demás escenas que son T1, T2, T3, … T10. Cada escena almacena los átomos de un grupo específico los cuales son para cada uno los siguientes, T1 metales alcalinos, T2 metales alcalinotérreos, T3 metales de transición, T4 metales de post transición, T5 otros metales, T6 metaloides, T7 halógenos, T8 gases nobles, T9 lantánidos y T10 actínidos. Al cargar cada escena solo se proyectan los átomos que correspondan a ella y a la escena descrita.    </w:t>
      </w:r>
    </w:p>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0">
            <wp:extent cx="2889885" cy="1148080"/>
            <wp:effectExtent l="0" t="0" r="0" b="0"/>
            <wp:docPr id="7" name="Imagen 1" descr="C:\Users\austr\AppData\Local\Microsoft\Windows\INetCache\Content.Word\Diagrama en blanc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C:\Users\austr\AppData\Local\Microsoft\Windows\INetCache\Content.Word\Diagrama en blanco (1).png"/>
                    <pic:cNvPicPr>
                      <a:picLocks noChangeAspect="1" noChangeArrowheads="1"/>
                    </pic:cNvPicPr>
                  </pic:nvPicPr>
                  <pic:blipFill>
                    <a:blip r:embed="rId13"/>
                    <a:stretch>
                      <a:fillRect/>
                    </a:stretch>
                  </pic:blipFill>
                  <pic:spPr bwMode="auto">
                    <a:xfrm>
                      <a:off x="0" y="0"/>
                      <a:ext cx="2889885" cy="1148080"/>
                    </a:xfrm>
                    <a:prstGeom prst="rect">
                      <a:avLst/>
                    </a:prstGeom>
                  </pic:spPr>
                </pic:pic>
              </a:graphicData>
            </a:graphic>
          </wp:inline>
        </w:drawing>
      </w:r>
    </w:p>
    <w:p>
      <w:pPr>
        <w:pStyle w:val="Normal"/>
        <w:spacing w:lineRule="auto" w:line="240" w:before="0" w:after="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themeColor="text1"/>
          <w:sz w:val="20"/>
          <w:szCs w:val="20"/>
        </w:rPr>
        <w:t>Figura 4. Diagrama de flujo sobre el funcionamiento de la escena Elementos Tabla del proyecto UPIIH RA realizado en Unity. Fuente: Elaboración propia.</w:t>
      </w:r>
    </w:p>
    <w:p>
      <w:pPr>
        <w:pStyle w:val="Normal"/>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D. </w:t>
      </w:r>
      <w:r>
        <w:rPr>
          <w:rFonts w:eastAsia="Times New Roman" w:cs="Times New Roman" w:ascii="Times New Roman" w:hAnsi="Times New Roman"/>
          <w:b w:val="false"/>
          <w:bCs w:val="false"/>
          <w:i/>
          <w:iCs/>
          <w:sz w:val="20"/>
          <w:szCs w:val="20"/>
        </w:rPr>
        <w:t>Codificación</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Con los diseños ya establecidos, se realizó la traducción de los datos para interpretación de la máquina, procedimiento que implica una codificación. Como se mencionó anteriormente en este proyecto se utilizó Unity3D donde el lenguaje de programación empleado fue C# para codificar la parte de diseño, en general lo que se programó fueron los botones que dirigen al usuario a cada escena de la aplicación. </w:t>
      </w:r>
    </w:p>
    <w:p>
      <w:pPr>
        <w:pStyle w:val="Normal"/>
        <w:spacing w:lineRule="auto" w:line="240" w:before="0" w:after="0"/>
        <w:jc w:val="both"/>
        <w:rPr>
          <w:rFonts w:ascii="Times New Roman" w:hAnsi="Times New Roman" w:eastAsia="Times New Roman" w:cs="Times New Roman"/>
          <w:color w:val="000000" w:themeColor="text1"/>
          <w:sz w:val="20"/>
          <w:szCs w:val="20"/>
        </w:rPr>
      </w:pPr>
      <w:r>
        <w:rPr>
          <w:rFonts w:eastAsia="Times New Roman" w:cs="Times New Roman" w:ascii="Times New Roman" w:hAnsi="Times New Roman"/>
          <w:color w:val="000000" w:themeColor="text1"/>
          <w:sz w:val="20"/>
          <w:szCs w:val="20"/>
        </w:rPr>
      </w:r>
    </w:p>
    <w:p>
      <w:pPr>
        <w:pStyle w:val="Normal"/>
        <w:spacing w:lineRule="auto" w:line="240" w:before="0" w:after="0"/>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E. </w:t>
      </w:r>
      <w:r>
        <w:rPr>
          <w:rFonts w:eastAsia="Times New Roman" w:cs="Times New Roman" w:ascii="Times New Roman" w:hAnsi="Times New Roman"/>
          <w:b w:val="false"/>
          <w:bCs w:val="false"/>
          <w:i/>
          <w:iCs/>
          <w:sz w:val="20"/>
          <w:szCs w:val="20"/>
        </w:rPr>
        <w:t>Prueba</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Con los códigos obtenidos se procedió a realizar pruebas del programa, específicamente en el manejo interno del software y sus actividades extremas. Se buscó de esta manera establecer que los datos ingresados generan los resultados esperados.</w:t>
      </w:r>
    </w:p>
    <w:p>
      <w:pPr>
        <w:pStyle w:val="Normal"/>
        <w:spacing w:lineRule="auto" w:line="240" w:before="0" w:after="0"/>
        <w:ind w:firstLine="72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F. </w:t>
      </w:r>
      <w:r>
        <w:rPr>
          <w:rFonts w:eastAsia="Times New Roman" w:cs="Times New Roman" w:ascii="Times New Roman" w:hAnsi="Times New Roman"/>
          <w:b w:val="false"/>
          <w:bCs w:val="false"/>
          <w:i/>
          <w:iCs/>
          <w:sz w:val="20"/>
          <w:szCs w:val="20"/>
        </w:rPr>
        <w:t>Mantenimiento</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Esta etapa implica posibles cambios en caso de errores, o bien adaptaciones del software para enfrentar el entorno, también se pueden dar ajustes según los requerimientos del cliente. Para la aplicación se corrigieron errores en el programa que se observaron en la etapa de prueba y se tomaron en cuenta las consideraciones para su optimización</w:t>
      </w:r>
    </w:p>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b/>
          <w:sz w:val="20"/>
          <w:szCs w:val="20"/>
        </w:rPr>
        <w:t xml:space="preserve">III. </w:t>
      </w:r>
      <w:r>
        <w:rPr>
          <w:rFonts w:eastAsia="Times New Roman" w:cs="Times New Roman" w:ascii="Times New Roman" w:hAnsi="Times New Roman"/>
          <w:b/>
          <w:sz w:val="20"/>
          <w:szCs w:val="20"/>
        </w:rPr>
        <w:t>RESULTADOS</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A continuación, se muestran en la Figura 5, algunas imágenes de la aplicación en uso.</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0">
            <wp:extent cx="504825" cy="483870"/>
            <wp:effectExtent l="0" t="0" r="0" b="0"/>
            <wp:docPr id="8"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
                    <pic:cNvPicPr>
                      <a:picLocks noChangeAspect="1" noChangeArrowheads="1"/>
                    </pic:cNvPicPr>
                  </pic:nvPicPr>
                  <pic:blipFill>
                    <a:blip r:embed="rId14"/>
                    <a:srcRect l="0" t="14812" r="0" b="38602"/>
                    <a:stretch>
                      <a:fillRect/>
                    </a:stretch>
                  </pic:blipFill>
                  <pic:spPr bwMode="auto">
                    <a:xfrm>
                      <a:off x="0" y="0"/>
                      <a:ext cx="504825" cy="483870"/>
                    </a:xfrm>
                    <a:prstGeom prst="rect">
                      <a:avLst/>
                    </a:prstGeom>
                  </pic:spPr>
                </pic:pic>
              </a:graphicData>
            </a:graphic>
          </wp:inline>
        </w:drawing>
      </w:r>
      <w:r>
        <w:rPr>
          <w:rFonts w:ascii="Times New Roman" w:hAnsi="Times New Roman"/>
          <w:sz w:val="20"/>
          <w:szCs w:val="20"/>
        </w:rPr>
        <w:drawing>
          <wp:inline distT="0" distB="0" distL="0" distR="0">
            <wp:extent cx="453390" cy="487680"/>
            <wp:effectExtent l="0" t="0" r="0" b="0"/>
            <wp:docPr id="9" name="Imagen 8"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de la pantalla de un celular con letras&#10;&#10;Descripción generada automáticamente con confianza baja"/>
                    <pic:cNvPicPr>
                      <a:picLocks noChangeAspect="1" noChangeArrowheads="1"/>
                    </pic:cNvPicPr>
                  </pic:nvPicPr>
                  <pic:blipFill>
                    <a:blip r:embed="rId15"/>
                    <a:srcRect l="15922" t="24635" r="16741" b="40127"/>
                    <a:stretch>
                      <a:fillRect/>
                    </a:stretch>
                  </pic:blipFill>
                  <pic:spPr bwMode="auto">
                    <a:xfrm>
                      <a:off x="0" y="0"/>
                      <a:ext cx="453390" cy="487680"/>
                    </a:xfrm>
                    <a:prstGeom prst="rect">
                      <a:avLst/>
                    </a:prstGeom>
                  </pic:spPr>
                </pic:pic>
              </a:graphicData>
            </a:graphic>
          </wp:inline>
        </w:drawing>
      </w:r>
      <w:r>
        <w:rPr>
          <w:rFonts w:ascii="Times New Roman" w:hAnsi="Times New Roman"/>
          <w:sz w:val="20"/>
          <w:szCs w:val="20"/>
        </w:rPr>
        <w:drawing>
          <wp:inline distT="0" distB="0" distL="0" distR="0">
            <wp:extent cx="345440" cy="547370"/>
            <wp:effectExtent l="0" t="0" r="0" b="0"/>
            <wp:docPr id="10" name="Imagen 9" descr="Imagen que contiene pequeño, hecho, tabl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Imagen que contiene pequeño, hecho, tabla, azul&#10;&#10;Descripción generada automáticamente"/>
                    <pic:cNvPicPr>
                      <a:picLocks noChangeAspect="1" noChangeArrowheads="1"/>
                    </pic:cNvPicPr>
                  </pic:nvPicPr>
                  <pic:blipFill>
                    <a:blip r:embed="rId16"/>
                    <a:srcRect l="0" t="0" r="0" b="22863"/>
                    <a:stretch>
                      <a:fillRect/>
                    </a:stretch>
                  </pic:blipFill>
                  <pic:spPr bwMode="auto">
                    <a:xfrm>
                      <a:off x="0" y="0"/>
                      <a:ext cx="345440" cy="547370"/>
                    </a:xfrm>
                    <a:prstGeom prst="rect">
                      <a:avLst/>
                    </a:prstGeom>
                  </pic:spPr>
                </pic:pic>
              </a:graphicData>
            </a:graphic>
          </wp:inline>
        </w:drawing>
      </w:r>
      <w:r>
        <w:rPr>
          <w:rFonts w:ascii="Times New Roman" w:hAnsi="Times New Roman"/>
          <w:sz w:val="20"/>
          <w:szCs w:val="20"/>
        </w:rPr>
        <w:drawing>
          <wp:inline distT="0" distB="0" distL="0" distR="0">
            <wp:extent cx="442595" cy="518795"/>
            <wp:effectExtent l="0" t="0" r="0" b="0"/>
            <wp:docPr id="11" name="Imagen 10" descr="Imagen que contiene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Imagen que contiene tarjeta de presentación&#10;&#10;Descripción generada automáticamente"/>
                    <pic:cNvPicPr>
                      <a:picLocks noChangeAspect="1" noChangeArrowheads="1"/>
                    </pic:cNvPicPr>
                  </pic:nvPicPr>
                  <pic:blipFill>
                    <a:blip r:embed="rId17"/>
                    <a:srcRect l="19443" t="12918" r="8966" b="46263"/>
                    <a:stretch>
                      <a:fillRect/>
                    </a:stretch>
                  </pic:blipFill>
                  <pic:spPr bwMode="auto">
                    <a:xfrm>
                      <a:off x="0" y="0"/>
                      <a:ext cx="442595" cy="518795"/>
                    </a:xfrm>
                    <a:prstGeom prst="rect">
                      <a:avLst/>
                    </a:prstGeom>
                  </pic:spPr>
                </pic:pic>
              </a:graphicData>
            </a:graphic>
          </wp:inline>
        </w:drawing>
      </w:r>
      <w:r>
        <w:rPr>
          <w:rFonts w:ascii="Times New Roman" w:hAnsi="Times New Roman"/>
          <w:sz w:val="20"/>
          <w:szCs w:val="20"/>
        </w:rPr>
        <w:drawing>
          <wp:inline distT="0" distB="0" distL="0" distR="0">
            <wp:extent cx="493395" cy="461645"/>
            <wp:effectExtent l="0" t="0" r="0" b="0"/>
            <wp:docPr id="12"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descr="Interfaz de usuario gráfica, Aplicación&#10;&#10;Descripción generada automáticamente"/>
                    <pic:cNvPicPr>
                      <a:picLocks noChangeAspect="1" noChangeArrowheads="1"/>
                    </pic:cNvPicPr>
                  </pic:nvPicPr>
                  <pic:blipFill>
                    <a:blip r:embed="rId18"/>
                    <a:srcRect l="0" t="10613" r="11800" b="49259"/>
                    <a:stretch>
                      <a:fillRect/>
                    </a:stretch>
                  </pic:blipFill>
                  <pic:spPr bwMode="auto">
                    <a:xfrm>
                      <a:off x="0" y="0"/>
                      <a:ext cx="493395" cy="461645"/>
                    </a:xfrm>
                    <a:prstGeom prst="rect">
                      <a:avLst/>
                    </a:prstGeom>
                  </pic:spPr>
                </pic:pic>
              </a:graphicData>
            </a:graphic>
          </wp:inline>
        </w:drawing>
      </w:r>
      <w:r>
        <w:rPr>
          <w:rFonts w:ascii="Times New Roman" w:hAnsi="Times New Roman"/>
          <w:sz w:val="20"/>
          <w:szCs w:val="20"/>
        </w:rPr>
        <w:drawing>
          <wp:inline distT="0" distB="0" distL="0" distR="0">
            <wp:extent cx="478790" cy="461645"/>
            <wp:effectExtent l="0" t="0" r="0" b="0"/>
            <wp:docPr id="13" name="Imagen 12" descr="Interfaz de usuario gráfica,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descr="Interfaz de usuario gráfica, Aplicación, Chat o mensaje de texto&#10;&#10;Descripción generada automáticamente"/>
                    <pic:cNvPicPr>
                      <a:picLocks noChangeAspect="1" noChangeArrowheads="1"/>
                    </pic:cNvPicPr>
                  </pic:nvPicPr>
                  <pic:blipFill>
                    <a:blip r:embed="rId19"/>
                    <a:srcRect l="0" t="12455" r="5641" b="43260"/>
                    <a:stretch>
                      <a:fillRect/>
                    </a:stretch>
                  </pic:blipFill>
                  <pic:spPr bwMode="auto">
                    <a:xfrm>
                      <a:off x="0" y="0"/>
                      <a:ext cx="478790" cy="461645"/>
                    </a:xfrm>
                    <a:prstGeom prst="rect">
                      <a:avLst/>
                    </a:prstGeom>
                  </pic:spPr>
                </pic:pic>
              </a:graphicData>
            </a:graphic>
          </wp:inline>
        </w:drawing>
      </w:r>
      <w:r>
        <w:rPr>
          <w:rFonts w:ascii="Times New Roman" w:hAnsi="Times New Roman"/>
          <w:sz w:val="20"/>
          <w:szCs w:val="20"/>
        </w:rPr>
        <w:drawing>
          <wp:inline distT="0" distB="0" distL="0" distR="0">
            <wp:extent cx="444500" cy="356235"/>
            <wp:effectExtent l="0" t="0" r="0" b="0"/>
            <wp:docPr id="14"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
                    <pic:cNvPicPr>
                      <a:picLocks noChangeAspect="1" noChangeArrowheads="1"/>
                    </pic:cNvPicPr>
                  </pic:nvPicPr>
                  <pic:blipFill>
                    <a:blip r:embed="rId20"/>
                    <a:srcRect l="0" t="12897" r="0" b="36088"/>
                    <a:stretch>
                      <a:fillRect/>
                    </a:stretch>
                  </pic:blipFill>
                  <pic:spPr bwMode="auto">
                    <a:xfrm>
                      <a:off x="0" y="0"/>
                      <a:ext cx="444500" cy="356235"/>
                    </a:xfrm>
                    <a:prstGeom prst="rect">
                      <a:avLst/>
                    </a:prstGeom>
                  </pic:spPr>
                </pic:pic>
              </a:graphicData>
            </a:graphic>
          </wp:inline>
        </w:drawing>
      </w:r>
      <w:r>
        <w:rPr>
          <w:rFonts w:ascii="Times New Roman" w:hAnsi="Times New Roman"/>
          <w:sz w:val="20"/>
          <w:szCs w:val="20"/>
        </w:rPr>
        <w:drawing>
          <wp:inline distT="0" distB="0" distL="0" distR="0">
            <wp:extent cx="613410" cy="426085"/>
            <wp:effectExtent l="0" t="0" r="0" b="0"/>
            <wp:docPr id="15" name="Imagen 14"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Imagen de la pantalla de un celular con letras&#10;&#10;Descripción generada automáticamente con confianza baja"/>
                    <pic:cNvPicPr>
                      <a:picLocks noChangeAspect="1" noChangeArrowheads="1"/>
                    </pic:cNvPicPr>
                  </pic:nvPicPr>
                  <pic:blipFill>
                    <a:blip r:embed="rId21"/>
                    <a:srcRect l="0" t="14764" r="5158" b="53182"/>
                    <a:stretch>
                      <a:fillRect/>
                    </a:stretch>
                  </pic:blipFill>
                  <pic:spPr bwMode="auto">
                    <a:xfrm>
                      <a:off x="0" y="0"/>
                      <a:ext cx="613410" cy="426085"/>
                    </a:xfrm>
                    <a:prstGeom prst="rect">
                      <a:avLst/>
                    </a:prstGeom>
                  </pic:spPr>
                </pic:pic>
              </a:graphicData>
            </a:graphic>
          </wp:inline>
        </w:drawing>
      </w:r>
      <w:r>
        <w:rPr>
          <w:rFonts w:ascii="Times New Roman" w:hAnsi="Times New Roman"/>
          <w:sz w:val="20"/>
          <w:szCs w:val="20"/>
        </w:rPr>
        <w:drawing>
          <wp:inline distT="0" distB="0" distL="0" distR="0">
            <wp:extent cx="340995" cy="438150"/>
            <wp:effectExtent l="0" t="0" r="0" b="0"/>
            <wp:docPr id="16"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
                    <pic:cNvPicPr>
                      <a:picLocks noChangeAspect="1" noChangeArrowheads="1"/>
                    </pic:cNvPicPr>
                  </pic:nvPicPr>
                  <pic:blipFill>
                    <a:blip r:embed="rId22"/>
                    <a:srcRect l="17026" t="10601" r="0" b="37492"/>
                    <a:stretch>
                      <a:fillRect/>
                    </a:stretch>
                  </pic:blipFill>
                  <pic:spPr bwMode="auto">
                    <a:xfrm>
                      <a:off x="0" y="0"/>
                      <a:ext cx="340995" cy="438150"/>
                    </a:xfrm>
                    <a:prstGeom prst="rect">
                      <a:avLst/>
                    </a:prstGeom>
                  </pic:spPr>
                </pic:pic>
              </a:graphicData>
            </a:graphic>
          </wp:inline>
        </w:drawing>
      </w:r>
      <w:r>
        <w:rPr>
          <w:rFonts w:ascii="Times New Roman" w:hAnsi="Times New Roman"/>
          <w:sz w:val="20"/>
          <w:szCs w:val="20"/>
        </w:rPr>
        <w:drawing>
          <wp:inline distT="0" distB="0" distL="0" distR="0">
            <wp:extent cx="412115" cy="390525"/>
            <wp:effectExtent l="0" t="0" r="0" b="0"/>
            <wp:docPr id="17" name="Imagen 16" descr="Imagen que contiene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Imagen que contiene tarjeta de presentación&#10;&#10;Descripción generada automáticamente"/>
                    <pic:cNvPicPr>
                      <a:picLocks noChangeAspect="1" noChangeArrowheads="1"/>
                    </pic:cNvPicPr>
                  </pic:nvPicPr>
                  <pic:blipFill>
                    <a:blip r:embed="rId23"/>
                    <a:srcRect l="7594" t="21914" r="10379" b="40264"/>
                    <a:stretch>
                      <a:fillRect/>
                    </a:stretch>
                  </pic:blipFill>
                  <pic:spPr bwMode="auto">
                    <a:xfrm>
                      <a:off x="0" y="0"/>
                      <a:ext cx="412115" cy="390525"/>
                    </a:xfrm>
                    <a:prstGeom prst="rect">
                      <a:avLst/>
                    </a:prstGeom>
                  </pic:spPr>
                </pic:pic>
              </a:graphicData>
            </a:graphic>
          </wp:inline>
        </w:drawing>
      </w:r>
      <w:r>
        <w:rPr>
          <w:rFonts w:ascii="Times New Roman" w:hAnsi="Times New Roman"/>
          <w:sz w:val="20"/>
          <w:szCs w:val="20"/>
        </w:rPr>
        <w:drawing>
          <wp:inline distT="0" distB="0" distL="0" distR="0">
            <wp:extent cx="487680" cy="419100"/>
            <wp:effectExtent l="0" t="0" r="0" b="0"/>
            <wp:docPr id="18"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descr=""/>
                    <pic:cNvPicPr>
                      <a:picLocks noChangeAspect="1" noChangeArrowheads="1"/>
                    </pic:cNvPicPr>
                  </pic:nvPicPr>
                  <pic:blipFill>
                    <a:blip r:embed="rId24"/>
                    <a:srcRect l="5690" t="17995" r="0" b="42569"/>
                    <a:stretch>
                      <a:fillRect/>
                    </a:stretch>
                  </pic:blipFill>
                  <pic:spPr bwMode="auto">
                    <a:xfrm>
                      <a:off x="0" y="0"/>
                      <a:ext cx="487680" cy="419100"/>
                    </a:xfrm>
                    <a:prstGeom prst="rect">
                      <a:avLst/>
                    </a:prstGeom>
                  </pic:spPr>
                </pic:pic>
              </a:graphicData>
            </a:graphic>
          </wp:inline>
        </w:drawing>
      </w:r>
      <w:r>
        <w:rPr>
          <w:rFonts w:ascii="Times New Roman" w:hAnsi="Times New Roman"/>
          <w:sz w:val="20"/>
          <w:szCs w:val="20"/>
        </w:rPr>
        <w:drawing>
          <wp:inline distT="0" distB="0" distL="0" distR="0">
            <wp:extent cx="549275" cy="483235"/>
            <wp:effectExtent l="0" t="0" r="0" b="0"/>
            <wp:docPr id="19" name="Imagen 18"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descr="Un conjunto de letras blancas en un fondo blanco&#10;&#10;Descripción generada automáticamente con confianza baja"/>
                    <pic:cNvPicPr>
                      <a:picLocks noChangeAspect="1" noChangeArrowheads="1"/>
                    </pic:cNvPicPr>
                  </pic:nvPicPr>
                  <pic:blipFill>
                    <a:blip r:embed="rId25"/>
                    <a:srcRect l="4738" t="24686" r="4689" b="36569"/>
                    <a:stretch>
                      <a:fillRect/>
                    </a:stretch>
                  </pic:blipFill>
                  <pic:spPr bwMode="auto">
                    <a:xfrm>
                      <a:off x="0" y="0"/>
                      <a:ext cx="549275" cy="483235"/>
                    </a:xfrm>
                    <a:prstGeom prst="rect">
                      <a:avLst/>
                    </a:prstGeom>
                  </pic:spPr>
                </pic:pic>
              </a:graphicData>
            </a:graphic>
          </wp:inline>
        </w:drawing>
      </w:r>
      <w:r>
        <w:rPr>
          <w:rFonts w:ascii="Times New Roman" w:hAnsi="Times New Roman"/>
          <w:sz w:val="20"/>
          <w:szCs w:val="20"/>
        </w:rPr>
        <w:drawing>
          <wp:inline distT="0" distB="0" distL="0" distR="0">
            <wp:extent cx="484505" cy="549910"/>
            <wp:effectExtent l="0" t="0" r="0" b="0"/>
            <wp:docPr id="20" name="Imagen 20" descr="Imagen que contiene tarjeta de presentació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tarjeta de presentación, texto&#10;&#10;Descripción generada automáticamente"/>
                    <pic:cNvPicPr>
                      <a:picLocks noChangeAspect="1" noChangeArrowheads="1"/>
                    </pic:cNvPicPr>
                  </pic:nvPicPr>
                  <pic:blipFill>
                    <a:blip r:embed="rId26"/>
                    <a:srcRect l="-1904" t="20300" r="3268" b="25268"/>
                    <a:stretch>
                      <a:fillRect/>
                    </a:stretch>
                  </pic:blipFill>
                  <pic:spPr bwMode="auto">
                    <a:xfrm>
                      <a:off x="0" y="0"/>
                      <a:ext cx="484505" cy="549910"/>
                    </a:xfrm>
                    <a:prstGeom prst="rect">
                      <a:avLst/>
                    </a:prstGeom>
                  </pic:spPr>
                </pic:pic>
              </a:graphicData>
            </a:graphic>
          </wp:inline>
        </w:drawing>
      </w:r>
      <w:r>
        <w:rPr>
          <w:rFonts w:ascii="Times New Roman" w:hAnsi="Times New Roman"/>
          <w:sz w:val="20"/>
          <w:szCs w:val="20"/>
        </w:rPr>
        <w:drawing>
          <wp:inline distT="0" distB="0" distL="0" distR="0">
            <wp:extent cx="495300" cy="574040"/>
            <wp:effectExtent l="0" t="0" r="0" b="0"/>
            <wp:docPr id="21" name="Imagen 21" descr="Imagen que contiene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tarjeta de presentación&#10;&#10;Descripción generada automáticamente"/>
                    <pic:cNvPicPr>
                      <a:picLocks noChangeAspect="1" noChangeArrowheads="1"/>
                    </pic:cNvPicPr>
                  </pic:nvPicPr>
                  <pic:blipFill>
                    <a:blip r:embed="rId27"/>
                    <a:srcRect l="483" t="23069" r="1372" b="21581"/>
                    <a:stretch>
                      <a:fillRect/>
                    </a:stretch>
                  </pic:blipFill>
                  <pic:spPr bwMode="auto">
                    <a:xfrm>
                      <a:off x="0" y="0"/>
                      <a:ext cx="495300" cy="574040"/>
                    </a:xfrm>
                    <a:prstGeom prst="rect">
                      <a:avLst/>
                    </a:prstGeom>
                  </pic:spPr>
                </pic:pic>
              </a:graphicData>
            </a:graphic>
          </wp:inline>
        </w:drawing>
      </w:r>
      <w:r>
        <w:rPr>
          <w:rFonts w:ascii="Times New Roman" w:hAnsi="Times New Roman"/>
          <w:sz w:val="20"/>
          <w:szCs w:val="20"/>
        </w:rPr>
        <w:drawing>
          <wp:inline distT="0" distB="0" distL="0" distR="0">
            <wp:extent cx="548005" cy="534670"/>
            <wp:effectExtent l="0" t="0" r="0" b="0"/>
            <wp:docPr id="22"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
                    <pic:cNvPicPr>
                      <a:picLocks noChangeAspect="1" noChangeArrowheads="1"/>
                    </pic:cNvPicPr>
                  </pic:nvPicPr>
                  <pic:blipFill>
                    <a:blip r:embed="rId28"/>
                    <a:srcRect l="0" t="12690" r="1372" b="40492"/>
                    <a:stretch>
                      <a:fillRect/>
                    </a:stretch>
                  </pic:blipFill>
                  <pic:spPr bwMode="auto">
                    <a:xfrm>
                      <a:off x="0" y="0"/>
                      <a:ext cx="548005" cy="534670"/>
                    </a:xfrm>
                    <a:prstGeom prst="rect">
                      <a:avLst/>
                    </a:prstGeom>
                  </pic:spPr>
                </pic:pic>
              </a:graphicData>
            </a:graphic>
          </wp:inline>
        </w:drawing>
      </w:r>
      <w:r>
        <w:rPr>
          <w:rFonts w:ascii="Times New Roman" w:hAnsi="Times New Roman"/>
          <w:sz w:val="20"/>
          <w:szCs w:val="20"/>
        </w:rPr>
        <w:drawing>
          <wp:inline distT="0" distB="0" distL="0" distR="0">
            <wp:extent cx="521335" cy="509270"/>
            <wp:effectExtent l="0" t="0" r="0" b="0"/>
            <wp:docPr id="23" name="Imagen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5" descr=""/>
                    <pic:cNvPicPr>
                      <a:picLocks noChangeAspect="1" noChangeArrowheads="1"/>
                    </pic:cNvPicPr>
                  </pic:nvPicPr>
                  <pic:blipFill>
                    <a:blip r:embed="rId29"/>
                    <a:srcRect l="-483" t="18455" r="0" b="33801"/>
                    <a:stretch>
                      <a:fillRect/>
                    </a:stretch>
                  </pic:blipFill>
                  <pic:spPr bwMode="auto">
                    <a:xfrm>
                      <a:off x="0" y="0"/>
                      <a:ext cx="521335" cy="509270"/>
                    </a:xfrm>
                    <a:prstGeom prst="rect">
                      <a:avLst/>
                    </a:prstGeom>
                  </pic:spPr>
                </pic:pic>
              </a:graphicData>
            </a:graphic>
          </wp:inline>
        </w:drawing>
      </w:r>
      <w:r>
        <w:rPr>
          <w:rFonts w:ascii="Times New Roman" w:hAnsi="Times New Roman"/>
          <w:sz w:val="20"/>
          <w:szCs w:val="20"/>
        </w:rPr>
        <w:drawing>
          <wp:inline distT="0" distB="0" distL="0" distR="0">
            <wp:extent cx="483235" cy="565785"/>
            <wp:effectExtent l="0" t="0" r="0" b="0"/>
            <wp:docPr id="24"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6" descr=""/>
                    <pic:cNvPicPr>
                      <a:picLocks noChangeAspect="1" noChangeArrowheads="1"/>
                    </pic:cNvPicPr>
                  </pic:nvPicPr>
                  <pic:blipFill>
                    <a:blip r:embed="rId30"/>
                    <a:srcRect l="-483" t="6691" r="6110" b="39572"/>
                    <a:stretch>
                      <a:fillRect/>
                    </a:stretch>
                  </pic:blipFill>
                  <pic:spPr bwMode="auto">
                    <a:xfrm>
                      <a:off x="0" y="0"/>
                      <a:ext cx="483235" cy="565785"/>
                    </a:xfrm>
                    <a:prstGeom prst="rect">
                      <a:avLst/>
                    </a:prstGeom>
                  </pic:spPr>
                </pic:pic>
              </a:graphicData>
            </a:graphic>
          </wp:inline>
        </w:drawing>
      </w:r>
      <w:r>
        <w:rPr>
          <w:rFonts w:ascii="Times New Roman" w:hAnsi="Times New Roman"/>
          <w:sz w:val="20"/>
          <w:szCs w:val="20"/>
        </w:rPr>
        <w:drawing>
          <wp:inline distT="0" distB="0" distL="0" distR="0">
            <wp:extent cx="577215" cy="547370"/>
            <wp:effectExtent l="0" t="0" r="0" b="0"/>
            <wp:docPr id="25" name="Imagen 27" descr="Imagen que contiene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7" descr="Imagen que contiene tarjeta de presentación&#10;&#10;Descripción generada automáticamente"/>
                    <pic:cNvPicPr>
                      <a:picLocks noChangeAspect="1" noChangeArrowheads="1"/>
                    </pic:cNvPicPr>
                  </pic:nvPicPr>
                  <pic:blipFill>
                    <a:blip r:embed="rId31"/>
                    <a:srcRect l="0" t="19146" r="0" b="34727"/>
                    <a:stretch>
                      <a:fillRect/>
                    </a:stretch>
                  </pic:blipFill>
                  <pic:spPr bwMode="auto">
                    <a:xfrm>
                      <a:off x="0" y="0"/>
                      <a:ext cx="577215" cy="547370"/>
                    </a:xfrm>
                    <a:prstGeom prst="rect">
                      <a:avLst/>
                    </a:prstGeom>
                  </pic:spPr>
                </pic:pic>
              </a:graphicData>
            </a:graphic>
          </wp:inline>
        </w:drawing>
      </w:r>
      <w:r>
        <w:rPr>
          <w:rFonts w:ascii="Times New Roman" w:hAnsi="Times New Roman"/>
          <w:sz w:val="20"/>
          <w:szCs w:val="20"/>
        </w:rPr>
        <w:drawing>
          <wp:inline distT="0" distB="0" distL="0" distR="0">
            <wp:extent cx="549910" cy="518795"/>
            <wp:effectExtent l="0" t="0" r="0" b="0"/>
            <wp:docPr id="26" name="Imagen 30"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30" descr="Imagen de la pantalla de un celular con letras&#10;&#10;Descripción generada automáticamente con confianza baja"/>
                    <pic:cNvPicPr>
                      <a:picLocks noChangeAspect="1" noChangeArrowheads="1"/>
                    </pic:cNvPicPr>
                  </pic:nvPicPr>
                  <pic:blipFill>
                    <a:blip r:embed="rId32"/>
                    <a:srcRect l="0" t="24914" r="0" b="29191"/>
                    <a:stretch>
                      <a:fillRect/>
                    </a:stretch>
                  </pic:blipFill>
                  <pic:spPr bwMode="auto">
                    <a:xfrm>
                      <a:off x="0" y="0"/>
                      <a:ext cx="549910" cy="518795"/>
                    </a:xfrm>
                    <a:prstGeom prst="rect">
                      <a:avLst/>
                    </a:prstGeom>
                  </pic:spPr>
                </pic:pic>
              </a:graphicData>
            </a:graphic>
          </wp:inline>
        </w:drawing>
      </w:r>
      <w:r>
        <w:rPr>
          <w:rFonts w:ascii="Times New Roman" w:hAnsi="Times New Roman"/>
          <w:sz w:val="20"/>
          <w:szCs w:val="20"/>
        </w:rPr>
        <w:drawing>
          <wp:inline distT="0" distB="0" distL="0" distR="0">
            <wp:extent cx="654050" cy="549275"/>
            <wp:effectExtent l="0" t="0" r="0" b="0"/>
            <wp:docPr id="27" name="Imagen 31" descr="Imagen que contiene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31" descr="Imagen que contiene tarjeta de presentación&#10;&#10;Descripción generada automáticamente"/>
                    <pic:cNvPicPr>
                      <a:picLocks noChangeAspect="1" noChangeArrowheads="1"/>
                    </pic:cNvPicPr>
                  </pic:nvPicPr>
                  <pic:blipFill>
                    <a:blip r:embed="rId33"/>
                    <a:srcRect l="0" t="20535" r="0" b="38650"/>
                    <a:stretch>
                      <a:fillRect/>
                    </a:stretch>
                  </pic:blipFill>
                  <pic:spPr bwMode="auto">
                    <a:xfrm>
                      <a:off x="0" y="0"/>
                      <a:ext cx="654050" cy="549275"/>
                    </a:xfrm>
                    <a:prstGeom prst="rect">
                      <a:avLst/>
                    </a:prstGeom>
                  </pic:spPr>
                </pic:pic>
              </a:graphicData>
            </a:graphic>
          </wp:inline>
        </w:drawing>
      </w:r>
      <w:r>
        <w:rPr>
          <w:rFonts w:ascii="Times New Roman" w:hAnsi="Times New Roman"/>
          <w:sz w:val="20"/>
          <w:szCs w:val="20"/>
        </w:rPr>
        <w:drawing>
          <wp:inline distT="0" distB="0" distL="0" distR="0">
            <wp:extent cx="565150" cy="542290"/>
            <wp:effectExtent l="0" t="0" r="0" b="0"/>
            <wp:docPr id="28" name="Imagen 32" descr="Imagen que contiene tarjeta de presentació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2" descr="Imagen que contiene tarjeta de presentación, texto&#10;&#10;Descripción generada automáticamente"/>
                    <pic:cNvPicPr>
                      <a:picLocks noChangeAspect="1" noChangeArrowheads="1"/>
                    </pic:cNvPicPr>
                  </pic:nvPicPr>
                  <pic:blipFill>
                    <a:blip r:embed="rId34"/>
                    <a:srcRect l="0" t="14073" r="7174" b="42569"/>
                    <a:stretch>
                      <a:fillRect/>
                    </a:stretch>
                  </pic:blipFill>
                  <pic:spPr bwMode="auto">
                    <a:xfrm>
                      <a:off x="0" y="0"/>
                      <a:ext cx="565150" cy="542290"/>
                    </a:xfrm>
                    <a:prstGeom prst="rect">
                      <a:avLst/>
                    </a:prstGeom>
                  </pic:spPr>
                </pic:pic>
              </a:graphicData>
            </a:graphic>
          </wp:inline>
        </w:drawing>
      </w:r>
      <w:r>
        <w:rPr>
          <w:rFonts w:ascii="Times New Roman" w:hAnsi="Times New Roman"/>
          <w:sz w:val="20"/>
          <w:szCs w:val="20"/>
        </w:rPr>
        <w:drawing>
          <wp:inline distT="0" distB="0" distL="0" distR="0">
            <wp:extent cx="525780" cy="488950"/>
            <wp:effectExtent l="0" t="0" r="0" b="0"/>
            <wp:docPr id="29" name="Imagen 33" descr="Imagen que contiene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33" descr="Imagen que contiene tarjeta de presentación&#10;&#10;Descripción generada automáticamente"/>
                    <pic:cNvPicPr>
                      <a:picLocks noChangeAspect="1" noChangeArrowheads="1"/>
                    </pic:cNvPicPr>
                  </pic:nvPicPr>
                  <pic:blipFill>
                    <a:blip r:embed="rId35"/>
                    <a:srcRect l="0" t="19837" r="0" b="34962"/>
                    <a:stretch>
                      <a:fillRect/>
                    </a:stretch>
                  </pic:blipFill>
                  <pic:spPr bwMode="auto">
                    <a:xfrm>
                      <a:off x="0" y="0"/>
                      <a:ext cx="525780" cy="488950"/>
                    </a:xfrm>
                    <a:prstGeom prst="rect">
                      <a:avLst/>
                    </a:prstGeom>
                  </pic:spPr>
                </pic:pic>
              </a:graphicData>
            </a:graphic>
          </wp:inline>
        </w:drawing>
      </w:r>
      <w:r>
        <w:rPr>
          <w:rFonts w:ascii="Times New Roman" w:hAnsi="Times New Roman"/>
          <w:sz w:val="20"/>
          <w:szCs w:val="20"/>
        </w:rPr>
        <w:drawing>
          <wp:inline distT="0" distB="0" distL="0" distR="0">
            <wp:extent cx="632460" cy="530860"/>
            <wp:effectExtent l="0" t="0" r="0" b="0"/>
            <wp:docPr id="30" name="Imagen 3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4" descr="Imagen que contiene Gráfico&#10;&#10;Descripción generada automáticamente"/>
                    <pic:cNvPicPr>
                      <a:picLocks noChangeAspect="1" noChangeArrowheads="1"/>
                    </pic:cNvPicPr>
                  </pic:nvPicPr>
                  <pic:blipFill>
                    <a:blip r:embed="rId36"/>
                    <a:srcRect l="0" t="20300" r="0" b="38878"/>
                    <a:stretch>
                      <a:fillRect/>
                    </a:stretch>
                  </pic:blipFill>
                  <pic:spPr bwMode="auto">
                    <a:xfrm>
                      <a:off x="0" y="0"/>
                      <a:ext cx="632460" cy="530860"/>
                    </a:xfrm>
                    <a:prstGeom prst="rect">
                      <a:avLst/>
                    </a:prstGeom>
                  </pic:spPr>
                </pic:pic>
              </a:graphicData>
            </a:graphic>
          </wp:inline>
        </w:drawing>
      </w:r>
      <w:r>
        <w:rPr>
          <w:rFonts w:ascii="Times New Roman" w:hAnsi="Times New Roman"/>
          <w:sz w:val="20"/>
          <w:szCs w:val="20"/>
        </w:rPr>
        <w:drawing>
          <wp:inline distT="0" distB="0" distL="0" distR="0">
            <wp:extent cx="517525" cy="473710"/>
            <wp:effectExtent l="0" t="0" r="0" b="0"/>
            <wp:docPr id="31" name="Imagen 35" descr="Imagen que contiene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5" descr="Imagen que contiene tarjeta de presentación&#10;&#10;Descripción generada automáticamente"/>
                    <pic:cNvPicPr>
                      <a:picLocks noChangeAspect="1" noChangeArrowheads="1"/>
                    </pic:cNvPicPr>
                  </pic:nvPicPr>
                  <pic:blipFill>
                    <a:blip r:embed="rId37"/>
                    <a:srcRect l="0" t="19609" r="0" b="35878"/>
                    <a:stretch>
                      <a:fillRect/>
                    </a:stretch>
                  </pic:blipFill>
                  <pic:spPr bwMode="auto">
                    <a:xfrm>
                      <a:off x="0" y="0"/>
                      <a:ext cx="517525" cy="473710"/>
                    </a:xfrm>
                    <a:prstGeom prst="rect">
                      <a:avLst/>
                    </a:prstGeom>
                  </pic:spPr>
                </pic:pic>
              </a:graphicData>
            </a:graphic>
          </wp:inline>
        </w:drawing>
      </w:r>
      <w:r>
        <w:rPr>
          <w:rFonts w:ascii="Times New Roman" w:hAnsi="Times New Roman"/>
          <w:sz w:val="20"/>
          <w:szCs w:val="20"/>
        </w:rPr>
        <w:drawing>
          <wp:inline distT="0" distB="0" distL="0" distR="0">
            <wp:extent cx="495935" cy="523875"/>
            <wp:effectExtent l="0" t="0" r="0" b="0"/>
            <wp:docPr id="32" name="Imagen 36" descr="Imagen que contiene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6" descr="Imagen que contiene tarjeta de presentación&#10;&#10;Descripción generada automáticamente"/>
                    <pic:cNvPicPr>
                      <a:picLocks noChangeAspect="1" noChangeArrowheads="1"/>
                    </pic:cNvPicPr>
                  </pic:nvPicPr>
                  <pic:blipFill>
                    <a:blip r:embed="rId38"/>
                    <a:srcRect l="0" t="21687" r="9785" b="31276"/>
                    <a:stretch>
                      <a:fillRect/>
                    </a:stretch>
                  </pic:blipFill>
                  <pic:spPr bwMode="auto">
                    <a:xfrm>
                      <a:off x="0" y="0"/>
                      <a:ext cx="495935" cy="523875"/>
                    </a:xfrm>
                    <a:prstGeom prst="rect">
                      <a:avLst/>
                    </a:prstGeom>
                  </pic:spPr>
                </pic:pic>
              </a:graphicData>
            </a:graphic>
          </wp:inline>
        </w:drawing>
      </w:r>
      <w:r>
        <w:rPr>
          <w:rFonts w:ascii="Times New Roman" w:hAnsi="Times New Roman"/>
          <w:sz w:val="20"/>
          <w:szCs w:val="20"/>
        </w:rPr>
        <w:drawing>
          <wp:inline distT="0" distB="0" distL="0" distR="0">
            <wp:extent cx="473710" cy="500380"/>
            <wp:effectExtent l="0" t="0" r="0" b="0"/>
            <wp:docPr id="33" name="Imagen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7" descr=""/>
                    <pic:cNvPicPr>
                      <a:picLocks noChangeAspect="1" noChangeArrowheads="1"/>
                    </pic:cNvPicPr>
                  </pic:nvPicPr>
                  <pic:blipFill>
                    <a:blip r:embed="rId39"/>
                    <a:srcRect l="17553" t="26756" r="21948" b="43032"/>
                    <a:stretch>
                      <a:fillRect/>
                    </a:stretch>
                  </pic:blipFill>
                  <pic:spPr bwMode="auto">
                    <a:xfrm>
                      <a:off x="0" y="0"/>
                      <a:ext cx="473710" cy="500380"/>
                    </a:xfrm>
                    <a:prstGeom prst="rect">
                      <a:avLst/>
                    </a:prstGeom>
                  </pic:spPr>
                </pic:pic>
              </a:graphicData>
            </a:graphic>
          </wp:inline>
        </w:drawing>
      </w:r>
      <w:r>
        <w:rPr>
          <w:rFonts w:ascii="Times New Roman" w:hAnsi="Times New Roman"/>
          <w:sz w:val="20"/>
          <w:szCs w:val="20"/>
        </w:rPr>
        <w:drawing>
          <wp:inline distT="0" distB="0" distL="0" distR="0">
            <wp:extent cx="586105" cy="593725"/>
            <wp:effectExtent l="0" t="0" r="0" b="0"/>
            <wp:docPr id="34" name="Imagen 40"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40" descr="Texto&#10;&#10;Descripción generada automáticamente con confianza baja"/>
                    <pic:cNvPicPr>
                      <a:picLocks noChangeAspect="1" noChangeArrowheads="1"/>
                    </pic:cNvPicPr>
                  </pic:nvPicPr>
                  <pic:blipFill>
                    <a:blip r:embed="rId40"/>
                    <a:srcRect l="12332" t="13147" r="12766" b="49951"/>
                    <a:stretch>
                      <a:fillRect/>
                    </a:stretch>
                  </pic:blipFill>
                  <pic:spPr bwMode="auto">
                    <a:xfrm>
                      <a:off x="0" y="0"/>
                      <a:ext cx="586105" cy="593725"/>
                    </a:xfrm>
                    <a:prstGeom prst="rect">
                      <a:avLst/>
                    </a:prstGeom>
                  </pic:spPr>
                </pic:pic>
              </a:graphicData>
            </a:graphic>
          </wp:inline>
        </w:drawing>
      </w:r>
      <w:r>
        <w:rPr>
          <w:rFonts w:ascii="Times New Roman" w:hAnsi="Times New Roman"/>
          <w:sz w:val="20"/>
          <w:szCs w:val="20"/>
        </w:rPr>
        <w:drawing>
          <wp:inline distT="0" distB="0" distL="0" distR="0">
            <wp:extent cx="550545" cy="511810"/>
            <wp:effectExtent l="0" t="0" r="0" b="0"/>
            <wp:docPr id="35" name="Imagen 42"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42" descr="Imagen en blanco y negro&#10;&#10;Descripción generada automáticamente con confianza baja"/>
                    <pic:cNvPicPr>
                      <a:picLocks noChangeAspect="1" noChangeArrowheads="1"/>
                    </pic:cNvPicPr>
                  </pic:nvPicPr>
                  <pic:blipFill>
                    <a:blip r:embed="rId41"/>
                    <a:srcRect l="0" t="0" r="7670" b="10785"/>
                    <a:stretch>
                      <a:fillRect/>
                    </a:stretch>
                  </pic:blipFill>
                  <pic:spPr bwMode="auto">
                    <a:xfrm>
                      <a:off x="0" y="0"/>
                      <a:ext cx="550545" cy="511810"/>
                    </a:xfrm>
                    <a:prstGeom prst="rect">
                      <a:avLst/>
                    </a:prstGeom>
                  </pic:spPr>
                </pic:pic>
              </a:graphicData>
            </a:graphic>
          </wp:inline>
        </w:drawing>
      </w:r>
      <w:r>
        <w:rPr>
          <w:rFonts w:ascii="Times New Roman" w:hAnsi="Times New Roman"/>
          <w:sz w:val="20"/>
          <w:szCs w:val="20"/>
        </w:rPr>
        <w:drawing>
          <wp:inline distT="0" distB="0" distL="0" distR="0">
            <wp:extent cx="1192530" cy="461010"/>
            <wp:effectExtent l="0" t="0" r="0" b="0"/>
            <wp:docPr id="36" name="Imagen 41" descr="Imagen que contiene circuito,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41" descr="Imagen que contiene circuito, computadora&#10;&#10;Descripción generada automáticamente"/>
                    <pic:cNvPicPr>
                      <a:picLocks noChangeAspect="1" noChangeArrowheads="1"/>
                    </pic:cNvPicPr>
                  </pic:nvPicPr>
                  <pic:blipFill>
                    <a:blip r:embed="rId42"/>
                    <a:stretch>
                      <a:fillRect/>
                    </a:stretch>
                  </pic:blipFill>
                  <pic:spPr bwMode="auto">
                    <a:xfrm>
                      <a:off x="0" y="0"/>
                      <a:ext cx="1192530" cy="461010"/>
                    </a:xfrm>
                    <a:prstGeom prst="rect">
                      <a:avLst/>
                    </a:prstGeom>
                  </pic:spPr>
                </pic:pic>
              </a:graphicData>
            </a:graphic>
          </wp:inline>
        </w:drawing>
      </w:r>
    </w:p>
    <w:p>
      <w:pPr>
        <w:pStyle w:val="Normal"/>
        <w:spacing w:lineRule="auto" w:line="240" w:before="0" w:after="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Figura 5. Capturas de la aplicación en realidad aumentada en uso. </w:t>
      </w:r>
      <w:r>
        <w:rPr>
          <w:rFonts w:eastAsia="Times New Roman" w:cs="Times New Roman" w:ascii="Times New Roman" w:hAnsi="Times New Roman"/>
          <w:b w:val="false"/>
          <w:bCs w:val="false"/>
          <w:i/>
          <w:iCs/>
          <w:sz w:val="20"/>
          <w:szCs w:val="20"/>
        </w:rPr>
        <w:t>Fuente: Elaboración  propia.</w:t>
      </w:r>
    </w:p>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Al concluir la primera versión de la aplicación, se diseñó un cuestionario para evaluar la calidad gráfica de los modelos 3D, la facilidad para utilizarla, si el contenido y visualización en RA ayuda a entender los temas que presenta y qué tan interactiva consideran la aplicación. Esta evaluación se realizó por medio de la escala de Likert. </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El total de estudiantes que evaluaron la aplicación fue de 15 estudiantes, 1 mujer y 14 hombres, todos estudiantes del primer semestre de química de la carrera de Ingeniería en Sistemas Automotrices. Los resultados se muestran en las siguientes gráficas (Figuras 6 a la 9). </w:t>
      </w:r>
    </w:p>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0">
            <wp:extent cx="2914650" cy="1943735"/>
            <wp:effectExtent l="0" t="0" r="0" b="0"/>
            <wp:docPr id="37"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24" descr=""/>
                    <pic:cNvPicPr>
                      <a:picLocks noChangeAspect="1" noChangeArrowheads="1"/>
                    </pic:cNvPicPr>
                  </pic:nvPicPr>
                  <pic:blipFill>
                    <a:blip r:embed="rId43"/>
                    <a:stretch>
                      <a:fillRect/>
                    </a:stretch>
                  </pic:blipFill>
                  <pic:spPr bwMode="auto">
                    <a:xfrm>
                      <a:off x="0" y="0"/>
                      <a:ext cx="2914650" cy="1943735"/>
                    </a:xfrm>
                    <a:prstGeom prst="rect">
                      <a:avLst/>
                    </a:prstGeom>
                  </pic:spPr>
                </pic:pic>
              </a:graphicData>
            </a:graphic>
          </wp:inline>
        </w:drawing>
      </w:r>
    </w:p>
    <w:p>
      <w:pPr>
        <w:pStyle w:val="Normal"/>
        <w:spacing w:lineRule="auto" w:line="240" w:before="0" w:after="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themeColor="text1"/>
          <w:sz w:val="20"/>
          <w:szCs w:val="20"/>
        </w:rPr>
        <w:t xml:space="preserve">Figura 6. </w:t>
      </w:r>
      <w:r>
        <w:rPr>
          <w:rFonts w:eastAsia="Times New Roman" w:cs="Times New Roman" w:ascii="Times New Roman" w:hAnsi="Times New Roman"/>
          <w:b w:val="false"/>
          <w:bCs w:val="false"/>
          <w:i/>
          <w:iCs/>
          <w:color w:val="000000"/>
          <w:sz w:val="20"/>
          <w:szCs w:val="20"/>
        </w:rPr>
        <w:t xml:space="preserve">Resultados de la experiencia de uso por parte de los estudiantes para evaluar </w:t>
      </w:r>
      <w:r>
        <w:rPr>
          <w:rFonts w:eastAsia="Times New Roman" w:cs="Times New Roman" w:ascii="Times New Roman" w:hAnsi="Times New Roman"/>
          <w:b w:val="false"/>
          <w:bCs w:val="false"/>
          <w:i/>
          <w:iCs/>
          <w:color w:val="000000" w:themeColor="text1"/>
          <w:sz w:val="20"/>
          <w:szCs w:val="20"/>
        </w:rPr>
        <w:t xml:space="preserve">la calidad gráfica de los modelos 3D de la aplicación en RA.  </w:t>
      </w:r>
      <w:r>
        <w:rPr>
          <w:rFonts w:eastAsia="Times New Roman" w:cs="Times New Roman" w:ascii="Times New Roman" w:hAnsi="Times New Roman"/>
          <w:b w:val="false"/>
          <w:bCs w:val="false"/>
          <w:i/>
          <w:iCs/>
          <w:color w:val="000000" w:themeColor="text1"/>
          <w:sz w:val="20"/>
          <w:szCs w:val="20"/>
        </w:rPr>
        <w:t>Fuente: Elaboración propia.</w:t>
      </w:r>
    </w:p>
    <w:p>
      <w:pPr>
        <w:pStyle w:val="Normal"/>
        <w:spacing w:lineRule="auto" w:line="240" w:before="0" w:after="0"/>
        <w:jc w:val="center"/>
        <w:rPr>
          <w:rFonts w:ascii="Times New Roman" w:hAnsi="Times New Roman" w:eastAsia="Times New Roman" w:cs="Times New Roman"/>
          <w:color w:val="000000" w:themeColor="text1"/>
          <w:sz w:val="20"/>
          <w:szCs w:val="20"/>
        </w:rPr>
      </w:pPr>
      <w:r>
        <w:rPr>
          <w:rFonts w:eastAsia="Times New Roman" w:cs="Times New Roman" w:ascii="Times New Roman" w:hAnsi="Times New Roman"/>
          <w:color w:val="000000" w:themeColor="text1"/>
          <w:sz w:val="20"/>
          <w:szCs w:val="20"/>
        </w:rPr>
      </w:r>
    </w:p>
    <w:p>
      <w:pPr>
        <w:pStyle w:val="Normal"/>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0">
            <wp:extent cx="2845435" cy="1897380"/>
            <wp:effectExtent l="0" t="0" r="0" b="0"/>
            <wp:docPr id="38" name="Imagen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44" descr=""/>
                    <pic:cNvPicPr>
                      <a:picLocks noChangeAspect="1" noChangeArrowheads="1"/>
                    </pic:cNvPicPr>
                  </pic:nvPicPr>
                  <pic:blipFill>
                    <a:blip r:embed="rId44"/>
                    <a:stretch>
                      <a:fillRect/>
                    </a:stretch>
                  </pic:blipFill>
                  <pic:spPr bwMode="auto">
                    <a:xfrm>
                      <a:off x="0" y="0"/>
                      <a:ext cx="2845435" cy="1897380"/>
                    </a:xfrm>
                    <a:prstGeom prst="rect">
                      <a:avLst/>
                    </a:prstGeom>
                  </pic:spPr>
                </pic:pic>
              </a:graphicData>
            </a:graphic>
          </wp:inline>
        </w:drawing>
      </w:r>
    </w:p>
    <w:p>
      <w:pPr>
        <w:pStyle w:val="Normal"/>
        <w:spacing w:lineRule="auto" w:line="240" w:before="0" w:after="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themeColor="text1"/>
          <w:sz w:val="20"/>
          <w:szCs w:val="20"/>
        </w:rPr>
        <w:t xml:space="preserve">Figura 7. </w:t>
      </w:r>
      <w:r>
        <w:rPr>
          <w:rFonts w:eastAsia="Times New Roman" w:cs="Times New Roman" w:ascii="Times New Roman" w:hAnsi="Times New Roman"/>
          <w:b w:val="false"/>
          <w:bCs w:val="false"/>
          <w:i/>
          <w:iCs/>
          <w:color w:val="000000"/>
          <w:sz w:val="20"/>
          <w:szCs w:val="20"/>
        </w:rPr>
        <w:t xml:space="preserve">Resultados de la experiencia de uso por parte de los estudiantes para evaluar </w:t>
      </w:r>
      <w:r>
        <w:rPr>
          <w:rFonts w:eastAsia="Times New Roman" w:cs="Times New Roman" w:ascii="Times New Roman" w:hAnsi="Times New Roman"/>
          <w:b w:val="false"/>
          <w:bCs w:val="false"/>
          <w:i/>
          <w:iCs/>
          <w:color w:val="000000" w:themeColor="text1"/>
          <w:sz w:val="20"/>
          <w:szCs w:val="20"/>
        </w:rPr>
        <w:t xml:space="preserve">qué tan fácil fue utilizar la aplicación en RA.  </w:t>
      </w:r>
      <w:r>
        <w:rPr>
          <w:rFonts w:eastAsia="Times New Roman" w:cs="Times New Roman" w:ascii="Times New Roman" w:hAnsi="Times New Roman"/>
          <w:b w:val="false"/>
          <w:bCs w:val="false"/>
          <w:i/>
          <w:iCs/>
          <w:color w:val="000000" w:themeColor="text1"/>
          <w:sz w:val="20"/>
          <w:szCs w:val="20"/>
        </w:rPr>
        <w:t>Fuente: Elaboración propia.</w:t>
      </w:r>
    </w:p>
    <w:p>
      <w:pPr>
        <w:pStyle w:val="Normal"/>
        <w:spacing w:lineRule="auto" w:line="240" w:before="0" w:after="0"/>
        <w:jc w:val="center"/>
        <w:rPr>
          <w:rFonts w:ascii="Times New Roman" w:hAnsi="Times New Roman" w:eastAsia="Times New Roman" w:cs="Times New Roman"/>
          <w:color w:val="000000" w:themeColor="text1"/>
          <w:sz w:val="20"/>
          <w:szCs w:val="20"/>
        </w:rPr>
      </w:pPr>
      <w:r>
        <w:rPr>
          <w:rFonts w:eastAsia="Times New Roman" w:cs="Times New Roman" w:ascii="Times New Roman" w:hAnsi="Times New Roman"/>
          <w:color w:val="000000" w:themeColor="text1"/>
          <w:sz w:val="20"/>
          <w:szCs w:val="20"/>
        </w:rPr>
      </w:r>
    </w:p>
    <w:p>
      <w:pPr>
        <w:pStyle w:val="Normal"/>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0">
            <wp:extent cx="2842260" cy="1895475"/>
            <wp:effectExtent l="0" t="0" r="0" b="0"/>
            <wp:docPr id="39" name="Imagen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45" descr=""/>
                    <pic:cNvPicPr>
                      <a:picLocks noChangeAspect="1" noChangeArrowheads="1"/>
                    </pic:cNvPicPr>
                  </pic:nvPicPr>
                  <pic:blipFill>
                    <a:blip r:embed="rId45"/>
                    <a:stretch>
                      <a:fillRect/>
                    </a:stretch>
                  </pic:blipFill>
                  <pic:spPr bwMode="auto">
                    <a:xfrm>
                      <a:off x="0" y="0"/>
                      <a:ext cx="2842260" cy="1895475"/>
                    </a:xfrm>
                    <a:prstGeom prst="rect">
                      <a:avLst/>
                    </a:prstGeom>
                  </pic:spPr>
                </pic:pic>
              </a:graphicData>
            </a:graphic>
          </wp:inline>
        </w:drawing>
      </w:r>
    </w:p>
    <w:p>
      <w:pPr>
        <w:pStyle w:val="Normal"/>
        <w:spacing w:lineRule="auto" w:line="240" w:before="0" w:after="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themeColor="text1"/>
          <w:sz w:val="20"/>
          <w:szCs w:val="20"/>
        </w:rPr>
        <w:t xml:space="preserve">Figura 8. Resultados de la experiencia de uso por parte de los estudiantes para evaluar qué tanto les ayudó a entender mejor los temas que abarca la aplicación en RA.  </w:t>
      </w:r>
      <w:r>
        <w:rPr>
          <w:rFonts w:eastAsia="Times New Roman" w:cs="Times New Roman" w:ascii="Times New Roman" w:hAnsi="Times New Roman"/>
          <w:b w:val="false"/>
          <w:bCs w:val="false"/>
          <w:i/>
          <w:iCs/>
          <w:color w:val="000000" w:themeColor="text1"/>
          <w:sz w:val="20"/>
          <w:szCs w:val="20"/>
        </w:rPr>
        <w:t>Fuente: Elaboración propia.</w:t>
      </w:r>
    </w:p>
    <w:p>
      <w:pPr>
        <w:pStyle w:val="Normal"/>
        <w:spacing w:lineRule="auto" w:line="240" w:before="0" w:after="0"/>
        <w:jc w:val="center"/>
        <w:rPr>
          <w:rFonts w:ascii="Times New Roman" w:hAnsi="Times New Roman" w:eastAsia="Times New Roman" w:cs="Times New Roman"/>
          <w:color w:val="000000" w:themeColor="text1"/>
          <w:sz w:val="20"/>
          <w:szCs w:val="20"/>
        </w:rPr>
      </w:pPr>
      <w:r>
        <w:rPr>
          <w:rFonts w:eastAsia="Times New Roman" w:cs="Times New Roman" w:ascii="Times New Roman" w:hAnsi="Times New Roman"/>
          <w:color w:val="000000" w:themeColor="text1"/>
          <w:sz w:val="20"/>
          <w:szCs w:val="20"/>
        </w:rPr>
      </w:r>
    </w:p>
    <w:p>
      <w:pPr>
        <w:pStyle w:val="Normal"/>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0">
            <wp:extent cx="2888615" cy="1926590"/>
            <wp:effectExtent l="0" t="0" r="0" b="0"/>
            <wp:docPr id="40" name="Imagen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7" descr=""/>
                    <pic:cNvPicPr>
                      <a:picLocks noChangeAspect="1" noChangeArrowheads="1"/>
                    </pic:cNvPicPr>
                  </pic:nvPicPr>
                  <pic:blipFill>
                    <a:blip r:embed="rId46"/>
                    <a:stretch>
                      <a:fillRect/>
                    </a:stretch>
                  </pic:blipFill>
                  <pic:spPr bwMode="auto">
                    <a:xfrm>
                      <a:off x="0" y="0"/>
                      <a:ext cx="2888615" cy="1926590"/>
                    </a:xfrm>
                    <a:prstGeom prst="rect">
                      <a:avLst/>
                    </a:prstGeom>
                  </pic:spPr>
                </pic:pic>
              </a:graphicData>
            </a:graphic>
          </wp:inline>
        </w:drawing>
      </w:r>
    </w:p>
    <w:p>
      <w:pPr>
        <w:pStyle w:val="Normal"/>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themeColor="text1"/>
          <w:sz w:val="20"/>
          <w:szCs w:val="20"/>
        </w:rPr>
        <w:t xml:space="preserve">Figura 9. Resultados de la experiencia de uso por parte de los estudiantes para evaluar qué tan interactiva es la aplicación en RA.  </w:t>
      </w:r>
      <w:r>
        <w:rPr>
          <w:rFonts w:eastAsia="Times New Roman" w:cs="Times New Roman" w:ascii="Times New Roman" w:hAnsi="Times New Roman"/>
          <w:b w:val="false"/>
          <w:bCs w:val="false"/>
          <w:i/>
          <w:iCs/>
          <w:color w:val="000000" w:themeColor="text1"/>
          <w:sz w:val="20"/>
          <w:szCs w:val="20"/>
        </w:rPr>
        <w:t>Fuente: Elaboración propia.</w:t>
      </w:r>
    </w:p>
    <w:p>
      <w:pPr>
        <w:pStyle w:val="Normal"/>
        <w:spacing w:lineRule="auto" w:line="240" w:before="0" w:after="0"/>
        <w:jc w:val="center"/>
        <w:rPr>
          <w:rFonts w:ascii="Times New Roman" w:hAnsi="Times New Roman" w:eastAsia="Times New Roman" w:cs="Times New Roman"/>
          <w:color w:val="000000" w:themeColor="text1"/>
          <w:sz w:val="20"/>
          <w:szCs w:val="20"/>
        </w:rPr>
      </w:pPr>
      <w:r>
        <w:rPr>
          <w:rFonts w:eastAsia="Times New Roman" w:cs="Times New Roman" w:ascii="Times New Roman" w:hAnsi="Times New Roman"/>
          <w:color w:val="000000" w:themeColor="text1"/>
          <w:sz w:val="20"/>
          <w:szCs w:val="20"/>
        </w:rPr>
      </w:r>
    </w:p>
    <w:p>
      <w:pPr>
        <w:pStyle w:val="Normal"/>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hanging="0"/>
        <w:jc w:val="both"/>
        <w:rPr>
          <w:rFonts w:ascii="Times New Roman" w:hAnsi="Times New Roman"/>
          <w:sz w:val="20"/>
          <w:szCs w:val="20"/>
        </w:rPr>
      </w:pPr>
      <w:r>
        <w:rPr>
          <w:rFonts w:eastAsia="Times New Roman" w:cs="Times New Roman" w:ascii="Times New Roman" w:hAnsi="Times New Roman"/>
          <w:sz w:val="20"/>
          <w:szCs w:val="20"/>
        </w:rPr>
        <w:t>Para hacer las encuestas a los estudiantes de química del primer semestre de la carrera de Ingeniería en Sistemas Automotrices de la UPIIH se preguntó si tenían alguna experiencia utilizando realidad aumentada, a lo que el 20% de los encuestados respondieron que sí y el 80% que no. Con las encuestas nos damos cuenta de que la mayoría de los alumnos utilizaron por primera vez una aplicación en realidad aumentada.</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En general los estudiantes evaluaron como muy buena la calidad gráfica de los modelos tridimensionales incluidos, la mayor parte de estudiantes considera que la aplicación ayuda en gran medida al mejor entendimiento de los temas que involucra el temario de la asignatura de química, consideran que es muy fácil de usar y que es muy interactiva por permitir observar desde diferentes ángulos a los modelos tridimensionales. La Figura 10 muestra lo que observó el estudiante al evaluar la aplicación en RA desde su celular.</w:t>
      </w:r>
    </w:p>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spacing w:lineRule="auto" w:line="240" w:before="0" w:after="0"/>
        <w:ind w:left="720" w:hanging="720"/>
        <w:jc w:val="center"/>
        <w:rPr>
          <w:rFonts w:ascii="Times New Roman" w:hAnsi="Times New Roman"/>
          <w:sz w:val="20"/>
          <w:szCs w:val="20"/>
        </w:rPr>
      </w:pPr>
      <w:r>
        <w:rPr>
          <w:rFonts w:ascii="Times New Roman" w:hAnsi="Times New Roman"/>
          <w:sz w:val="20"/>
          <w:szCs w:val="20"/>
        </w:rPr>
        <w:drawing>
          <wp:inline distT="0" distB="0" distL="0" distR="0">
            <wp:extent cx="2036445" cy="2743200"/>
            <wp:effectExtent l="0" t="0" r="0" b="0"/>
            <wp:docPr id="41" name="Imagen 2" descr="C:\Users\austr\Downloads\274157065_2671098376359815_2765899121477463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2" descr="C:\Users\austr\Downloads\274157065_2671098376359815_2765899121477463473_n.jpg"/>
                    <pic:cNvPicPr>
                      <a:picLocks noChangeAspect="1" noChangeArrowheads="1"/>
                    </pic:cNvPicPr>
                  </pic:nvPicPr>
                  <pic:blipFill>
                    <a:blip r:embed="rId47"/>
                    <a:srcRect l="0" t="17451" r="0" b="17117"/>
                    <a:stretch>
                      <a:fillRect/>
                    </a:stretch>
                  </pic:blipFill>
                  <pic:spPr bwMode="auto">
                    <a:xfrm>
                      <a:off x="0" y="0"/>
                      <a:ext cx="2036445" cy="2743200"/>
                    </a:xfrm>
                    <a:prstGeom prst="rect">
                      <a:avLst/>
                    </a:prstGeom>
                  </pic:spPr>
                </pic:pic>
              </a:graphicData>
            </a:graphic>
          </wp:inline>
        </w:drawing>
      </w:r>
    </w:p>
    <w:p>
      <w:pPr>
        <w:pStyle w:val="Normal"/>
        <w:spacing w:lineRule="auto" w:line="240" w:before="0" w:after="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sz w:val="20"/>
          <w:szCs w:val="20"/>
        </w:rPr>
        <w:t xml:space="preserve">Figura 10. Modelo 3D de un átomo de Bohr proyectado desde un celular inteligente la aplicación en RA. </w:t>
      </w:r>
      <w:r>
        <w:rPr>
          <w:rFonts w:eastAsia="Times New Roman" w:cs="Times New Roman" w:ascii="Times New Roman" w:hAnsi="Times New Roman"/>
          <w:b w:val="false"/>
          <w:bCs w:val="false"/>
          <w:i/>
          <w:iCs/>
          <w:color w:val="000000"/>
          <w:sz w:val="20"/>
          <w:szCs w:val="20"/>
        </w:rPr>
        <w:t>Fuente: Elaboración propia.</w:t>
      </w:r>
    </w:p>
    <w:p>
      <w:pPr>
        <w:pStyle w:val="Normal"/>
        <w:pBdr/>
        <w:spacing w:lineRule="auto" w:line="240" w:before="0" w:after="0"/>
        <w:ind w:left="720" w:hanging="720"/>
        <w:jc w:val="center"/>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r>
    </w:p>
    <w:p>
      <w:pPr>
        <w:pStyle w:val="Normal"/>
        <w:pBdr/>
        <w:spacing w:lineRule="auto" w:line="240" w:before="0" w:after="0"/>
        <w:ind w:hanging="11"/>
        <w:jc w:val="both"/>
        <w:rPr>
          <w:rFonts w:ascii="Times New Roman" w:hAnsi="Times New Roman"/>
          <w:sz w:val="20"/>
          <w:szCs w:val="20"/>
        </w:rPr>
      </w:pPr>
      <w:r>
        <w:rPr>
          <w:rFonts w:eastAsia="Times New Roman" w:cs="Times New Roman" w:ascii="Times New Roman" w:hAnsi="Times New Roman"/>
          <w:bCs/>
          <w:color w:val="000000"/>
          <w:sz w:val="20"/>
          <w:szCs w:val="20"/>
        </w:rPr>
        <w:t>Al contrastar el aprovechamiento del grupo que cursó también la asignatura de Química de forma virtual, pero que no desarrolló ni utilizó la aplicación para visualizar las moléculas y modelos químicos en tres dimensiones en RA, se observa un incremento del 25% en el aprovechamiento de forma grupal.</w:t>
      </w:r>
    </w:p>
    <w:p>
      <w:pPr>
        <w:pStyle w:val="Normal"/>
        <w:pBdr/>
        <w:spacing w:lineRule="auto" w:line="240" w:before="0" w:after="0"/>
        <w:ind w:hanging="11"/>
        <w:jc w:val="both"/>
        <w:rPr>
          <w:rFonts w:eastAsia="Times New Roman" w:cs="Times New Roman"/>
          <w:bCs/>
          <w:color w:val="000000"/>
        </w:rPr>
      </w:pPr>
      <w:r>
        <w:rPr>
          <w:rFonts w:ascii="Times New Roman" w:hAnsi="Times New Roman"/>
          <w:sz w:val="20"/>
          <w:szCs w:val="20"/>
        </w:rPr>
      </w:r>
    </w:p>
    <w:p>
      <w:pPr>
        <w:pStyle w:val="Normal"/>
        <w:spacing w:lineRule="auto" w:line="240" w:before="0" w:after="0"/>
        <w:rPr>
          <w:rFonts w:ascii="Times New Roman" w:hAnsi="Times New Roman"/>
          <w:sz w:val="20"/>
          <w:szCs w:val="20"/>
        </w:rPr>
      </w:pPr>
      <w:r>
        <w:rPr>
          <w:rFonts w:eastAsia="Times New Roman" w:cs="Times New Roman" w:ascii="Times New Roman" w:hAnsi="Times New Roman"/>
          <w:b/>
          <w:sz w:val="20"/>
          <w:szCs w:val="20"/>
        </w:rPr>
        <w:t xml:space="preserve">IV. </w:t>
      </w:r>
      <w:r>
        <w:rPr>
          <w:rFonts w:eastAsia="Times New Roman" w:cs="Times New Roman" w:ascii="Times New Roman" w:hAnsi="Times New Roman"/>
          <w:b/>
          <w:sz w:val="20"/>
          <w:szCs w:val="20"/>
        </w:rPr>
        <w:t xml:space="preserve">CONCLUSIONES </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Conforme avanzan los años podemos observar el nacimiento, desarrollo e implementación de tecnologías que se van reinventando o mejorando, las cuales nos pueden ayudar en aspectos como la educación 4.0 e industria 4.0. Actualmente se están generando tecnologías que están juntando nuestro espacio real con el virtual las cuales son conocidas como realidad aumentada y virtual dando al usuario una experiencia más interactiva e inmersiva. </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En este trabajo se desarrolló por parte de un estudiante del primer semestre de la asignatura de química una aplicación en realidad aumentada que incluye el temario del curso, como una herramienta de aprendizaje para la visualización tridimensional y disposición de los átomos dentro de una molécula, considerando la longitud de enlace, tamaño de los átomos participantes en la estructura, ángulo de enlace y disposición espacial. </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Existen aplicaciones que se pueden adquirir o descargar para utilizar con el celular, pero que no incluyen todo el contenido del curso de química y/o requieren de conexión a internet para su funcionamiento. Es importante fomentar la participación de los estudiantes en la resolución de problemas STEM que se dan dentro del aula y donde aplican de manera integral conocimientos de otras asignaturas, como el diseño, el modelado 3D, la programación y el desarrollo de una aplicación. Esta es una herramienta de enseñanza-aprendizaje de mucha utilidad dentro y fuera del aula para el curso de química, donde el estudiante no tiene que estar conectado a internet para poder utilizarla y lo puede hacer desde su dispositivo con cámara y con sistema operativo Android o Windows.</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 </w:t>
      </w:r>
    </w:p>
    <w:p>
      <w:pPr>
        <w:pStyle w:val="Normal"/>
        <w:pBdr/>
        <w:spacing w:lineRule="auto" w:line="240" w:before="0" w:after="0"/>
        <w:ind w:left="720" w:hanging="720"/>
        <w:jc w:val="both"/>
        <w:rPr>
          <w:rFonts w:ascii="Times New Roman" w:hAnsi="Times New Roman"/>
          <w:sz w:val="20"/>
          <w:szCs w:val="20"/>
        </w:rPr>
      </w:pPr>
      <w:r>
        <w:rPr>
          <w:rFonts w:eastAsia="Times New Roman" w:cs="Times New Roman" w:ascii="Times New Roman" w:hAnsi="Times New Roman"/>
          <w:b/>
          <w:color w:val="000000"/>
          <w:sz w:val="20"/>
          <w:szCs w:val="20"/>
        </w:rPr>
        <w:t>REFERENCIAS</w:t>
      </w:r>
    </w:p>
    <w:p>
      <w:pPr>
        <w:pStyle w:val="Normal"/>
        <w:pBdr/>
        <w:spacing w:lineRule="auto" w:line="240" w:before="0" w:after="0"/>
        <w:ind w:left="720" w:hanging="720"/>
        <w:jc w:val="both"/>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r>
    </w:p>
    <w:p>
      <w:pPr>
        <w:pStyle w:val="Normal"/>
        <w:widowControl w:val="false"/>
        <w:spacing w:lineRule="auto" w:line="240" w:before="0" w:after="0"/>
        <w:ind w:left="480" w:hanging="480"/>
        <w:jc w:val="both"/>
        <w:rPr>
          <w:rFonts w:ascii="Times New Roman" w:hAnsi="Times New Roman"/>
          <w:sz w:val="20"/>
          <w:szCs w:val="20"/>
        </w:rPr>
      </w:pPr>
      <w:r>
        <w:fldChar w:fldCharType="begin"/>
      </w:r>
      <w:r>
        <w:rPr>
          <w:sz w:val="20"/>
          <w:szCs w:val="20"/>
          <w:rFonts w:ascii="Times New Roman" w:hAnsi="Times New Roman"/>
        </w:rPr>
        <w:instrText>ADDIN Mendeley Bibliography CSL_BIBLIOGRAPHY</w:instrText>
      </w:r>
      <w:r>
        <w:rPr>
          <w:rFonts w:ascii="Times New Roman" w:hAnsi="Times New Roman"/>
          <w:sz w:val="20"/>
          <w:szCs w:val="20"/>
        </w:rPr>
      </w:r>
      <w:r>
        <w:rPr>
          <w:sz w:val="20"/>
          <w:szCs w:val="20"/>
          <w:rFonts w:ascii="Times New Roman" w:hAnsi="Times New Roman"/>
        </w:rPr>
        <w:fldChar w:fldCharType="separate"/>
      </w:r>
      <w:r>
        <w:rPr>
          <w:rFonts w:ascii="Times New Roman" w:hAnsi="Times New Roman"/>
          <w:sz w:val="20"/>
          <w:szCs w:val="20"/>
        </w:rPr>
      </w:r>
      <w:r>
        <w:rPr>
          <w:rFonts w:cs="Times New Roman" w:ascii="Times New Roman" w:hAnsi="Times New Roman"/>
          <w:sz w:val="20"/>
          <w:szCs w:val="20"/>
        </w:rPr>
        <w:t xml:space="preserve">Annetta, L. A., &amp; Shapiro, M. (2019). Augmented Reality Applications for Teaching Chemistry across the K-20 Curriculum [Chapter]. </w:t>
      </w:r>
      <w:r>
        <w:rPr>
          <w:rFonts w:cs="Times New Roman" w:ascii="Times New Roman" w:hAnsi="Times New Roman"/>
          <w:i/>
          <w:iCs/>
          <w:sz w:val="20"/>
          <w:szCs w:val="20"/>
        </w:rPr>
        <w:t>ACS Symposium Series</w:t>
      </w:r>
      <w:r>
        <w:rPr>
          <w:rFonts w:cs="Times New Roman" w:ascii="Times New Roman" w:hAnsi="Times New Roman"/>
          <w:sz w:val="20"/>
          <w:szCs w:val="20"/>
        </w:rPr>
        <w:t xml:space="preserve">, </w:t>
      </w:r>
      <w:r>
        <w:rPr>
          <w:rFonts w:cs="Times New Roman" w:ascii="Times New Roman" w:hAnsi="Times New Roman"/>
          <w:i/>
          <w:iCs/>
          <w:sz w:val="20"/>
          <w:szCs w:val="20"/>
        </w:rPr>
        <w:t>1318</w:t>
      </w:r>
      <w:r>
        <w:rPr>
          <w:rFonts w:cs="Times New Roman" w:ascii="Times New Roman" w:hAnsi="Times New Roman"/>
          <w:sz w:val="20"/>
          <w:szCs w:val="20"/>
        </w:rPr>
        <w:t>, 23–30. https://doi.org/10.1021/bk-2019-1318.ch002</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Behmke, D., Kerven, D., Lutz, R., Paredes, J., Pennington, R., Brannock, E., Deiters, M., Rose, J., &amp; Stevens, K. (2018). Augmented Reality Chemistry: Transforming 2-D Molecular Representations into Interactive 3-D Structures. </w:t>
      </w:r>
      <w:r>
        <w:rPr>
          <w:rFonts w:cs="Times New Roman" w:ascii="Times New Roman" w:hAnsi="Times New Roman"/>
          <w:i/>
          <w:iCs/>
          <w:sz w:val="20"/>
          <w:szCs w:val="20"/>
        </w:rPr>
        <w:t>Proceedings of the Interdisciplinary STEM Teaching and Learning Conference</w:t>
      </w:r>
      <w:r>
        <w:rPr>
          <w:rFonts w:cs="Times New Roman" w:ascii="Times New Roman" w:hAnsi="Times New Roman"/>
          <w:sz w:val="20"/>
          <w:szCs w:val="20"/>
        </w:rPr>
        <w:t xml:space="preserve">, </w:t>
      </w:r>
      <w:r>
        <w:rPr>
          <w:rFonts w:cs="Times New Roman" w:ascii="Times New Roman" w:hAnsi="Times New Roman"/>
          <w:i/>
          <w:iCs/>
          <w:sz w:val="20"/>
          <w:szCs w:val="20"/>
        </w:rPr>
        <w:t>2</w:t>
      </w:r>
      <w:r>
        <w:rPr>
          <w:rFonts w:cs="Times New Roman" w:ascii="Times New Roman" w:hAnsi="Times New Roman"/>
          <w:sz w:val="20"/>
          <w:szCs w:val="20"/>
        </w:rPr>
        <w:t>(1). https://doi.org/10.20429/stem.2018.020103</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Belford, R. E., &amp; Gupta, T. (2019). Introduction: Technology Integration in Chemistry Education and Research [Chapter]. </w:t>
      </w:r>
      <w:r>
        <w:rPr>
          <w:rFonts w:cs="Times New Roman" w:ascii="Times New Roman" w:hAnsi="Times New Roman"/>
          <w:i/>
          <w:iCs/>
          <w:sz w:val="20"/>
          <w:szCs w:val="20"/>
        </w:rPr>
        <w:t>ACS Symposium Series</w:t>
      </w:r>
      <w:r>
        <w:rPr>
          <w:rFonts w:cs="Times New Roman" w:ascii="Times New Roman" w:hAnsi="Times New Roman"/>
          <w:sz w:val="20"/>
          <w:szCs w:val="20"/>
        </w:rPr>
        <w:t xml:space="preserve">, </w:t>
      </w:r>
      <w:r>
        <w:rPr>
          <w:rFonts w:cs="Times New Roman" w:ascii="Times New Roman" w:hAnsi="Times New Roman"/>
          <w:i/>
          <w:iCs/>
          <w:sz w:val="20"/>
          <w:szCs w:val="20"/>
        </w:rPr>
        <w:t>1318</w:t>
      </w:r>
      <w:r>
        <w:rPr>
          <w:rFonts w:cs="Times New Roman" w:ascii="Times New Roman" w:hAnsi="Times New Roman"/>
          <w:sz w:val="20"/>
          <w:szCs w:val="20"/>
        </w:rPr>
        <w:t>, 1–20. https://doi.org/10.1021/bk-2019-1318.ch001</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Christyowidiasmoro, C., &amp; Sumpeno, S. (2015). Chemical Bonds Visualization using Particle Effect and Augmented Reality. </w:t>
      </w:r>
      <w:r>
        <w:rPr>
          <w:rFonts w:cs="Times New Roman" w:ascii="Times New Roman" w:hAnsi="Times New Roman"/>
          <w:i/>
          <w:iCs/>
          <w:sz w:val="20"/>
          <w:szCs w:val="20"/>
        </w:rPr>
        <w:t>IPTEK Journal of Proceedings Series</w:t>
      </w:r>
      <w:r>
        <w:rPr>
          <w:rFonts w:cs="Times New Roman" w:ascii="Times New Roman" w:hAnsi="Times New Roman"/>
          <w:sz w:val="20"/>
          <w:szCs w:val="20"/>
        </w:rPr>
        <w:t xml:space="preserve">, </w:t>
      </w:r>
      <w:r>
        <w:rPr>
          <w:rFonts w:cs="Times New Roman" w:ascii="Times New Roman" w:hAnsi="Times New Roman"/>
          <w:i/>
          <w:iCs/>
          <w:sz w:val="20"/>
          <w:szCs w:val="20"/>
        </w:rPr>
        <w:t>0</w:t>
      </w:r>
      <w:r>
        <w:rPr>
          <w:rFonts w:cs="Times New Roman" w:ascii="Times New Roman" w:hAnsi="Times New Roman"/>
          <w:sz w:val="20"/>
          <w:szCs w:val="20"/>
        </w:rPr>
        <w:t>(1), 264–268. https://doi.org/10.12962/j23546026.y2014i1.285</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Cortés-Caballero, J. M., Pérez-Martínez, Á. A., Mejía-Villegas, J. E., Hernández-Chávez, M., Fabila-Bustos, D. A., &amp; Hernández-Quintanar, L. F. (2020). La formación de ingenieros en sistemas automotrices mediante la realidad aumentada. </w:t>
      </w:r>
      <w:r>
        <w:rPr>
          <w:rFonts w:cs="Times New Roman" w:ascii="Times New Roman" w:hAnsi="Times New Roman"/>
          <w:i/>
          <w:iCs/>
          <w:sz w:val="20"/>
          <w:szCs w:val="20"/>
        </w:rPr>
        <w:t>Red Iberoamericana de Innovación y Conocimiento Científico</w:t>
      </w:r>
      <w:r>
        <w:rPr>
          <w:rFonts w:cs="Times New Roman" w:ascii="Times New Roman" w:hAnsi="Times New Roman"/>
          <w:sz w:val="20"/>
          <w:szCs w:val="20"/>
        </w:rPr>
        <w:t xml:space="preserve">, </w:t>
      </w:r>
      <w:r>
        <w:rPr>
          <w:rFonts w:cs="Times New Roman" w:ascii="Times New Roman" w:hAnsi="Times New Roman"/>
          <w:i/>
          <w:iCs/>
          <w:sz w:val="20"/>
          <w:szCs w:val="20"/>
        </w:rPr>
        <w:t>20</w:t>
      </w:r>
      <w:r>
        <w:rPr>
          <w:rFonts w:cs="Times New Roman" w:ascii="Times New Roman" w:hAnsi="Times New Roman"/>
          <w:sz w:val="20"/>
          <w:szCs w:val="20"/>
        </w:rPr>
        <w:t>, 25–44. https://redib.org/Record/oai_articulo2547415-la-formación-de-ingenieros-en-sistemas-automotrices-mediante-la-realidad-aumentada</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Extremera, J., Vergara, D., Dávila, L. P., &amp; Rubio, M. P. (2020). Virtual and augmented reality environments to learn the fundamentals of crystallography. </w:t>
      </w:r>
      <w:r>
        <w:rPr>
          <w:rFonts w:cs="Times New Roman" w:ascii="Times New Roman" w:hAnsi="Times New Roman"/>
          <w:i/>
          <w:iCs/>
          <w:sz w:val="20"/>
          <w:szCs w:val="20"/>
        </w:rPr>
        <w:t>Crystals</w:t>
      </w:r>
      <w:r>
        <w:rPr>
          <w:rFonts w:cs="Times New Roman" w:ascii="Times New Roman" w:hAnsi="Times New Roman"/>
          <w:sz w:val="20"/>
          <w:szCs w:val="20"/>
        </w:rPr>
        <w:t xml:space="preserve">, </w:t>
      </w:r>
      <w:r>
        <w:rPr>
          <w:rFonts w:cs="Times New Roman" w:ascii="Times New Roman" w:hAnsi="Times New Roman"/>
          <w:i/>
          <w:iCs/>
          <w:sz w:val="20"/>
          <w:szCs w:val="20"/>
        </w:rPr>
        <w:t>10</w:t>
      </w:r>
      <w:r>
        <w:rPr>
          <w:rFonts w:cs="Times New Roman" w:ascii="Times New Roman" w:hAnsi="Times New Roman"/>
          <w:sz w:val="20"/>
          <w:szCs w:val="20"/>
        </w:rPr>
        <w:t>(6). https://doi.org/10.3390/cryst10060456</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González González, F., Calero Castañeda, S. L., &amp; Loaiza Buitrago, D. F. (2019). Comparación de las metodologías cascada y ágil para el aumento de la productividad en el desarrollo de software. </w:t>
      </w:r>
      <w:r>
        <w:rPr>
          <w:rFonts w:cs="Times New Roman" w:ascii="Times New Roman" w:hAnsi="Times New Roman"/>
          <w:i/>
          <w:iCs/>
          <w:sz w:val="20"/>
          <w:szCs w:val="20"/>
        </w:rPr>
        <w:t>Repositorio Universidad Santiago de Cali</w:t>
      </w:r>
      <w:r>
        <w:rPr>
          <w:rFonts w:cs="Times New Roman" w:ascii="Times New Roman" w:hAnsi="Times New Roman"/>
          <w:sz w:val="20"/>
          <w:szCs w:val="20"/>
        </w:rPr>
        <w:t>, 1–10.</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Gupta, T. (2019). Game-Based Learning in Chemistry: A Game for Chemical Nomenclature [Chapter]. </w:t>
      </w:r>
      <w:r>
        <w:rPr>
          <w:rFonts w:cs="Times New Roman" w:ascii="Times New Roman" w:hAnsi="Times New Roman"/>
          <w:i/>
          <w:iCs/>
          <w:sz w:val="20"/>
          <w:szCs w:val="20"/>
        </w:rPr>
        <w:t>ACS Symposium Series</w:t>
      </w:r>
      <w:r>
        <w:rPr>
          <w:rFonts w:cs="Times New Roman" w:ascii="Times New Roman" w:hAnsi="Times New Roman"/>
          <w:sz w:val="20"/>
          <w:szCs w:val="20"/>
        </w:rPr>
        <w:t xml:space="preserve">, </w:t>
      </w:r>
      <w:r>
        <w:rPr>
          <w:rFonts w:cs="Times New Roman" w:ascii="Times New Roman" w:hAnsi="Times New Roman"/>
          <w:i/>
          <w:iCs/>
          <w:sz w:val="20"/>
          <w:szCs w:val="20"/>
        </w:rPr>
        <w:t>1318</w:t>
      </w:r>
      <w:r>
        <w:rPr>
          <w:rFonts w:cs="Times New Roman" w:ascii="Times New Roman" w:hAnsi="Times New Roman"/>
          <w:sz w:val="20"/>
          <w:szCs w:val="20"/>
        </w:rPr>
        <w:t>, 65–79. https://doi.org/10.1021/bk-2019-1318.ch005</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Heras, B. L., Técnico, L., José, B., &amp; Villarreal Benítez, L. (2007). </w:t>
      </w:r>
      <w:r>
        <w:rPr>
          <w:rFonts w:cs="Times New Roman" w:ascii="Times New Roman" w:hAnsi="Times New Roman"/>
          <w:i/>
          <w:iCs/>
          <w:sz w:val="20"/>
          <w:szCs w:val="20"/>
        </w:rPr>
        <w:t>Realidad Aumentada: una tecnología en espera de usuarios</w:t>
      </w:r>
      <w:r>
        <w:rPr>
          <w:rFonts w:cs="Times New Roman" w:ascii="Times New Roman" w:hAnsi="Times New Roman"/>
          <w:sz w:val="20"/>
          <w:szCs w:val="20"/>
        </w:rPr>
        <w:t>.</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Hernández-Chávez, M., Cortés-Caballero, J. M., Pérez-Martínez, Á. A., Hernández-Quintanar, L. F., Roa-Tort, K., Rivera-Fernández, J. D., &amp; Fabila-Bustos, D. A. (2021). Development of Virtual Reality Automotive Lab for Training in Engineering Students. </w:t>
      </w:r>
      <w:r>
        <w:rPr>
          <w:rFonts w:cs="Times New Roman" w:ascii="Times New Roman" w:hAnsi="Times New Roman"/>
          <w:i/>
          <w:iCs/>
          <w:sz w:val="20"/>
          <w:szCs w:val="20"/>
        </w:rPr>
        <w:t>Sustainability</w:t>
      </w:r>
      <w:r>
        <w:rPr>
          <w:rFonts w:cs="Times New Roman" w:ascii="Times New Roman" w:hAnsi="Times New Roman"/>
          <w:sz w:val="20"/>
          <w:szCs w:val="20"/>
        </w:rPr>
        <w:t xml:space="preserve">, </w:t>
      </w:r>
      <w:r>
        <w:rPr>
          <w:rFonts w:cs="Times New Roman" w:ascii="Times New Roman" w:hAnsi="Times New Roman"/>
          <w:i/>
          <w:iCs/>
          <w:sz w:val="20"/>
          <w:szCs w:val="20"/>
        </w:rPr>
        <w:t>13</w:t>
      </w:r>
      <w:r>
        <w:rPr>
          <w:rFonts w:cs="Times New Roman" w:ascii="Times New Roman" w:hAnsi="Times New Roman"/>
          <w:sz w:val="20"/>
          <w:szCs w:val="20"/>
        </w:rPr>
        <w:t>(17). https://doi.org/10.3390/su13179776</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Jiménez, Z. A. (2019). Teaching and Learning Chemistry via Augmented and Immersive Virtual Reality [Chapter]. </w:t>
      </w:r>
      <w:r>
        <w:rPr>
          <w:rFonts w:cs="Times New Roman" w:ascii="Times New Roman" w:hAnsi="Times New Roman"/>
          <w:i/>
          <w:iCs/>
          <w:sz w:val="20"/>
          <w:szCs w:val="20"/>
        </w:rPr>
        <w:t>ACS Symposium Series</w:t>
      </w:r>
      <w:r>
        <w:rPr>
          <w:rFonts w:cs="Times New Roman" w:ascii="Times New Roman" w:hAnsi="Times New Roman"/>
          <w:sz w:val="20"/>
          <w:szCs w:val="20"/>
        </w:rPr>
        <w:t xml:space="preserve">, </w:t>
      </w:r>
      <w:r>
        <w:rPr>
          <w:rFonts w:cs="Times New Roman" w:ascii="Times New Roman" w:hAnsi="Times New Roman"/>
          <w:i/>
          <w:iCs/>
          <w:sz w:val="20"/>
          <w:szCs w:val="20"/>
        </w:rPr>
        <w:t>1318</w:t>
      </w:r>
      <w:r>
        <w:rPr>
          <w:rFonts w:cs="Times New Roman" w:ascii="Times New Roman" w:hAnsi="Times New Roman"/>
          <w:sz w:val="20"/>
          <w:szCs w:val="20"/>
        </w:rPr>
        <w:t>, 31–52. https://doi.org/10.1021/bk-2019-1318.ch003</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Lu, A., Wong, C. S. K., Cheung, R. Y. H., &amp; Im, T. S. W. (2021). Supporting Flipped and Gamified Learning With Augmented Reality in Higher Education. </w:t>
      </w:r>
      <w:r>
        <w:rPr>
          <w:rFonts w:cs="Times New Roman" w:ascii="Times New Roman" w:hAnsi="Times New Roman"/>
          <w:i/>
          <w:iCs/>
          <w:sz w:val="20"/>
          <w:szCs w:val="20"/>
        </w:rPr>
        <w:t>Frontiers in Education</w:t>
      </w:r>
      <w:r>
        <w:rPr>
          <w:rFonts w:cs="Times New Roman" w:ascii="Times New Roman" w:hAnsi="Times New Roman"/>
          <w:sz w:val="20"/>
          <w:szCs w:val="20"/>
        </w:rPr>
        <w:t xml:space="preserve">, </w:t>
      </w:r>
      <w:r>
        <w:rPr>
          <w:rFonts w:cs="Times New Roman" w:ascii="Times New Roman" w:hAnsi="Times New Roman"/>
          <w:i/>
          <w:iCs/>
          <w:sz w:val="20"/>
          <w:szCs w:val="20"/>
        </w:rPr>
        <w:t>6</w:t>
      </w:r>
      <w:r>
        <w:rPr>
          <w:rFonts w:cs="Times New Roman" w:ascii="Times New Roman" w:hAnsi="Times New Roman"/>
          <w:sz w:val="20"/>
          <w:szCs w:val="20"/>
        </w:rPr>
        <w:t>(April), 1–11. https://doi.org/10.3389/feduc.2021.623745</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Martín-Gutiérrez, J., Mora, C. E., Añorbe-Díaz, B., &amp; González-Marrero, A. (2017). Virtual technologies trends in education. </w:t>
      </w:r>
      <w:r>
        <w:rPr>
          <w:rFonts w:cs="Times New Roman" w:ascii="Times New Roman" w:hAnsi="Times New Roman"/>
          <w:i/>
          <w:iCs/>
          <w:sz w:val="20"/>
          <w:szCs w:val="20"/>
        </w:rPr>
        <w:t>Eurasia Journal of Mathematics, Science and Technology Education</w:t>
      </w:r>
      <w:r>
        <w:rPr>
          <w:rFonts w:cs="Times New Roman" w:ascii="Times New Roman" w:hAnsi="Times New Roman"/>
          <w:sz w:val="20"/>
          <w:szCs w:val="20"/>
        </w:rPr>
        <w:t xml:space="preserve">, </w:t>
      </w:r>
      <w:r>
        <w:rPr>
          <w:rFonts w:cs="Times New Roman" w:ascii="Times New Roman" w:hAnsi="Times New Roman"/>
          <w:i/>
          <w:iCs/>
          <w:sz w:val="20"/>
          <w:szCs w:val="20"/>
        </w:rPr>
        <w:t>13</w:t>
      </w:r>
      <w:r>
        <w:rPr>
          <w:rFonts w:cs="Times New Roman" w:ascii="Times New Roman" w:hAnsi="Times New Roman"/>
          <w:sz w:val="20"/>
          <w:szCs w:val="20"/>
        </w:rPr>
        <w:t>(2), 469–486. https://doi.org/10.12973/eurasia.2017.00626a</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Palos Hernández, A. (2020). </w:t>
      </w:r>
      <w:r>
        <w:rPr>
          <w:rFonts w:cs="Times New Roman" w:ascii="Times New Roman" w:hAnsi="Times New Roman"/>
          <w:i/>
          <w:iCs/>
          <w:sz w:val="20"/>
          <w:szCs w:val="20"/>
        </w:rPr>
        <w:t>Aplicación de realidad aumentada a la docencia de asignaturas de Física y Química de E.S.O. y Bachillerato</w:t>
      </w:r>
      <w:r>
        <w:rPr>
          <w:rFonts w:cs="Times New Roman" w:ascii="Times New Roman" w:hAnsi="Times New Roman"/>
          <w:sz w:val="20"/>
          <w:szCs w:val="20"/>
        </w:rPr>
        <w:t>.</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Rodríguez, F. C., Krapp, L. F., Peraro, M. D., &amp; Abriata, L. A. (2022). Visualization, Interactive Handling and Simulation of Molecules in Commodity Augmented Reality in Web Browsers Using moleculARweb’s Virtual Modeling Kits. </w:t>
      </w:r>
      <w:r>
        <w:rPr>
          <w:rFonts w:cs="Times New Roman" w:ascii="Times New Roman" w:hAnsi="Times New Roman"/>
          <w:i/>
          <w:iCs/>
          <w:sz w:val="20"/>
          <w:szCs w:val="20"/>
        </w:rPr>
        <w:t>Chimia</w:t>
      </w:r>
      <w:r>
        <w:rPr>
          <w:rFonts w:cs="Times New Roman" w:ascii="Times New Roman" w:hAnsi="Times New Roman"/>
          <w:sz w:val="20"/>
          <w:szCs w:val="20"/>
        </w:rPr>
        <w:t xml:space="preserve">, </w:t>
      </w:r>
      <w:r>
        <w:rPr>
          <w:rFonts w:cs="Times New Roman" w:ascii="Times New Roman" w:hAnsi="Times New Roman"/>
          <w:i/>
          <w:iCs/>
          <w:sz w:val="20"/>
          <w:szCs w:val="20"/>
        </w:rPr>
        <w:t>76</w:t>
      </w:r>
      <w:r>
        <w:rPr>
          <w:rFonts w:cs="Times New Roman" w:ascii="Times New Roman" w:hAnsi="Times New Roman"/>
          <w:sz w:val="20"/>
          <w:szCs w:val="20"/>
        </w:rPr>
        <w:t>(1–2), 145. https://doi.org/10.2533/chimia.2022.145</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Schleicher, A. (2020). The impact of COVID-19 on education: Insights from education at a glance 2020. </w:t>
      </w:r>
      <w:r>
        <w:rPr>
          <w:rFonts w:cs="Times New Roman" w:ascii="Times New Roman" w:hAnsi="Times New Roman"/>
          <w:i/>
          <w:iCs/>
          <w:sz w:val="20"/>
          <w:szCs w:val="20"/>
        </w:rPr>
        <w:t>OECD Journal: Economic Studies</w:t>
      </w:r>
      <w:r>
        <w:rPr>
          <w:rFonts w:cs="Times New Roman" w:ascii="Times New Roman" w:hAnsi="Times New Roman"/>
          <w:sz w:val="20"/>
          <w:szCs w:val="20"/>
        </w:rPr>
        <w:t>, 1–31. https://www.oecd.org/education/the-impact-of-covid-19-on-education-insights-education-at-a-glance-2020.pdf</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Scott, E., Soria, A., &amp; Campo, M. (2016). </w:t>
      </w:r>
      <w:r>
        <w:rPr>
          <w:rFonts w:cs="Times New Roman" w:ascii="Times New Roman" w:hAnsi="Times New Roman"/>
          <w:i/>
          <w:iCs/>
          <w:sz w:val="20"/>
          <w:szCs w:val="20"/>
        </w:rPr>
        <w:t>Adaptive 3D Virtual Learning Environments – A Review of the Literature</w:t>
      </w:r>
      <w:r>
        <w:rPr>
          <w:rFonts w:cs="Times New Roman" w:ascii="Times New Roman" w:hAnsi="Times New Roman"/>
          <w:sz w:val="20"/>
          <w:szCs w:val="20"/>
        </w:rPr>
        <w:t xml:space="preserve">. </w:t>
      </w:r>
      <w:r>
        <w:rPr>
          <w:rFonts w:cs="Times New Roman" w:ascii="Times New Roman" w:hAnsi="Times New Roman"/>
          <w:i/>
          <w:iCs/>
          <w:sz w:val="20"/>
          <w:szCs w:val="20"/>
        </w:rPr>
        <w:t>1382</w:t>
      </w:r>
      <w:r>
        <w:rPr>
          <w:rFonts w:cs="Times New Roman" w:ascii="Times New Roman" w:hAnsi="Times New Roman"/>
          <w:sz w:val="20"/>
          <w:szCs w:val="20"/>
        </w:rPr>
        <w:t>(c), 1–15. https://doi.org/10.1109/TLT.2016.2609910</w:t>
      </w:r>
    </w:p>
    <w:p>
      <w:pPr>
        <w:pStyle w:val="Normal"/>
        <w:widowControl w:val="false"/>
        <w:spacing w:lineRule="auto" w:line="240" w:before="0" w:after="0"/>
        <w:ind w:left="480" w:hanging="480"/>
        <w:jc w:val="both"/>
        <w:rPr>
          <w:rFonts w:ascii="Times New Roman" w:hAnsi="Times New Roman"/>
          <w:sz w:val="20"/>
          <w:szCs w:val="20"/>
        </w:rPr>
      </w:pPr>
      <w:r>
        <w:rPr>
          <w:rFonts w:cs="Times New Roman" w:ascii="Times New Roman" w:hAnsi="Times New Roman"/>
          <w:sz w:val="20"/>
          <w:szCs w:val="20"/>
        </w:rPr>
        <w:t xml:space="preserve">UNESCO. (2020). COVID-19 y educación superior : De los efectos inmediatos al día después. In </w:t>
      </w:r>
      <w:r>
        <w:rPr>
          <w:rFonts w:cs="Times New Roman" w:ascii="Times New Roman" w:hAnsi="Times New Roman"/>
          <w:i/>
          <w:iCs/>
          <w:sz w:val="20"/>
          <w:szCs w:val="20"/>
        </w:rPr>
        <w:t>Unesco</w:t>
      </w:r>
      <w:r>
        <w:rPr>
          <w:rFonts w:cs="Times New Roman" w:ascii="Times New Roman" w:hAnsi="Times New Roman"/>
          <w:sz w:val="20"/>
          <w:szCs w:val="20"/>
        </w:rPr>
        <w:t>. https://d1wqtxts1xzle7.cloudfront.net/63937560/Educacion_Superior_y_Covid-19_en_la_Rep._de_Panama20200716-13711-13ary69-with-cover-page-v2.pdf?Expires=1627752245&amp;Signature=GhIPpZ600A5LxKIALKNJ5xjP1woiyBE5IEQ4-DPEF7pPcdRb-jcNp0IumJqq~8CesfLxqZwBK01xgz3WGY6</w:t>
      </w:r>
    </w:p>
    <w:p>
      <w:pPr>
        <w:pStyle w:val="Paragraph"/>
        <w:spacing w:lineRule="auto" w:line="240" w:beforeAutospacing="0" w:before="0" w:afterAutospacing="0" w:after="0"/>
        <w:ind w:left="720" w:hanging="720"/>
        <w:jc w:val="both"/>
        <w:textAlignment w:val="baseline"/>
        <w:rPr>
          <w:rFonts w:ascii="Times New Roman" w:hAnsi="Times New Roman"/>
          <w:sz w:val="20"/>
          <w:szCs w:val="20"/>
        </w:rPr>
      </w:pPr>
      <w:r>
        <w:rPr>
          <w:rFonts w:ascii="Times New Roman" w:hAnsi="Times New Roman"/>
          <w:sz w:val="20"/>
          <w:szCs w:val="20"/>
        </w:rPr>
      </w:r>
      <w:r>
        <w:rPr>
          <w:sz w:val="20"/>
          <w:szCs w:val="20"/>
          <w:rFonts w:ascii="Times New Roman" w:hAnsi="Times New Roman"/>
        </w:rPr>
        <w:fldChar w:fldCharType="end"/>
      </w:r>
    </w:p>
    <w:p>
      <w:pPr>
        <w:sectPr>
          <w:type w:val="continuous"/>
          <w:pgSz w:w="12240" w:h="15840"/>
          <w:pgMar w:left="1417" w:right="1417" w:header="1417" w:top="2044" w:footer="1417" w:bottom="2092" w:gutter="0"/>
          <w:cols w:num="2" w:space="282" w:equalWidth="true" w:sep="false"/>
          <w:formProt w:val="false"/>
          <w:textDirection w:val="lrTb"/>
          <w:docGrid w:type="default" w:linePitch="100" w:charSpace="4096"/>
        </w:sectPr>
      </w:pPr>
    </w:p>
    <w:p>
      <w:pPr>
        <w:pStyle w:val="Paragraph"/>
        <w:spacing w:lineRule="auto" w:line="240" w:beforeAutospacing="0" w:before="0" w:afterAutospacing="0" w:after="0"/>
        <w:ind w:left="720" w:hanging="720"/>
        <w:jc w:val="both"/>
        <w:textAlignment w:val="baseline"/>
        <w:rPr>
          <w:rFonts w:ascii="Times New Roman" w:hAnsi="Times New Roman"/>
          <w:color w:val="000000"/>
          <w:sz w:val="20"/>
          <w:szCs w:val="20"/>
        </w:rPr>
      </w:pPr>
      <w:r>
        <w:rPr>
          <w:rFonts w:ascii="Times New Roman" w:hAnsi="Times New Roman"/>
          <w:color w:val="000000"/>
          <w:sz w:val="20"/>
          <w:szCs w:val="20"/>
        </w:rPr>
      </w:r>
    </w:p>
    <w:p>
      <w:pPr>
        <w:pStyle w:val="Paragraph"/>
        <w:spacing w:lineRule="auto" w:line="240" w:beforeAutospacing="0" w:before="0" w:afterAutospacing="0" w:after="0"/>
        <w:ind w:left="720" w:hanging="720"/>
        <w:jc w:val="both"/>
        <w:textAlignment w:val="baseline"/>
        <w:rPr>
          <w:rFonts w:ascii="Times New Roman" w:hAnsi="Times New Roman"/>
          <w:color w:val="000000"/>
          <w:sz w:val="20"/>
          <w:szCs w:val="20"/>
        </w:rPr>
      </w:pPr>
      <w:r>
        <w:rPr>
          <w:rFonts w:ascii="Times New Roman" w:hAnsi="Times New Roman"/>
          <w:color w:val="000000"/>
          <w:sz w:val="20"/>
          <w:szCs w:val="20"/>
        </w:rPr>
      </w:r>
    </w:p>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rPr>
          <w:rFonts w:ascii="Times New Roman" w:hAnsi="Times New Roman"/>
          <w:sz w:val="20"/>
          <w:szCs w:val="20"/>
        </w:rPr>
      </w:pPr>
      <w:r>
        <w:rPr>
          <w:rFonts w:ascii="Times New Roman" w:hAnsi="Times New Roman"/>
          <w:sz w:val="20"/>
          <w:szCs w:val="20"/>
        </w:rPr>
      </w:r>
    </w:p>
    <w:sectPr>
      <w:headerReference w:type="even" r:id="rId48"/>
      <w:headerReference w:type="default" r:id="rId49"/>
      <w:headerReference w:type="first" r:id="rId50"/>
      <w:footerReference w:type="even" r:id="rId51"/>
      <w:footerReference w:type="default" r:id="rId52"/>
      <w:footerReference w:type="first" r:id="rId53"/>
      <w:type w:val="continuous"/>
      <w:pgSz w:w="12240" w:h="15840"/>
      <w:pgMar w:left="1417" w:right="1417" w:header="1417" w:top="2044" w:footer="1417" w:bottom="2092" w:gutter="0"/>
      <w:pgNumType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Times New Roman">
    <w:charset w:val="01"/>
    <w:family w:val="roman"/>
    <w:pitch w:val="variable"/>
  </w:font>
  <w:font w:name="Georgia">
    <w:charset w:val="01"/>
    <w:family w:val="roman"/>
    <w:pitch w:val="variable"/>
  </w:font>
  <w:font w:name="Times new roman">
    <w:charset w:val="01"/>
    <w:family w:val="roman"/>
    <w:pitch w:val="variable"/>
  </w:font>
  <w:font w:name="Cantarell">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3"/>
      <w:gridCol w:w="4140"/>
      <w:gridCol w:w="2782"/>
    </w:tblGrid>
    <w:tr>
      <w:trPr/>
      <w:tc>
        <w:tcPr>
          <w:tcW w:w="2483"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27/Abril/2022</w:t>
          </w:r>
        </w:p>
        <w:p>
          <w:pPr>
            <w:pStyle w:val="Contenidodelatabla"/>
            <w:widowControl w:val="false"/>
            <w:bidi w:val="0"/>
            <w:spacing w:before="0" w:after="0"/>
            <w:ind w:hanging="0"/>
            <w:jc w:val="left"/>
            <w:rPr/>
          </w:pPr>
          <w:r>
            <w:rPr>
              <w:rFonts w:ascii="Times new roman" w:hAnsi="Times new roman"/>
              <w:sz w:val="16"/>
              <w:szCs w:val="16"/>
            </w:rPr>
            <w:t>Aceptado: 01/Junio/2022</w:t>
          </w:r>
        </w:p>
      </w:tc>
      <w:tc>
        <w:tcPr>
          <w:tcW w:w="4140" w:type="dxa"/>
          <w:tcBorders/>
          <w:shd w:fill="auto" w:val="clear"/>
        </w:tcPr>
        <w:p>
          <w:pPr>
            <w:pStyle w:val="Contenidodelatabla"/>
            <w:widowControl w:val="false"/>
            <w:spacing w:before="120" w:after="60"/>
            <w:ind w:hanging="0"/>
            <w:jc w:val="center"/>
            <w:rPr/>
          </w:pPr>
          <w:bookmarkStart w:id="0" w:name="__DdeLink__3403_881141052"/>
          <w:r>
            <w:rPr>
              <w:rFonts w:eastAsia="Arial" w:cs="Arial" w:ascii="Cantarell" w:hAnsi="Cantarell"/>
              <w:sz w:val="16"/>
              <w:szCs w:val="16"/>
            </w:rPr>
            <w:t xml:space="preserve">© </w:t>
          </w:r>
          <w:bookmarkEnd w:id="0"/>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3"/>
      <w:gridCol w:w="4140"/>
      <w:gridCol w:w="2782"/>
    </w:tblGrid>
    <w:tr>
      <w:trPr/>
      <w:tc>
        <w:tcPr>
          <w:tcW w:w="2483"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27/Abril/2022</w:t>
          </w:r>
        </w:p>
        <w:p>
          <w:pPr>
            <w:pStyle w:val="Contenidodelatabla"/>
            <w:widowControl w:val="false"/>
            <w:bidi w:val="0"/>
            <w:spacing w:before="0" w:after="0"/>
            <w:ind w:hanging="0"/>
            <w:jc w:val="left"/>
            <w:rPr/>
          </w:pPr>
          <w:r>
            <w:rPr>
              <w:rFonts w:ascii="Times new roman" w:hAnsi="Times new roman"/>
              <w:sz w:val="16"/>
              <w:szCs w:val="16"/>
            </w:rPr>
            <w:t>Aceptado: 01/Junio/2022</w:t>
          </w:r>
        </w:p>
      </w:tc>
      <w:tc>
        <w:tcPr>
          <w:tcW w:w="4140" w:type="dxa"/>
          <w:tcBorders/>
          <w:shd w:fill="auto" w:val="clear"/>
        </w:tcPr>
        <w:p>
          <w:pPr>
            <w:pStyle w:val="Contenidodelatabla"/>
            <w:widowControl w:val="false"/>
            <w:spacing w:before="120" w:after="60"/>
            <w:ind w:hanging="0"/>
            <w:jc w:val="center"/>
            <w:rPr/>
          </w:pPr>
          <w:bookmarkStart w:id="3" w:name="__DdeLink__3403_881141052"/>
          <w:r>
            <w:rPr>
              <w:rFonts w:eastAsia="Arial" w:cs="Arial" w:ascii="Cantarell" w:hAnsi="Cantarell"/>
              <w:sz w:val="16"/>
              <w:szCs w:val="16"/>
            </w:rPr>
            <w:t xml:space="preserve">© </w:t>
          </w:r>
          <w:bookmarkEnd w:id="3"/>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7, No. 15, pp. </w:t>
    </w:r>
    <w:r>
      <w:rPr>
        <w:rFonts w:ascii="Times new roman" w:hAnsi="Times new roman"/>
        <w:b w:val="false"/>
        <w:i/>
        <w:iCs/>
        <w:caps w:val="false"/>
        <w:smallCaps w:val="false"/>
        <w:spacing w:val="0"/>
        <w:sz w:val="16"/>
        <w:szCs w:val="16"/>
      </w:rPr>
      <w:t>10</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12</w:t>
    </w:r>
    <w:r>
      <w:rPr>
        <w:rFonts w:ascii="Times new roman" w:hAnsi="Times new roman"/>
        <w:b w:val="false"/>
        <w:i/>
        <w:iCs/>
        <w:caps w:val="false"/>
        <w:smallCaps w:val="false"/>
        <w:spacing w:val="0"/>
        <w:sz w:val="16"/>
        <w:szCs w:val="16"/>
      </w:rPr>
      <w:t>, Julio - Diciembre 2022</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7, No. 15, pp. </w:t>
    </w:r>
    <w:r>
      <w:rPr>
        <w:rFonts w:ascii="Times new roman" w:hAnsi="Times new roman"/>
        <w:b w:val="false"/>
        <w:i/>
        <w:iCs/>
        <w:caps w:val="false"/>
        <w:smallCaps w:val="false"/>
        <w:spacing w:val="0"/>
        <w:sz w:val="16"/>
        <w:szCs w:val="16"/>
      </w:rPr>
      <w:t>10</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12</w:t>
    </w:r>
    <w:r>
      <w:rPr>
        <w:rFonts w:ascii="Times new roman" w:hAnsi="Times new roman"/>
        <w:b w:val="false"/>
        <w:i/>
        <w:iCs/>
        <w:caps w:val="false"/>
        <w:smallCaps w:val="false"/>
        <w:spacing w:val="0"/>
        <w:sz w:val="16"/>
        <w:szCs w:val="16"/>
      </w:rPr>
      <w:t>, Julio - Diciembre 2022</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rPr/>
    </w:pPr>
    <w:r>
      <w:rPr/>
    </w:r>
  </w:p>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n7"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7"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7, No. 15, pp. </w:t>
          </w:r>
          <w:r>
            <w:rPr>
              <w:rFonts w:eastAsia="Times New Roman" w:cs="Times New Roman" w:ascii="Times new roman" w:hAnsi="Times new roman"/>
              <w:sz w:val="20"/>
              <w:szCs w:val="20"/>
            </w:rPr>
            <w:t>10</w:t>
          </w:r>
          <w:r>
            <w:rPr>
              <w:rFonts w:eastAsia="Times New Roman" w:cs="Times New Roman" w:ascii="Times new roman" w:hAnsi="Times new roman"/>
              <w:sz w:val="20"/>
              <w:szCs w:val="20"/>
            </w:rPr>
            <w:t>5</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12</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2022</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7, No. 15, pp. </w:t>
    </w:r>
    <w:r>
      <w:rPr>
        <w:rFonts w:ascii="Times new roman" w:hAnsi="Times new roman"/>
        <w:b w:val="false"/>
        <w:i/>
        <w:iCs/>
        <w:caps w:val="false"/>
        <w:smallCaps w:val="false"/>
        <w:spacing w:val="0"/>
        <w:sz w:val="16"/>
        <w:szCs w:val="16"/>
      </w:rPr>
      <w:t>10</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12</w:t>
    </w:r>
    <w:r>
      <w:rPr>
        <w:rFonts w:ascii="Times new roman" w:hAnsi="Times new roman"/>
        <w:b w:val="false"/>
        <w:i/>
        <w:iCs/>
        <w:caps w:val="false"/>
        <w:smallCaps w:val="false"/>
        <w:spacing w:val="0"/>
        <w:sz w:val="16"/>
        <w:szCs w:val="16"/>
      </w:rPr>
      <w:t>, Julio - Diciembre 2022</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7, No. 15, pp. </w:t>
    </w:r>
    <w:r>
      <w:rPr>
        <w:rFonts w:ascii="Times new roman" w:hAnsi="Times new roman"/>
        <w:b w:val="false"/>
        <w:i/>
        <w:iCs/>
        <w:caps w:val="false"/>
        <w:smallCaps w:val="false"/>
        <w:spacing w:val="0"/>
        <w:sz w:val="16"/>
        <w:szCs w:val="16"/>
      </w:rPr>
      <w:t>10</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12</w:t>
    </w:r>
    <w:r>
      <w:rPr>
        <w:rFonts w:ascii="Times new roman" w:hAnsi="Times new roman"/>
        <w:b w:val="false"/>
        <w:i/>
        <w:iCs/>
        <w:caps w:val="false"/>
        <w:smallCaps w:val="false"/>
        <w:spacing w:val="0"/>
        <w:sz w:val="16"/>
        <w:szCs w:val="16"/>
      </w:rPr>
      <w:t>, Julio - Diciembre 2022</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rPr/>
    </w:pPr>
    <w:r>
      <w:rPr/>
    </w:r>
  </w:p>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42" name="Imagen7"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7"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7, No. 15, pp. </w:t>
          </w:r>
          <w:r>
            <w:rPr>
              <w:rFonts w:eastAsia="Times New Roman" w:cs="Times New Roman" w:ascii="Times new roman" w:hAnsi="Times new roman"/>
              <w:sz w:val="20"/>
              <w:szCs w:val="20"/>
            </w:rPr>
            <w:t>10</w:t>
          </w:r>
          <w:r>
            <w:rPr>
              <w:rFonts w:eastAsia="Times New Roman" w:cs="Times New Roman" w:ascii="Times new roman" w:hAnsi="Times new roman"/>
              <w:sz w:val="20"/>
              <w:szCs w:val="20"/>
            </w:rPr>
            <w:t>5</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12</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2022</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MX"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es-MX"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qFormat/>
    <w:pPr>
      <w:keepNext w:val="true"/>
      <w:keepLines/>
      <w:spacing w:before="240" w:after="40"/>
      <w:outlineLvl w:val="3"/>
    </w:pPr>
    <w:rPr>
      <w:b/>
      <w:sz w:val="24"/>
      <w:szCs w:val="24"/>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EnlacedeInternet">
    <w:name w:val="Enlace de Internet"/>
    <w:basedOn w:val="DefaultParagraphFont"/>
    <w:uiPriority w:val="99"/>
    <w:unhideWhenUsed/>
    <w:rsid w:val="00a7760c"/>
    <w:rPr>
      <w:color w:val="0000FF" w:themeColor="hyperlink"/>
      <w:u w:val="single"/>
    </w:rPr>
  </w:style>
  <w:style w:type="character" w:styleId="Normaltextrun" w:customStyle="1">
    <w:name w:val="normaltextrun"/>
    <w:basedOn w:val="DefaultParagraphFont"/>
    <w:qFormat/>
    <w:rsid w:val="00fd482a"/>
    <w:rPr/>
  </w:style>
  <w:style w:type="character" w:styleId="Eop" w:customStyle="1">
    <w:name w:val="eop"/>
    <w:basedOn w:val="DefaultParagraphFont"/>
    <w:qFormat/>
    <w:rsid w:val="00fd482a"/>
    <w:rPr/>
  </w:style>
  <w:style w:type="character" w:styleId="Annotationreference">
    <w:name w:val="annotation reference"/>
    <w:basedOn w:val="DefaultParagraphFont"/>
    <w:uiPriority w:val="99"/>
    <w:semiHidden/>
    <w:unhideWhenUsed/>
    <w:qFormat/>
    <w:rsid w:val="00756f80"/>
    <w:rPr>
      <w:sz w:val="16"/>
      <w:szCs w:val="16"/>
    </w:rPr>
  </w:style>
  <w:style w:type="character" w:styleId="TextocomentarioCar" w:customStyle="1">
    <w:name w:val="Texto comentario Car"/>
    <w:basedOn w:val="DefaultParagraphFont"/>
    <w:link w:val="Textocomentario"/>
    <w:uiPriority w:val="99"/>
    <w:qFormat/>
    <w:rsid w:val="00756f80"/>
    <w:rPr>
      <w:sz w:val="20"/>
      <w:szCs w:val="20"/>
    </w:rPr>
  </w:style>
  <w:style w:type="character" w:styleId="AsuntodelcomentarioCar" w:customStyle="1">
    <w:name w:val="Asunto del comentario Car"/>
    <w:basedOn w:val="TextocomentarioCar"/>
    <w:link w:val="Asuntodelcomentario"/>
    <w:uiPriority w:val="99"/>
    <w:semiHidden/>
    <w:qFormat/>
    <w:rsid w:val="00756f80"/>
    <w:rPr>
      <w:b/>
      <w:bCs/>
      <w:sz w:val="20"/>
      <w:szCs w:val="20"/>
    </w:rPr>
  </w:style>
  <w:style w:type="character" w:styleId="EncabezadoCar" w:customStyle="1">
    <w:name w:val="Encabezado Car"/>
    <w:basedOn w:val="DefaultParagraphFont"/>
    <w:link w:val="Encabezado"/>
    <w:uiPriority w:val="99"/>
    <w:semiHidden/>
    <w:qFormat/>
    <w:rsid w:val="00ad3bc6"/>
    <w:rPr/>
  </w:style>
  <w:style w:type="character" w:styleId="PiedepginaCar" w:customStyle="1">
    <w:name w:val="Pie de página Car"/>
    <w:basedOn w:val="DefaultParagraphFont"/>
    <w:link w:val="Piedepgina"/>
    <w:uiPriority w:val="99"/>
    <w:semiHidden/>
    <w:qFormat/>
    <w:rsid w:val="00ad3bc6"/>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tulogeneral">
    <w:name w:val="Title"/>
    <w:basedOn w:val="Normal"/>
    <w:next w:val="Normal"/>
    <w:qFormat/>
    <w:pPr>
      <w:spacing w:lineRule="auto" w:line="240" w:before="0" w:after="120"/>
      <w:jc w:val="center"/>
    </w:pPr>
    <w:rPr>
      <w:rFonts w:ascii="Times New Roman" w:hAnsi="Times New Roman" w:eastAsia="Times New Roman" w:cs="Times New Roman"/>
      <w:b/>
      <w:sz w:val="24"/>
      <w:szCs w:val="24"/>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ListParagraph">
    <w:name w:val="List Paragraph"/>
    <w:basedOn w:val="Normal"/>
    <w:uiPriority w:val="34"/>
    <w:qFormat/>
    <w:rsid w:val="00e96f10"/>
    <w:pPr>
      <w:spacing w:before="0" w:after="160"/>
      <w:ind w:left="720" w:hanging="0"/>
      <w:contextualSpacing/>
    </w:pPr>
    <w:rPr/>
  </w:style>
  <w:style w:type="paragraph" w:styleId="Paragraph" w:customStyle="1">
    <w:name w:val="paragraph"/>
    <w:basedOn w:val="Normal"/>
    <w:qFormat/>
    <w:rsid w:val="006625e1"/>
    <w:pPr>
      <w:spacing w:lineRule="auto" w:line="240" w:beforeAutospacing="1" w:afterAutospacing="1"/>
    </w:pPr>
    <w:rPr>
      <w:rFonts w:ascii="Times New Roman" w:hAnsi="Times New Roman" w:eastAsia="Times New Roman" w:cs="Times New Roman"/>
      <w:sz w:val="24"/>
      <w:szCs w:val="24"/>
    </w:rPr>
  </w:style>
  <w:style w:type="paragraph" w:styleId="Annotationtext">
    <w:name w:val="annotation text"/>
    <w:basedOn w:val="Normal"/>
    <w:link w:val="TextocomentarioCar"/>
    <w:uiPriority w:val="99"/>
    <w:unhideWhenUsed/>
    <w:qFormat/>
    <w:rsid w:val="00756f80"/>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756f80"/>
    <w:pPr/>
    <w:rPr>
      <w:b/>
      <w:bCs/>
    </w:rPr>
  </w:style>
  <w:style w:type="paragraph" w:styleId="Cabeceraypie">
    <w:name w:val="Cabecera y pie"/>
    <w:basedOn w:val="Normal"/>
    <w:qFormat/>
    <w:pPr/>
    <w:rPr/>
  </w:style>
  <w:style w:type="paragraph" w:styleId="Cabecera">
    <w:name w:val="Header"/>
    <w:basedOn w:val="Normal"/>
    <w:link w:val="EncabezadoCar"/>
    <w:uiPriority w:val="99"/>
    <w:semiHidden/>
    <w:unhideWhenUsed/>
    <w:rsid w:val="00ad3bc6"/>
    <w:pPr>
      <w:tabs>
        <w:tab w:val="clear" w:pos="720"/>
        <w:tab w:val="center" w:pos="4419" w:leader="none"/>
        <w:tab w:val="right" w:pos="8838" w:leader="none"/>
      </w:tabs>
      <w:spacing w:lineRule="auto" w:line="240" w:before="0" w:after="0"/>
    </w:pPr>
    <w:rPr/>
  </w:style>
  <w:style w:type="paragraph" w:styleId="Piedepgina">
    <w:name w:val="Footer"/>
    <w:basedOn w:val="Normal"/>
    <w:link w:val="PiedepginaCar"/>
    <w:uiPriority w:val="99"/>
    <w:semiHidden/>
    <w:unhideWhenUsed/>
    <w:rsid w:val="00ad3bc6"/>
    <w:pPr>
      <w:tabs>
        <w:tab w:val="clear" w:pos="720"/>
        <w:tab w:val="center" w:pos="4419" w:leader="none"/>
        <w:tab w:val="right" w:pos="8838" w:leader="none"/>
      </w:tabs>
      <w:spacing w:lineRule="auto" w:line="240" w:before="0" w:after="0"/>
    </w:pPr>
    <w:rPr/>
  </w:style>
  <w:style w:type="paragraph" w:styleId="Cabeceraizquierda">
    <w:name w:val="Cabecera izquierda"/>
    <w:basedOn w:val="Cabecera"/>
    <w:qFormat/>
    <w:pPr>
      <w:suppressLineNumbers/>
      <w:tabs>
        <w:tab w:val="clear" w:pos="4419"/>
        <w:tab w:val="clear" w:pos="8838"/>
        <w:tab w:val="center" w:pos="4703" w:leader="none"/>
        <w:tab w:val="right" w:pos="9406" w:leader="none"/>
      </w:tabs>
    </w:pPr>
    <w:rPr/>
  </w:style>
  <w:style w:type="paragraph" w:styleId="Contenidodelatabla">
    <w:name w:val="Contenido de la tabla"/>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NormalTable0">
    <w:name w:val="Normal Table0"/>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jpeg"/><Relationship Id="rId48" Type="http://schemas.openxmlformats.org/officeDocument/2006/relationships/header" Target="header4.xml"/><Relationship Id="rId49" Type="http://schemas.openxmlformats.org/officeDocument/2006/relationships/header" Target="header5.xml"/><Relationship Id="rId50" Type="http://schemas.openxmlformats.org/officeDocument/2006/relationships/header" Target="header6.xml"/><Relationship Id="rId51" Type="http://schemas.openxmlformats.org/officeDocument/2006/relationships/footer" Target="footer4.xml"/><Relationship Id="rId52" Type="http://schemas.openxmlformats.org/officeDocument/2006/relationships/footer" Target="footer5.xml"/><Relationship Id="rId53" Type="http://schemas.openxmlformats.org/officeDocument/2006/relationships/footer" Target="footer6.xml"/><Relationship Id="rId54" Type="http://schemas.openxmlformats.org/officeDocument/2006/relationships/numbering" Target="numbering.xml"/><Relationship Id="rId55" Type="http://schemas.openxmlformats.org/officeDocument/2006/relationships/fontTable" Target="fontTable.xml"/><Relationship Id="rId56" Type="http://schemas.openxmlformats.org/officeDocument/2006/relationships/settings" Target="settings.xml"/><Relationship Id="rId57" Type="http://schemas.openxmlformats.org/officeDocument/2006/relationships/theme" Target="theme/theme1.xml"/><Relationship Id="rId58"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4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F8D45-6CCB-46BF-969C-02999330F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Application>LibreOffice/7.0.4.2$Linux_X86_64 LibreOffice_project/00$Build-2</Application>
  <AppVersion>15.0000</AppVersion>
  <Pages>8</Pages>
  <Words>3490</Words>
  <Characters>20148</Characters>
  <CharactersWithSpaces>23493</CharactersWithSpaces>
  <Paragraphs>108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2022-04-28T04:58:00Z</dcterms:created>
  <dc:creator>Diego Fabila</dc:creator>
  <dc:description/>
  <dc:language>es-MX</dc:language>
  <cp:lastModifiedBy/>
  <dcterms:modified xsi:type="dcterms:W3CDTF">2022-07-19T13:48:08Z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http://www.zotero.org/styles/acs-chemical-biology</vt:lpwstr>
  </property>
  <property fmtid="{D5CDD505-2E9C-101B-9397-08002B2CF9AE}" pid="5" name="Mendeley Recent Style Id 1_1">
    <vt:lpwstr>http://www.zotero.org/styles/american-medical-association</vt:lpwstr>
  </property>
  <property fmtid="{D5CDD505-2E9C-101B-9397-08002B2CF9AE}" pid="6" name="Mendeley Recent Style Id 2_1">
    <vt:lpwstr>http://www.zotero.org/styles/american-political-science-association</vt:lpwstr>
  </property>
  <property fmtid="{D5CDD505-2E9C-101B-9397-08002B2CF9AE}" pid="7" name="Mendeley Recent Style Id 3_1">
    <vt:lpwstr>http://www.zotero.org/styles/apa</vt:lpwstr>
  </property>
  <property fmtid="{D5CDD505-2E9C-101B-9397-08002B2CF9AE}" pid="8" name="Mendeley Recent Style Id 4_1">
    <vt:lpwstr>http://www.zotero.org/styles/american-sociological-association</vt:lpwstr>
  </property>
  <property fmtid="{D5CDD505-2E9C-101B-9397-08002B2CF9AE}" pid="9" name="Mendeley Recent Style Id 5_1">
    <vt:lpwstr>http://www.zotero.org/styles/chicago-author-date</vt:lpwstr>
  </property>
  <property fmtid="{D5CDD505-2E9C-101B-9397-08002B2CF9AE}" pid="10" name="Mendeley Recent Style Id 6_1">
    <vt:lpwstr>http://www.zotero.org/styles/harvard-cite-them-right</vt:lpwstr>
  </property>
  <property fmtid="{D5CDD505-2E9C-101B-9397-08002B2CF9AE}" pid="11" name="Mendeley Recent Style Id 7_1">
    <vt:lpwstr>http://www.zotero.org/styles/ieee</vt:lpwstr>
  </property>
  <property fmtid="{D5CDD505-2E9C-101B-9397-08002B2CF9AE}" pid="12" name="Mendeley Recent Style Id 8_1">
    <vt:lpwstr>http://www.zotero.org/styles/modern-humanities-research-association</vt:lpwstr>
  </property>
  <property fmtid="{D5CDD505-2E9C-101B-9397-08002B2CF9AE}" pid="13" name="Mendeley Recent Style Id 9_1">
    <vt:lpwstr>http://www.zotero.org/styles/modern-language-association</vt:lpwstr>
  </property>
  <property fmtid="{D5CDD505-2E9C-101B-9397-08002B2CF9AE}" pid="14" name="Mendeley Recent Style Name 0_1">
    <vt:lpwstr>ACS Chemical Biology</vt:lpwstr>
  </property>
  <property fmtid="{D5CDD505-2E9C-101B-9397-08002B2CF9AE}" pid="15" name="Mendeley Recent Style Name 1_1">
    <vt:lpwstr>American Medical Association 11th edition</vt:lpwstr>
  </property>
  <property fmtid="{D5CDD505-2E9C-101B-9397-08002B2CF9AE}" pid="16" name="Mendeley Recent Style Name 2_1">
    <vt:lpwstr>American Political Science Association</vt:lpwstr>
  </property>
  <property fmtid="{D5CDD505-2E9C-101B-9397-08002B2CF9AE}" pid="17" name="Mendeley Recent Style Name 3_1">
    <vt:lpwstr>American Psychological Association 7th edition</vt:lpwstr>
  </property>
  <property fmtid="{D5CDD505-2E9C-101B-9397-08002B2CF9AE}" pid="18" name="Mendeley Recent Style Name 4_1">
    <vt:lpwstr>American Sociological Association 6th edition</vt:lpwstr>
  </property>
  <property fmtid="{D5CDD505-2E9C-101B-9397-08002B2CF9AE}" pid="19" name="Mendeley Recent Style Name 5_1">
    <vt:lpwstr>Chicago Manual of Style 17th edition (author-date)</vt:lpwstr>
  </property>
  <property fmtid="{D5CDD505-2E9C-101B-9397-08002B2CF9AE}" pid="20" name="Mendeley Recent Style Name 6_1">
    <vt:lpwstr>Cite Them Right 10th edition - Harvard</vt:lpwstr>
  </property>
  <property fmtid="{D5CDD505-2E9C-101B-9397-08002B2CF9AE}" pid="21" name="Mendeley Recent Style Name 7_1">
    <vt:lpwstr>IEEE</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Name 9_1">
    <vt:lpwstr>Modern Language Association 8th edition</vt:lpwstr>
  </property>
  <property fmtid="{D5CDD505-2E9C-101B-9397-08002B2CF9AE}" pid="24" name="Mendeley Unique User Id_1">
    <vt:lpwstr>f43505f5-5087-3531-be1f-ce714dd586ae</vt:lpwstr>
  </property>
</Properties>
</file>