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9.jpeg" ContentType="image/jpeg"/>
  <Override PartName="/word/media/image11.jpeg" ContentType="image/jpeg"/>
  <Override PartName="/word/media/image14.jpeg" ContentType="image/jpeg"/>
  <Override PartName="/word/media/image1.png" ContentType="image/png"/>
  <Override PartName="/word/media/image3.jpeg" ContentType="image/jpeg"/>
  <Override PartName="/word/media/image15.png" ContentType="image/png"/>
  <Override PartName="/word/media/image5.jpeg" ContentType="image/jpeg"/>
  <Override PartName="/word/media/image2.jpeg" ContentType="image/jpeg"/>
  <Override PartName="/word/media/image4.jpeg" ContentType="image/jpeg"/>
  <Override PartName="/word/media/image6.jpeg" ContentType="image/jpeg"/>
  <Override PartName="/word/media/image7.jpeg" ContentType="image/jpeg"/>
  <Override PartName="/word/media/image12.jpeg" ContentType="image/jpeg"/>
  <Override PartName="/word/media/image10.jpeg" ContentType="image/jpeg"/>
  <Override PartName="/word/media/image8.jpeg" ContentType="image/jpeg"/>
  <Override PartName="/word/media/image13.jpeg" ContentType="image/jpe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spacing w:lineRule="auto" w:line="240" w:before="0" w:after="0"/>
        <w:jc w:val="center"/>
        <w:rPr>
          <w:rFonts w:ascii="Times New Roman" w:hAnsi="Times New Roman"/>
          <w:sz w:val="44"/>
          <w:szCs w:val="44"/>
        </w:rPr>
      </w:pPr>
      <w:r>
        <w:rPr>
          <w:rFonts w:ascii="Times New Roman" w:hAnsi="Times New Roman"/>
          <w:sz w:val="44"/>
          <w:szCs w:val="44"/>
        </w:rPr>
        <w:t>Diseño e implementación de un applet Geogebra para el estudio de curvas de nivel</w:t>
      </w:r>
    </w:p>
    <w:p>
      <w:pPr>
        <w:pStyle w:val="Normal"/>
        <w:pBdr/>
        <w:spacing w:lineRule="auto" w:line="240" w:before="0" w:after="0"/>
        <w:jc w:val="both"/>
        <w:rPr>
          <w:rFonts w:ascii="Times New Roman" w:hAnsi="Times New Roman"/>
          <w:sz w:val="20"/>
          <w:szCs w:val="20"/>
        </w:rPr>
      </w:pPr>
      <w:r>
        <w:rPr>
          <w:rFonts w:ascii="Times New Roman" w:hAnsi="Times New Roman"/>
          <w:sz w:val="20"/>
          <w:szCs w:val="20"/>
        </w:rPr>
      </w:r>
    </w:p>
    <w:p>
      <w:pPr>
        <w:pStyle w:val="Textopreformateado"/>
        <w:pBdr/>
        <w:spacing w:lineRule="auto" w:line="240" w:before="0" w:after="0"/>
        <w:jc w:val="center"/>
        <w:rPr>
          <w:rFonts w:ascii="Times New Roman" w:hAnsi="Times New Roman"/>
          <w:sz w:val="36"/>
          <w:szCs w:val="36"/>
          <w:lang w:val="en-US"/>
        </w:rPr>
      </w:pPr>
      <w:bookmarkStart w:id="0" w:name="tw-target-text1"/>
      <w:bookmarkEnd w:id="0"/>
      <w:r>
        <w:rPr>
          <w:rFonts w:ascii="Times New Roman" w:hAnsi="Times New Roman"/>
          <w:sz w:val="36"/>
          <w:szCs w:val="36"/>
          <w:lang w:val="en-US"/>
        </w:rPr>
        <w:t>Design and implementation of a Geogebra applet for the study of contour lines</w:t>
      </w:r>
    </w:p>
    <w:p>
      <w:pPr>
        <w:pStyle w:val="Normal"/>
        <w:pBdr/>
        <w:spacing w:lineRule="auto" w:line="240" w:before="0" w:after="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jc w:val="center"/>
        <w:rPr>
          <w:rFonts w:ascii="Times New Roman" w:hAnsi="Times New Roman"/>
          <w:sz w:val="24"/>
          <w:szCs w:val="24"/>
        </w:rPr>
      </w:pPr>
      <w:r>
        <w:rPr>
          <w:rFonts w:ascii="Times New Roman" w:hAnsi="Times New Roman"/>
          <w:sz w:val="24"/>
          <w:szCs w:val="24"/>
        </w:rPr>
        <w:t>Luis Abraham Farfán Matú</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t>José Alejandro López Rentería</w:t>
      </w:r>
      <w:r>
        <w:rPr>
          <w:rFonts w:ascii="Times New Roman" w:hAnsi="Times New Roman"/>
          <w:sz w:val="24"/>
          <w:szCs w:val="24"/>
          <w:vertAlign w:val="superscript"/>
        </w:rPr>
        <w:t>1</w:t>
      </w:r>
      <w:r>
        <w:rPr>
          <w:rFonts w:ascii="Times New Roman" w:hAnsi="Times New Roman"/>
          <w:sz w:val="24"/>
          <w:szCs w:val="24"/>
        </w:rPr>
        <w:t xml:space="preserve"> y </w:t>
      </w:r>
      <w:r>
        <w:rPr>
          <w:rFonts w:ascii="Times New Roman" w:hAnsi="Times New Roman"/>
          <w:sz w:val="24"/>
          <w:szCs w:val="24"/>
        </w:rPr>
        <w:t>Miguel Angel Can Ek</w:t>
      </w:r>
      <w:r>
        <w:rPr>
          <w:rFonts w:ascii="Times New Roman" w:hAnsi="Times New Roman"/>
          <w:sz w:val="24"/>
          <w:szCs w:val="24"/>
          <w:vertAlign w:val="superscript"/>
        </w:rPr>
        <w:t>2</w:t>
      </w:r>
    </w:p>
    <w:p>
      <w:pPr>
        <w:pStyle w:val="Normal"/>
        <w:pBdr/>
        <w:spacing w:lineRule="auto" w:line="240" w:before="0" w:after="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jc w:val="center"/>
        <w:rPr>
          <w:rFonts w:ascii="Times New Roman" w:hAnsi="Times New Roman"/>
          <w:i/>
          <w:i/>
          <w:iCs/>
          <w:sz w:val="24"/>
          <w:szCs w:val="24"/>
        </w:rPr>
      </w:pPr>
      <w:r>
        <w:rPr>
          <w:rFonts w:ascii="Times New Roman" w:hAnsi="Times New Roman"/>
          <w:i/>
          <w:iCs/>
          <w:sz w:val="24"/>
          <w:szCs w:val="24"/>
          <w:vertAlign w:val="superscript"/>
        </w:rPr>
        <w:t>1</w:t>
      </w:r>
      <w:r>
        <w:rPr>
          <w:rFonts w:ascii="Times New Roman" w:hAnsi="Times New Roman"/>
          <w:i/>
          <w:iCs/>
          <w:sz w:val="24"/>
          <w:szCs w:val="24"/>
        </w:rPr>
        <w:t>Universidad Autónoma de Yucatán, Facultad de Ingeniería Química, p</w:t>
      </w:r>
      <w:r>
        <w:rPr>
          <w:rFonts w:ascii="Times New Roman" w:hAnsi="Times New Roman"/>
          <w:i/>
          <w:iCs/>
          <w:sz w:val="24"/>
          <w:szCs w:val="24"/>
        </w:rPr>
        <w:t>erifé</w:t>
      </w:r>
      <w:r>
        <w:rPr>
          <w:rFonts w:ascii="Times New Roman" w:hAnsi="Times New Roman"/>
          <w:i/>
          <w:iCs/>
          <w:sz w:val="24"/>
          <w:szCs w:val="24"/>
        </w:rPr>
        <w:t>rico</w:t>
      </w:r>
      <w:r>
        <w:rPr>
          <w:rFonts w:ascii="Times New Roman" w:hAnsi="Times New Roman"/>
          <w:i/>
          <w:iCs/>
          <w:sz w:val="24"/>
          <w:szCs w:val="24"/>
        </w:rPr>
        <w:t xml:space="preserve"> de Mérida Lic. Manuel Berzunza 13615, Chuburná de Hidalgo, 97203 Mérida, Yuc</w:t>
      </w:r>
      <w:r>
        <w:rPr>
          <w:rFonts w:ascii="Times New Roman" w:hAnsi="Times New Roman"/>
          <w:i/>
          <w:iCs/>
          <w:sz w:val="24"/>
          <w:szCs w:val="24"/>
        </w:rPr>
        <w:t>atán, México.</w:t>
      </w:r>
    </w:p>
    <w:p>
      <w:pPr>
        <w:pStyle w:val="Normal"/>
        <w:pBdr/>
        <w:spacing w:lineRule="auto" w:line="240" w:before="0" w:after="0"/>
        <w:jc w:val="center"/>
        <w:rPr>
          <w:rFonts w:ascii="Times New Roman" w:hAnsi="Times New Roman"/>
          <w:i/>
          <w:i/>
          <w:iCs/>
          <w:sz w:val="24"/>
          <w:szCs w:val="24"/>
        </w:rPr>
      </w:pPr>
      <w:r>
        <w:rPr>
          <w:rFonts w:ascii="Times New Roman" w:hAnsi="Times New Roman"/>
          <w:i/>
          <w:iCs/>
          <w:sz w:val="24"/>
          <w:szCs w:val="24"/>
        </w:rPr>
      </w:r>
    </w:p>
    <w:p>
      <w:pPr>
        <w:pStyle w:val="Normal"/>
        <w:pBdr/>
        <w:spacing w:lineRule="auto" w:line="240" w:before="0" w:after="0"/>
        <w:jc w:val="center"/>
        <w:rPr>
          <w:rFonts w:ascii="Times New Roman" w:hAnsi="Times New Roman"/>
          <w:i/>
          <w:i/>
          <w:iCs/>
          <w:sz w:val="24"/>
          <w:szCs w:val="24"/>
        </w:rPr>
      </w:pPr>
      <w:r>
        <w:rPr>
          <w:rFonts w:ascii="Times New Roman" w:hAnsi="Times New Roman"/>
          <w:i/>
          <w:iCs/>
          <w:sz w:val="24"/>
          <w:szCs w:val="24"/>
          <w:vertAlign w:val="superscript"/>
        </w:rPr>
        <w:t>2</w:t>
      </w:r>
      <w:r>
        <w:rPr>
          <w:rFonts w:ascii="Times New Roman" w:hAnsi="Times New Roman"/>
          <w:i/>
          <w:iCs/>
          <w:sz w:val="24"/>
          <w:szCs w:val="24"/>
        </w:rPr>
        <w:t xml:space="preserve">Universidad Autónoma de Yucatán, Facultad de Matemáticas, </w:t>
      </w:r>
      <w:r>
        <w:rPr>
          <w:rFonts w:ascii="Times New Roman" w:hAnsi="Times New Roman"/>
          <w:i/>
          <w:iCs/>
          <w:sz w:val="24"/>
          <w:szCs w:val="24"/>
        </w:rPr>
        <w:t>Anillo Periférico Norte tablaje 13615, Chuburná de Hidalgo, 97119 Mérida, Yuc</w:t>
      </w:r>
      <w:r>
        <w:rPr>
          <w:rFonts w:ascii="Times New Roman" w:hAnsi="Times New Roman"/>
          <w:i/>
          <w:iCs/>
          <w:sz w:val="24"/>
          <w:szCs w:val="24"/>
        </w:rPr>
        <w:t>atán, México.</w:t>
      </w:r>
    </w:p>
    <w:p>
      <w:pPr>
        <w:pStyle w:val="Normal"/>
        <w:pBdr/>
        <w:spacing w:lineRule="auto" w:line="240" w:before="0" w:after="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jc w:val="center"/>
        <w:rPr>
          <w:rFonts w:ascii="Times New Roman" w:hAnsi="Times New Roman"/>
          <w:i/>
          <w:i/>
          <w:iCs/>
          <w:sz w:val="20"/>
          <w:szCs w:val="20"/>
        </w:rPr>
      </w:pPr>
      <w:r>
        <w:rPr>
          <w:rFonts w:ascii="Times New Roman" w:hAnsi="Times New Roman"/>
          <w:i/>
          <w:iCs/>
          <w:sz w:val="20"/>
          <w:szCs w:val="20"/>
        </w:rPr>
        <w:t>*Corresponding author:</w:t>
      </w:r>
    </w:p>
    <w:p>
      <w:pPr>
        <w:pStyle w:val="Normal"/>
        <w:pBdr/>
        <w:spacing w:lineRule="auto" w:line="240" w:before="0" w:after="0"/>
        <w:jc w:val="center"/>
        <w:rPr>
          <w:rFonts w:ascii="Times New Roman" w:hAnsi="Times New Roman"/>
          <w:i/>
          <w:i/>
          <w:iCs/>
          <w:sz w:val="20"/>
          <w:szCs w:val="20"/>
        </w:rPr>
      </w:pPr>
      <w:r>
        <w:rPr>
          <w:rFonts w:ascii="Times New Roman" w:hAnsi="Times New Roman"/>
          <w:i/>
          <w:iCs/>
          <w:sz w:val="20"/>
          <w:szCs w:val="20"/>
        </w:rPr>
        <w:t>luis.farfan@correo.uady.mx</w:t>
      </w:r>
    </w:p>
    <w:p>
      <w:pPr>
        <w:pStyle w:val="Normal"/>
        <w:pBdr/>
        <w:spacing w:lineRule="auto" w:line="240" w:before="0" w:after="0"/>
        <w:jc w:val="both"/>
        <w:rPr>
          <w:rFonts w:ascii="Times New Roman" w:hAnsi="Times New Roman"/>
          <w:sz w:val="20"/>
          <w:szCs w:val="20"/>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1983" w:footer="1417" w:bottom="2092" w:gutter="0"/>
          <w:pgNumType w:start="1" w:fmt="decimal"/>
          <w:formProt w:val="false"/>
          <w:titlePg/>
          <w:textDirection w:val="lrTb"/>
          <w:docGrid w:type="default" w:linePitch="299" w:charSpace="4096"/>
        </w:sectPr>
      </w:pP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rPr>
        <w:t xml:space="preserve">Resumen. La visualización espacial es una de las principales dificultades de los estudiantes de Matemáticas, en particular, cuando estudian la representación visual de curvas de nivel de funciones de dos variables. En este trabajo se reporta el diseño e implementación de un </w:t>
      </w:r>
      <w:r>
        <w:rPr>
          <w:rFonts w:eastAsia="Times New Roman" w:cs="Times New Roman" w:ascii="Times New Roman" w:hAnsi="Times New Roman"/>
          <w:b/>
          <w:bCs/>
          <w:i/>
          <w:iCs/>
          <w:sz w:val="20"/>
          <w:szCs w:val="20"/>
        </w:rPr>
        <w:t>applet</w:t>
      </w:r>
      <w:r>
        <w:rPr>
          <w:rFonts w:eastAsia="Times New Roman" w:cs="Times New Roman" w:ascii="Times New Roman" w:hAnsi="Times New Roman"/>
          <w:b/>
          <w:bCs/>
          <w:sz w:val="20"/>
          <w:szCs w:val="20"/>
        </w:rPr>
        <w:t xml:space="preserve"> GeoGebra en un grupo de estudiantes de ingeniería que cursaron la asignatura Cálculo y Análisis Vectorial, así como un análisis cualitativo de las diferentes perspectivas gráficas de las curvas de nivel generadas por los estudiantes con el </w:t>
      </w:r>
      <w:r>
        <w:rPr>
          <w:rFonts w:eastAsia="Times New Roman" w:cs="Times New Roman" w:ascii="Times New Roman" w:hAnsi="Times New Roman"/>
          <w:b/>
          <w:bCs/>
          <w:i/>
          <w:iCs/>
          <w:sz w:val="20"/>
          <w:szCs w:val="20"/>
        </w:rPr>
        <w:t>applet</w:t>
      </w:r>
      <w:r>
        <w:rPr>
          <w:rFonts w:eastAsia="Times New Roman" w:cs="Times New Roman" w:ascii="Times New Roman" w:hAnsi="Times New Roman"/>
          <w:b/>
          <w:bCs/>
          <w:sz w:val="20"/>
          <w:szCs w:val="20"/>
        </w:rPr>
        <w:t xml:space="preserve"> para diferentes funciones. Los resultados muestran que el </w:t>
      </w:r>
      <w:r>
        <w:rPr>
          <w:rFonts w:eastAsia="Times New Roman" w:cs="Times New Roman" w:ascii="Times New Roman" w:hAnsi="Times New Roman"/>
          <w:b/>
          <w:bCs/>
          <w:i/>
          <w:iCs/>
          <w:sz w:val="20"/>
          <w:szCs w:val="20"/>
        </w:rPr>
        <w:t>applet</w:t>
      </w:r>
      <w:r>
        <w:rPr>
          <w:rFonts w:eastAsia="Times New Roman" w:cs="Times New Roman" w:ascii="Times New Roman" w:hAnsi="Times New Roman"/>
          <w:b/>
          <w:bCs/>
          <w:sz w:val="20"/>
          <w:szCs w:val="20"/>
        </w:rPr>
        <w:t xml:space="preserve"> favorece, en los estudiantes, la representación visual en el espacio de las curvas de nivel, así como la apropiación del concepto matemático. Finalmente, se plantean algunas sugerencias para el uso futuro del </w:t>
      </w:r>
      <w:r>
        <w:rPr>
          <w:rFonts w:eastAsia="Times New Roman" w:cs="Times New Roman" w:ascii="Times New Roman" w:hAnsi="Times New Roman"/>
          <w:b/>
          <w:bCs/>
          <w:i/>
          <w:iCs/>
          <w:sz w:val="20"/>
          <w:szCs w:val="20"/>
        </w:rPr>
        <w:t>applet</w:t>
      </w:r>
      <w:r>
        <w:rPr>
          <w:rFonts w:eastAsia="Times New Roman" w:cs="Times New Roman" w:ascii="Times New Roman" w:hAnsi="Times New Roman"/>
          <w:b/>
          <w:bCs/>
          <w:sz w:val="20"/>
          <w:szCs w:val="20"/>
        </w:rPr>
        <w:t xml:space="preserve"> desde la perspectiva docente.</w:t>
      </w:r>
    </w:p>
    <w:p>
      <w:pPr>
        <w:pStyle w:val="Normal"/>
        <w:spacing w:lineRule="auto" w:line="240" w:before="0" w:after="0"/>
        <w:jc w:val="both"/>
        <w:rPr>
          <w:rFonts w:eastAsia="Times New Roman" w:cs="Times New Roman"/>
          <w:lang w:val="en-US"/>
        </w:rPr>
      </w:pPr>
      <w:r>
        <w:rPr>
          <w:rFonts w:ascii="Times New Roman" w:hAnsi="Times New Roman"/>
          <w:b/>
          <w:bCs/>
          <w:sz w:val="20"/>
          <w:szCs w:val="20"/>
        </w:rPr>
      </w: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lang w:val="en-US"/>
        </w:rPr>
        <w:t xml:space="preserve">Palabras claves: </w:t>
      </w:r>
      <w:r>
        <w:rPr>
          <w:rFonts w:eastAsia="Times New Roman" w:cs="Times New Roman" w:ascii="Times New Roman" w:hAnsi="Times New Roman"/>
          <w:b/>
          <w:bCs/>
          <w:i/>
          <w:sz w:val="20"/>
          <w:szCs w:val="20"/>
          <w:lang w:val="en-US"/>
        </w:rPr>
        <w:t>applet</w:t>
      </w:r>
      <w:r>
        <w:rPr>
          <w:rFonts w:eastAsia="Times New Roman" w:cs="Times New Roman" w:ascii="Times New Roman" w:hAnsi="Times New Roman"/>
          <w:b/>
          <w:bCs/>
          <w:sz w:val="20"/>
          <w:szCs w:val="20"/>
          <w:lang w:val="en-US"/>
        </w:rPr>
        <w:t xml:space="preserve"> GeoGebra, recurso didáctico tecnológico, curvas de nivel, representación visual.</w:t>
      </w:r>
    </w:p>
    <w:p>
      <w:pPr>
        <w:pStyle w:val="Normal"/>
        <w:spacing w:lineRule="auto" w:line="240" w:before="0" w:after="0"/>
        <w:jc w:val="both"/>
        <w:rPr>
          <w:rFonts w:eastAsia="Times New Roman" w:cs="Times New Roman"/>
          <w:lang w:val="en-US"/>
        </w:rPr>
      </w:pPr>
      <w:r>
        <w:rPr>
          <w:rFonts w:ascii="Times New Roman" w:hAnsi="Times New Roman"/>
          <w:b/>
          <w:bCs/>
          <w:sz w:val="20"/>
          <w:szCs w:val="20"/>
        </w:rPr>
      </w:r>
    </w:p>
    <w:p>
      <w:pPr>
        <w:pStyle w:val="Normal"/>
        <w:spacing w:lineRule="auto" w:line="240" w:before="0" w:after="0"/>
        <w:jc w:val="both"/>
        <w:rPr>
          <w:rFonts w:ascii="Times New Roman" w:hAnsi="Times New Roman"/>
          <w:b/>
          <w:b/>
          <w:bCs/>
          <w:sz w:val="20"/>
          <w:szCs w:val="20"/>
        </w:rPr>
      </w:pPr>
      <w:r>
        <w:rPr>
          <w:rFonts w:eastAsia="Times New Roman" w:cs="Times New Roman" w:ascii="Times New Roman" w:hAnsi="Times New Roman"/>
          <w:b/>
          <w:bCs/>
          <w:sz w:val="20"/>
          <w:szCs w:val="20"/>
          <w:lang w:val="en-US"/>
        </w:rPr>
        <w:t xml:space="preserve">Abstract. Spatial visualization is a main difficulty for Mathematics students, particularly, when they study the representation of level curves of two variables functions. In this document it reports the design and implementation of a GeoGebra </w:t>
      </w:r>
      <w:r>
        <w:rPr>
          <w:rFonts w:eastAsia="Times New Roman" w:cs="Times New Roman" w:ascii="Times New Roman" w:hAnsi="Times New Roman"/>
          <w:b/>
          <w:bCs/>
          <w:i/>
          <w:iCs/>
          <w:sz w:val="20"/>
          <w:szCs w:val="20"/>
          <w:lang w:val="en-US"/>
        </w:rPr>
        <w:t>applet</w:t>
      </w:r>
      <w:r>
        <w:rPr>
          <w:rFonts w:eastAsia="Times New Roman" w:cs="Times New Roman" w:ascii="Times New Roman" w:hAnsi="Times New Roman"/>
          <w:b/>
          <w:bCs/>
          <w:sz w:val="20"/>
          <w:szCs w:val="20"/>
          <w:lang w:val="en-US"/>
        </w:rPr>
        <w:t xml:space="preserve"> with a group of engineer students on a course of Calculus and Vectorial Analysis. Also, a qualitative analysis of the different graphical perspectives about the level curves generated by students with the </w:t>
      </w:r>
      <w:r>
        <w:rPr>
          <w:rFonts w:eastAsia="Times New Roman" w:cs="Times New Roman" w:ascii="Times New Roman" w:hAnsi="Times New Roman"/>
          <w:b/>
          <w:bCs/>
          <w:i/>
          <w:iCs/>
          <w:sz w:val="20"/>
          <w:szCs w:val="20"/>
          <w:lang w:val="en-US"/>
        </w:rPr>
        <w:t>applet</w:t>
      </w:r>
      <w:r>
        <w:rPr>
          <w:rFonts w:eastAsia="Times New Roman" w:cs="Times New Roman" w:ascii="Times New Roman" w:hAnsi="Times New Roman"/>
          <w:b/>
          <w:bCs/>
          <w:sz w:val="20"/>
          <w:szCs w:val="20"/>
          <w:lang w:val="en-US"/>
        </w:rPr>
        <w:t xml:space="preserve"> for different functions. It is showing by the results that this GeoGebra </w:t>
      </w:r>
      <w:r>
        <w:rPr>
          <w:rFonts w:eastAsia="Times New Roman" w:cs="Times New Roman" w:ascii="Times New Roman" w:hAnsi="Times New Roman"/>
          <w:b/>
          <w:bCs/>
          <w:i/>
          <w:iCs/>
          <w:sz w:val="20"/>
          <w:szCs w:val="20"/>
          <w:lang w:val="en-US"/>
        </w:rPr>
        <w:t xml:space="preserve">applet </w:t>
      </w:r>
      <w:r>
        <w:rPr>
          <w:rFonts w:eastAsia="Times New Roman" w:cs="Times New Roman" w:ascii="Times New Roman" w:hAnsi="Times New Roman"/>
          <w:b/>
          <w:bCs/>
          <w:sz w:val="20"/>
          <w:szCs w:val="20"/>
          <w:lang w:val="en-US"/>
        </w:rPr>
        <w:t xml:space="preserve">support, on students, the special representation of level curves and the appropriation of this mathematic concept. Finally, is put on the table some suggest for the future use of the </w:t>
      </w:r>
      <w:r>
        <w:rPr>
          <w:rFonts w:eastAsia="Times New Roman" w:cs="Times New Roman" w:ascii="Times New Roman" w:hAnsi="Times New Roman"/>
          <w:b/>
          <w:bCs/>
          <w:i/>
          <w:iCs/>
          <w:sz w:val="20"/>
          <w:szCs w:val="20"/>
          <w:lang w:val="en-US"/>
        </w:rPr>
        <w:t>applet</w:t>
      </w:r>
      <w:r>
        <w:rPr>
          <w:rFonts w:eastAsia="Times New Roman" w:cs="Times New Roman" w:ascii="Times New Roman" w:hAnsi="Times New Roman"/>
          <w:b/>
          <w:bCs/>
          <w:sz w:val="20"/>
          <w:szCs w:val="20"/>
          <w:lang w:val="en-US"/>
        </w:rPr>
        <w:t xml:space="preserve"> from the docent perspective. </w:t>
      </w:r>
    </w:p>
    <w:p>
      <w:pPr>
        <w:pStyle w:val="Textopreformateado"/>
        <w:spacing w:lineRule="auto" w:line="240" w:before="0" w:after="0"/>
        <w:jc w:val="both"/>
        <w:rPr>
          <w:rFonts w:eastAsia="Times New Roman" w:cs="Times New Roman"/>
          <w:lang w:val="en-US"/>
        </w:rPr>
      </w:pPr>
      <w:bookmarkStart w:id="2" w:name="tw-target-text"/>
      <w:bookmarkEnd w:id="2"/>
      <w:r>
        <w:rPr>
          <w:rFonts w:eastAsia="Times New Roman" w:cs="Times New Roman" w:ascii="Times New Roman" w:hAnsi="Times New Roman"/>
          <w:b/>
          <w:bCs/>
          <w:sz w:val="20"/>
          <w:szCs w:val="20"/>
          <w:lang w:val="en-US"/>
        </w:rPr>
        <w:t>Keywords: GeoGebra applet, technological didactic resource, contour lines, visual representation.</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bCs/>
          <w:sz w:val="20"/>
          <w:szCs w:val="20"/>
        </w:rPr>
        <w:t xml:space="preserve">I. </w:t>
      </w:r>
      <w:r>
        <w:rPr>
          <w:rFonts w:eastAsia="Times New Roman" w:cs="Times New Roman" w:ascii="Times New Roman" w:hAnsi="Times New Roman"/>
          <w:b/>
          <w:bCs/>
          <w:sz w:val="20"/>
          <w:szCs w:val="20"/>
        </w:rPr>
        <w:t>INTRODUCCIÓN</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La experiencia docente que se presenta en este documento se ubica en un curso de Cálculo y Análisis Vectorial de nivel superior, en donde uno de los conceptos más relevantes y complejos para los estudiantes es el de función de dos variables, el cual Stewart (2012) define como: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widowControl/>
        <w:bidi w:val="0"/>
        <w:spacing w:lineRule="auto" w:line="240" w:before="0" w:after="0"/>
        <w:ind w:left="397" w:right="0" w:hanging="0"/>
        <w:jc w:val="both"/>
        <w:rPr>
          <w:rFonts w:ascii="Times New Roman" w:hAnsi="Times New Roman"/>
          <w:sz w:val="20"/>
          <w:szCs w:val="20"/>
        </w:rPr>
      </w:pPr>
      <w:r>
        <w:rPr>
          <w:rFonts w:eastAsia="Times New Roman" w:cs="Times New Roman" w:ascii="Times New Roman" w:hAnsi="Times New Roman"/>
          <w:sz w:val="20"/>
          <w:szCs w:val="20"/>
        </w:rPr>
        <w:t xml:space="preserve">Una regla que asigna a cada par ordenado de números reales </w:t>
      </w:r>
      <w:r>
        <w:rPr>
          <w:rFonts w:ascii="Times New Roman" w:hAnsi="Times New Roman"/>
          <w:sz w:val="20"/>
          <w:szCs w:val="20"/>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oMath>
      <w:r>
        <w:rPr>
          <w:rFonts w:eastAsia="Times New Roman" w:cs="Times New Roman" w:ascii="Times New Roman" w:hAnsi="Times New Roman"/>
          <w:sz w:val="20"/>
          <w:szCs w:val="20"/>
        </w:rPr>
        <w:t xml:space="preserve"> de un conjunto </w:t>
      </w:r>
      <w:r>
        <w:rPr>
          <w:rFonts w:ascii="Times New Roman" w:hAnsi="Times New Roman"/>
          <w:sz w:val="20"/>
          <w:szCs w:val="20"/>
        </w:rPr>
      </w:r>
      <m:oMath xmlns:m="http://schemas.openxmlformats.org/officeDocument/2006/math">
        <m:r>
          <w:rPr>
            <w:rFonts w:ascii="Cambria Math" w:hAnsi="Cambria Math"/>
          </w:rPr>
          <m:t xml:space="preserve">D</m:t>
        </m:r>
      </m:oMath>
      <w:r>
        <w:rPr>
          <w:rFonts w:eastAsia="Times New Roman" w:cs="Times New Roman" w:ascii="Times New Roman" w:hAnsi="Times New Roman"/>
          <w:sz w:val="20"/>
          <w:szCs w:val="20"/>
        </w:rPr>
        <w:t xml:space="preserve">, un único número real que se denota con </w:t>
      </w:r>
      <w:r>
        <w:rPr>
          <w:rFonts w:ascii="Times New Roman" w:hAnsi="Times New Roman"/>
          <w:sz w:val="20"/>
          <w:szCs w:val="20"/>
        </w:rPr>
      </w:r>
      <m:oMath xmlns:m="http://schemas.openxmlformats.org/officeDocument/2006/math">
        <m:r>
          <w:rPr>
            <w:rFonts w:ascii="Cambria Math" w:hAnsi="Cambria Math"/>
          </w:rPr>
          <m:t xml:space="preserve">f</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oMath>
      <w:r>
        <w:rPr>
          <w:rFonts w:eastAsia="Times New Roman" w:cs="Times New Roman" w:ascii="Times New Roman" w:hAnsi="Times New Roman"/>
          <w:sz w:val="20"/>
          <w:szCs w:val="20"/>
        </w:rPr>
        <w:t xml:space="preserve">. El conjunto D es el dominio de </w:t>
      </w:r>
      <w:r>
        <w:rPr>
          <w:rFonts w:ascii="Times New Roman" w:hAnsi="Times New Roman"/>
          <w:sz w:val="20"/>
          <w:szCs w:val="20"/>
        </w:rPr>
      </w:r>
      <m:oMath xmlns:m="http://schemas.openxmlformats.org/officeDocument/2006/math">
        <m:r>
          <w:rPr>
            <w:rFonts w:ascii="Cambria Math" w:hAnsi="Cambria Math"/>
          </w:rPr>
          <m:t xml:space="preserve">f</m:t>
        </m:r>
      </m:oMath>
      <w:r>
        <w:rPr>
          <w:rFonts w:eastAsia="Times New Roman" w:cs="Times New Roman" w:ascii="Times New Roman" w:hAnsi="Times New Roman"/>
          <w:sz w:val="20"/>
          <w:szCs w:val="20"/>
        </w:rPr>
        <w:t xml:space="preserve"> y su rango es el conjunto de valores que toma </w:t>
      </w:r>
      <w:r>
        <w:rPr>
          <w:rFonts w:ascii="Times New Roman" w:hAnsi="Times New Roman"/>
          <w:sz w:val="20"/>
          <w:szCs w:val="20"/>
        </w:rPr>
      </w:r>
      <m:oMath xmlns:m="http://schemas.openxmlformats.org/officeDocument/2006/math">
        <m:r>
          <w:rPr>
            <w:rFonts w:ascii="Cambria Math" w:hAnsi="Cambria Math"/>
          </w:rPr>
          <m:t xml:space="preserve">f</m:t>
        </m:r>
      </m:oMath>
      <w:r>
        <w:rPr>
          <w:rFonts w:eastAsia="Times New Roman" w:cs="Times New Roman" w:ascii="Times New Roman" w:hAnsi="Times New Roman"/>
          <w:sz w:val="20"/>
          <w:szCs w:val="20"/>
        </w:rPr>
        <w:t xml:space="preserve">, es decir, </w:t>
      </w:r>
      <w:r>
        <w:rPr>
          <w:rFonts w:ascii="Times New Roman" w:hAnsi="Times New Roman"/>
          <w:sz w:val="20"/>
          <w:szCs w:val="20"/>
        </w:rPr>
      </w:r>
      <m:oMath xmlns:m="http://schemas.openxmlformats.org/officeDocument/2006/math">
        <m:d>
          <m:dPr>
            <m:begChr m:val="{"/>
            <m:endChr m:val="}"/>
          </m:dPr>
          <m:e>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r>
              <w:rPr>
                <w:rFonts w:ascii="Cambria Math" w:hAnsi="Cambria Math"/>
              </w:rPr>
              <m:t xml:space="preserve">D</m:t>
            </m:r>
          </m:e>
        </m:d>
      </m:oMath>
      <w:r>
        <w:rPr>
          <w:rFonts w:eastAsia="Times New Roman" w:cs="Times New Roman" w:ascii="Times New Roman" w:hAnsi="Times New Roman"/>
          <w:sz w:val="20"/>
          <w:szCs w:val="20"/>
        </w:rPr>
        <w:t>. (p. 878)</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Específicamente, el trabajo que aquí se reporta es sobre el diseño e implementación de un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GeoGebra para el análisis de curvas de nivel de funciones de dos variables, que, de acuerdo con Stewart (2012, p. 883) “son las curvas cuyas ecuaciones son </w:t>
      </w:r>
      <w:r>
        <w:rPr>
          <w:rFonts w:ascii="Times New Roman" w:hAnsi="Times New Roman"/>
          <w:sz w:val="20"/>
          <w:szCs w:val="20"/>
        </w:rPr>
      </w:r>
      <m:oMath xmlns:m="http://schemas.openxmlformats.org/officeDocument/2006/math">
        <m:r>
          <w:rPr>
            <w:rFonts w:ascii="Cambria Math" w:hAnsi="Cambria Math"/>
          </w:rPr>
          <m:t xml:space="preserve">f</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r>
          <w:rPr>
            <w:rFonts w:ascii="Cambria Math" w:hAnsi="Cambria Math"/>
          </w:rPr>
          <m:t xml:space="preserve">k</m:t>
        </m:r>
      </m:oMath>
      <w:r>
        <w:rPr>
          <w:rFonts w:eastAsia="Times New Roman" w:cs="Times New Roman" w:ascii="Times New Roman" w:hAnsi="Times New Roman"/>
          <w:sz w:val="20"/>
          <w:szCs w:val="20"/>
        </w:rPr>
        <w:t xml:space="preserve">, donde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es una constante (en el rango de </w:t>
      </w:r>
      <w:r>
        <w:rPr>
          <w:rFonts w:ascii="Times New Roman" w:hAnsi="Times New Roman"/>
          <w:sz w:val="20"/>
          <w:szCs w:val="20"/>
        </w:rPr>
      </w:r>
      <m:oMath xmlns:m="http://schemas.openxmlformats.org/officeDocument/2006/math">
        <m:r>
          <w:rPr>
            <w:rFonts w:ascii="Cambria Math" w:hAnsi="Cambria Math"/>
          </w:rPr>
          <m:t xml:space="preserve">f</m:t>
        </m:r>
      </m:oMath>
      <w:r>
        <w:rPr>
          <w:rFonts w:eastAsia="Times New Roman" w:cs="Times New Roman" w:ascii="Times New Roman" w:hAnsi="Times New Roman"/>
          <w:sz w:val="20"/>
          <w:szCs w:val="20"/>
        </w:rPr>
        <w:t>).” (Ver Figura 1).</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712085" cy="2160270"/>
            <wp:effectExtent l="0" t="0" r="0" b="0"/>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a:picLocks noChangeAspect="1" noChangeArrowheads="1"/>
                    </pic:cNvPicPr>
                  </pic:nvPicPr>
                  <pic:blipFill>
                    <a:blip r:embed="rId8"/>
                    <a:stretch>
                      <a:fillRect/>
                    </a:stretch>
                  </pic:blipFill>
                  <pic:spPr bwMode="auto">
                    <a:xfrm>
                      <a:off x="0" y="0"/>
                      <a:ext cx="2712085" cy="2160270"/>
                    </a:xfrm>
                    <a:prstGeom prst="rect">
                      <a:avLst/>
                    </a:prstGeom>
                  </pic:spPr>
                </pic:pic>
              </a:graphicData>
            </a:graphic>
          </wp:inline>
        </w:drawing>
      </w:r>
    </w:p>
    <w:p>
      <w:pPr>
        <w:pStyle w:val="LOnormal"/>
        <w:spacing w:lineRule="auto" w:line="240" w:before="0" w:after="0"/>
        <w:ind w:left="360" w:hanging="0"/>
        <w:jc w:val="center"/>
        <w:rPr>
          <w:rFonts w:ascii="Times New Roman" w:hAnsi="Times New Roman"/>
          <w:b w:val="false"/>
          <w:b w:val="false"/>
          <w:bCs w:val="false"/>
          <w:sz w:val="20"/>
          <w:szCs w:val="20"/>
        </w:rPr>
      </w:pPr>
      <w:r>
        <w:rPr>
          <w:rFonts w:eastAsia="Times New Roman" w:cs="Times New Roman" w:ascii="Times New Roman" w:hAnsi="Times New Roman"/>
          <w:b w:val="false"/>
          <w:bCs w:val="false"/>
          <w:i/>
          <w:iCs/>
          <w:sz w:val="20"/>
          <w:szCs w:val="20"/>
        </w:rPr>
        <w:t>Figura 1.</w:t>
      </w:r>
      <w:r>
        <w:rPr>
          <w:rFonts w:eastAsia="Times New Roman" w:cs="Times New Roman" w:ascii="Times New Roman" w:hAnsi="Times New Roman"/>
          <w:b w:val="false"/>
          <w:bCs w:val="false"/>
          <w:sz w:val="20"/>
          <w:szCs w:val="20"/>
        </w:rPr>
        <w:t xml:space="preserve"> </w:t>
      </w:r>
      <w:r>
        <w:rPr>
          <w:rFonts w:cs="Times New Roman" w:ascii="Times New Roman" w:hAnsi="Times New Roman"/>
          <w:b w:val="false"/>
          <w:bCs w:val="false"/>
          <w:color w:val="000000" w:themeColor="text1"/>
          <w:sz w:val="20"/>
          <w:szCs w:val="20"/>
        </w:rPr>
        <w:t>Curvas de nivel de una función de dos variables</w:t>
      </w:r>
      <w:r>
        <w:rPr>
          <w:rFonts w:cs="Times New Roman" w:ascii="Times New Roman" w:hAnsi="Times New Roman"/>
          <w:b w:val="false"/>
          <w:bCs w:val="false"/>
          <w:i/>
          <w:iCs/>
          <w:color w:val="000000" w:themeColor="text1"/>
          <w:sz w:val="20"/>
          <w:szCs w:val="20"/>
        </w:rPr>
        <w:t>.</w:t>
      </w:r>
      <w:r>
        <w:rPr>
          <w:rFonts w:eastAsia="Times New Roman" w:cs="Times New Roman" w:ascii="Times New Roman" w:hAnsi="Times New Roman"/>
          <w:b w:val="false"/>
          <w:bCs w:val="false"/>
          <w:sz w:val="20"/>
          <w:szCs w:val="20"/>
        </w:rPr>
        <w:t xml:space="preserve"> Fuente: Stewart, J. (2012).</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Al igual que Landa (2010), se considera que las representaciones gráficas de funciones de dos variables generan dificultades para los estudiantes porque es necesario ver a estas como relaciones entre una variable dependiente y dos independientes más que como un objeto geométrico. En ese sentido, cuando se añaden las curvas de nivel, como en la Figura 1, se incrementa la complejidad de este concepto pues se combinan dos formas de representación de la función de dos variables, por un lado, la superficie en el espacio tridimensional y por otro, las curvas que se proyectan en el plano cartesiano </w:t>
      </w:r>
      <w:r>
        <w:rPr>
          <w:rFonts w:ascii="Times New Roman" w:hAnsi="Times New Roman"/>
          <w:sz w:val="20"/>
          <w:szCs w:val="20"/>
        </w:rPr>
      </w:r>
      <m:oMath xmlns:m="http://schemas.openxmlformats.org/officeDocument/2006/math">
        <m:r>
          <w:rPr>
            <w:rFonts w:ascii="Cambria Math" w:hAnsi="Cambria Math"/>
          </w:rPr>
          <m:t xml:space="preserve">XY</m:t>
        </m:r>
      </m:oMath>
      <w:r>
        <w:rPr>
          <w:rFonts w:eastAsia="Times New Roman" w:cs="Times New Roman" w:ascii="Times New Roman" w:hAnsi="Times New Roman"/>
          <w:sz w:val="20"/>
          <w:szCs w:val="20"/>
        </w:rPr>
        <w:t>.</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Tomando eso como referencia, es evidente que los alumnos universitarios atraviesan ciertas dificultades al pasar del estudio del Cálculo en una variable al estudio del Cálculo en dos o más variables. De hecho, existen múltiples trabajos de investigación que abordan estas dificultades, que se han tomado como punto de partida para el diseño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por un lado, las dificultades para visualizar y producir imágenes mentales de objetos tridimensionales (Andrade y Montecino, 2011, citado por Del Río, 2016, p.2) y, por otro, las dificultades que surgen por la necesidad de representar objetos tridimensionales en el plano (Götte y Mántica, 2013, citado por Del Río, 2016, p. 2).</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Aquí es importante señalar que, aunque en la literatura se pueden encontrar una variedad de estudios sobre el concepto de función (de una variable), no es así cuando se trata del tema de funciones de dos variables, es decir, que no ha sido abordado con la misma frecuencia. A este respecto, Landa (2010) considera que una de las causas posibles es que se cree que los estudiantes de nivel superior ya dominan el concepto de función previo al estudio de funciones de dos variables, y, por tanto, el tránsito no debería ser complicado. No obstante, como se ha visto, las dificultades reportadas sobre el concepto de funciones de dos variables están más relacionadas con sus diferentes representaciones y la relación entre ellas, que con el mismo concepto.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En lo que respecta a la visualización que se requiere para el estudio de funciones de dos variables y sus representaciones gráficas, como las curvas de nivel, Esteban </w:t>
      </w:r>
      <w:r>
        <w:rPr>
          <w:rFonts w:eastAsia="Times New Roman" w:cs="Times New Roman" w:ascii="Times New Roman" w:hAnsi="Times New Roman"/>
          <w:i/>
          <w:iCs/>
          <w:sz w:val="20"/>
          <w:szCs w:val="20"/>
        </w:rPr>
        <w:t>et al.</w:t>
      </w:r>
      <w:r>
        <w:rPr>
          <w:rFonts w:eastAsia="Times New Roman" w:cs="Times New Roman" w:ascii="Times New Roman" w:hAnsi="Times New Roman"/>
          <w:sz w:val="20"/>
          <w:szCs w:val="20"/>
        </w:rPr>
        <w:t xml:space="preserve"> (2006) señalan que la perspectiva visual ayuda a los estudiantes a comprender conceptos del Cálculo, pues además de favorecer su interpretación permite evocar las imágenes mentales asociadas a los conceptos previos relacionándolos con los conceptos que se abordan por primera vez.</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Empero, cuando se trabaja en un entorno de lápiz y papel, como se hace tradicionalmente, esta visualización no es favorecida, pues se recurre a estrategias en donde los estudiantes infieren las propiedades de las funciones y sus gráficas a partir de métodos analíticos principalmente. Por ejemplo, en el caso de las curvas de nivel, se sugiere a los estudiantes resolver sistemas no lineales para determinar las ecuaciones y deducir el comportamiento de dichas curvas, o bien se emplean cortes con planos paralelos a los planos coordenados para formar curvas de contorno de las superficies que dan una idea del comportamiento de las gráficas. Sin embargo, este tipo de aproximaciones estáticas a las gráficas de funciones de dos variables y las curvas de nivel presupone por parte de los estudiantes un dominio avanzado de objetos geométricos (Landa, 2010).</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Otro de los aspectos clave que se debe considerar para el estudio y análisis de curvas de nivel de funciones de dos variables es el uso y tránsito por diferentes sistemas de representación semiótica por parte de los estudiantes, tal como señala Duval (2006). De acuerdo con este autor, no es suficiente con que los estudiantes cuenten con diferentes registros de representación durante la actividad matemática, sino que además se necesita coordinar internamente entre los diferentes sistemas para que dichas representaciones no sean consideradas como dos objetos diferentes y sin ninguna relación aun cuando provienen del mismo objeto matemático. Si se logra esta articulación, los estudiantes pueden elegir convenientemente aquellos registros de representación que contribuyen mejor al logro de los objetivos de una actividad.</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Pese a lo anterior, Del Río (2016) considera que “dicha articulación entre registros resulta compleja al implicar objetos del espacio tridimensional, en particular en cuanto al trabajo gráfico, ya que requiere la representación en perspectiva de objetos tridimensionales en el plano” (p. 3). Si se toma en cuenta que este tipo de gráficas son nuevas para los estudiantes, entonces se tiene una razón más por la que tanto alumnos como profesores se evocan más en el trabajo algebraico que en el gráfico. </w:t>
      </w:r>
    </w:p>
    <w:p>
      <w:pPr>
        <w:pStyle w:val="ListParagraph"/>
        <w:spacing w:lineRule="auto" w:line="240" w:before="0" w:after="0"/>
        <w:ind w:lef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hanging="0"/>
        <w:jc w:val="both"/>
        <w:rPr>
          <w:rFonts w:ascii="Times New Roman" w:hAnsi="Times New Roman"/>
          <w:sz w:val="20"/>
          <w:szCs w:val="20"/>
        </w:rPr>
      </w:pPr>
      <w:r>
        <w:rPr>
          <w:rFonts w:eastAsia="Times New Roman" w:cs="Times New Roman" w:ascii="Times New Roman" w:hAnsi="Times New Roman"/>
          <w:sz w:val="20"/>
          <w:szCs w:val="20"/>
        </w:rPr>
        <w:t>Ahora que se tiene un panorama general de los conceptos en los que se centra esta experiencia docente, así como las dificultades asociadas a su estudio en Cálculo de nivel superior, es momento de presentar algunos trabajos de investigación y propuestas de intervención que se han hecho en los últimos años en torno a los conceptos mencionados, con el fin de enfatizar la aportación que este trabajo hace al campo disciplinar docente en Matemáticas.</w:t>
      </w:r>
    </w:p>
    <w:p>
      <w:pPr>
        <w:pStyle w:val="Normal"/>
        <w:tabs>
          <w:tab w:val="clear" w:pos="720"/>
          <w:tab w:val="left" w:pos="6222" w:leader="none"/>
        </w:tabs>
        <w:spacing w:lineRule="auto" w:line="240" w:before="0" w:after="0"/>
        <w:jc w:val="both"/>
        <w:rPr>
          <w:rFonts w:eastAsia="Times New Roman" w:cs="Times New Roman"/>
        </w:rPr>
      </w:pPr>
      <w:r>
        <w:rPr>
          <w:rFonts w:ascii="Times New Roman" w:hAnsi="Times New Roman"/>
          <w:sz w:val="20"/>
          <w:szCs w:val="20"/>
        </w:rPr>
      </w:r>
    </w:p>
    <w:p>
      <w:pPr>
        <w:pStyle w:val="Normal"/>
        <w:tabs>
          <w:tab w:val="clear" w:pos="720"/>
          <w:tab w:val="left" w:pos="6222" w:leader="none"/>
        </w:tabs>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primer trabajo identificado es el de Esteban </w:t>
      </w:r>
      <w:r>
        <w:rPr>
          <w:rFonts w:eastAsia="Times New Roman" w:cs="Times New Roman" w:ascii="Times New Roman" w:hAnsi="Times New Roman"/>
          <w:i/>
          <w:iCs/>
          <w:sz w:val="20"/>
          <w:szCs w:val="20"/>
        </w:rPr>
        <w:t>et al.</w:t>
      </w:r>
      <w:r>
        <w:rPr>
          <w:rFonts w:eastAsia="Times New Roman" w:cs="Times New Roman" w:ascii="Times New Roman" w:hAnsi="Times New Roman"/>
          <w:sz w:val="20"/>
          <w:szCs w:val="20"/>
        </w:rPr>
        <w:t xml:space="preserve"> (2006), en el que se diseñaron experiencias de aprendizaje para un curso de Cálculo en varias variables, donde los estudiantes abordaron algunos conceptos en un ambiente de realidad aumentada. Específicamente en este estudio se generaron imágenes tridimensionales con el que interactuaron estudiantes y profesores con el fin de favorecer la visualización en la construcción de algunos conceptos. Así, se pudieron comparar en tiempo real objetos virtuales con objetos reales, haciendo de la visualización y la simbolización herramientas mediadoras en el proceso de abstracción. </w:t>
      </w:r>
    </w:p>
    <w:p>
      <w:pPr>
        <w:pStyle w:val="Normal"/>
        <w:tabs>
          <w:tab w:val="clear" w:pos="720"/>
          <w:tab w:val="left" w:pos="6222" w:leader="none"/>
        </w:tabs>
        <w:spacing w:lineRule="auto" w:line="240" w:before="0" w:after="0"/>
        <w:jc w:val="both"/>
        <w:rPr>
          <w:rFonts w:eastAsia="Times New Roman" w:cs="Times New Roman"/>
        </w:rPr>
      </w:pPr>
      <w:r>
        <w:rPr>
          <w:rFonts w:ascii="Times New Roman" w:hAnsi="Times New Roman"/>
          <w:sz w:val="20"/>
          <w:szCs w:val="20"/>
        </w:rPr>
      </w:r>
    </w:p>
    <w:p>
      <w:pPr>
        <w:pStyle w:val="Normal"/>
        <w:tabs>
          <w:tab w:val="clear" w:pos="720"/>
          <w:tab w:val="left" w:pos="6222" w:leader="none"/>
        </w:tabs>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En segundo lugar, se tiene la propuesta de Landa (2010). En esta, se empleó el programa Derive 6.1 con el propósito de ayudar a los estudiantes en un primer contacto con la noción de funciones de dos variables. Aprovechando las propiedades de este programa, se elaboraron una serie de actividades en las que dos deslizadores permitían que los estudiantes movieran un punto en el plano y visualizaran su imagen correspondiente sobre la superficie, la cual seguía siempre trayectorias definidas por las curvas de contorno. En ese sentido, la forma de aproximarse a las superficies de las funciones induce a la idea que, “la variación de las variables independientes (los deslizadores) produce un movimiento restringido del punto sobre la superficie” (p. 144).</w:t>
      </w:r>
    </w:p>
    <w:p>
      <w:pPr>
        <w:pStyle w:val="ListParagraph"/>
        <w:spacing w:lineRule="auto" w:line="240" w:before="0" w:after="0"/>
        <w:ind w:left="0" w:hanging="0"/>
        <w:jc w:val="both"/>
        <w:rPr>
          <w:rFonts w:eastAsia="Times New Roman" w:cs="Times New Roman"/>
        </w:rPr>
      </w:pPr>
      <w:r>
        <w:rPr>
          <w:rFonts w:ascii="Times New Roman" w:hAnsi="Times New Roman"/>
          <w:sz w:val="20"/>
          <w:szCs w:val="20"/>
        </w:rPr>
      </w:r>
    </w:p>
    <w:p>
      <w:pPr>
        <w:pStyle w:val="ListParagraph"/>
        <w:spacing w:lineRule="auto" w:line="240" w:before="0" w:after="0"/>
        <w:ind w:left="0" w:hanging="0"/>
        <w:jc w:val="both"/>
        <w:rPr>
          <w:rFonts w:ascii="Times New Roman" w:hAnsi="Times New Roman"/>
          <w:sz w:val="20"/>
          <w:szCs w:val="20"/>
        </w:rPr>
      </w:pPr>
      <w:r>
        <w:rPr>
          <w:rFonts w:eastAsia="Times New Roman" w:cs="Times New Roman" w:ascii="Times New Roman" w:hAnsi="Times New Roman"/>
          <w:sz w:val="20"/>
          <w:szCs w:val="20"/>
        </w:rPr>
        <w:t xml:space="preserve">Otra propuesta que se considera relevante fue la realizada por Santander (2019), que se basa en el uso del programa matemático MATLAB para facilitar la visualización de graficas de funciones en tres dimensiones y sus curvas de nivel correspondientes. Este autor señala que, a partir de los diferentes códigos de programación propios del programa, es posible construir, manipular e interpretar este tipo de funciones y curvas, haciendo que el estudiante pueda asimilar los conocimientos por medio de la visualización para luego generalizarlo en funciones de </w:t>
      </w:r>
      <w:r>
        <w:rPr>
          <w:rFonts w:ascii="Times New Roman" w:hAnsi="Times New Roman"/>
          <w:sz w:val="20"/>
          <w:szCs w:val="20"/>
        </w:rPr>
      </w:r>
      <m:oMath xmlns:m="http://schemas.openxmlformats.org/officeDocument/2006/math">
        <m:r>
          <w:rPr>
            <w:rFonts w:ascii="Cambria Math" w:hAnsi="Cambria Math"/>
          </w:rPr>
          <m:t xml:space="preserve">n</m:t>
        </m:r>
      </m:oMath>
      <w:r>
        <w:rPr>
          <w:rFonts w:eastAsia="Times New Roman" w:cs="Times New Roman" w:ascii="Times New Roman" w:hAnsi="Times New Roman"/>
          <w:sz w:val="20"/>
          <w:szCs w:val="20"/>
        </w:rPr>
        <w:t xml:space="preserve"> variables.</w:t>
      </w:r>
    </w:p>
    <w:p>
      <w:pPr>
        <w:pStyle w:val="ListParagraph"/>
        <w:spacing w:lineRule="auto" w:line="240" w:before="0" w:after="0"/>
        <w:ind w:left="0" w:hanging="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El trabajo más reciente identificado para el estudio de curvas de nivel de una función de dos variables con estudiantes de ingeniería es el de Del Río (2020). En este se diseñaron una serie de actividades que utilizaban la aplicación de Realidad Aumentada (RA) para móviles LandscapAR a través de las cuales los estudiantes podían crear islas y terrenos con base en las líneas de elevación, que originalmente estaban en papel y que se traducían directamente en un paisaje 3D. Lo destacable de esta propuesta es que se abordaron contenidos vinculados con otra asignatura en la que también se estudiaban las curvas de nivel, Dibujo Topográfico, y que se estudiaba el mismo semestre, lo cual fue una experiencia enriquecedora para los estudiantes.</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Como se ha visto en los párrafos anteriores, pese a que en la enseñanza y el aprendizaje del Cálculo todavía se encuentra un número significativo de profesores que continúan impartiendo sus clases en forma tradicional, existen visiones diferentes que se apoyan en herramientas tecnológicas con el fin de potenciar el aprendizaje de los estudiantes en esta rama de las Matemáticas (Rojas y Esteban, 2012).</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En particular, este trabajo se apoya en el </w:t>
      </w:r>
      <w:r>
        <w:rPr>
          <w:rFonts w:eastAsia="Times New Roman" w:cs="Times New Roman" w:ascii="Times New Roman" w:hAnsi="Times New Roman"/>
          <w:i/>
          <w:iCs/>
          <w:sz w:val="20"/>
          <w:szCs w:val="20"/>
        </w:rPr>
        <w:t>software</w:t>
      </w:r>
      <w:r>
        <w:rPr>
          <w:rFonts w:eastAsia="Times New Roman" w:cs="Times New Roman" w:ascii="Times New Roman" w:hAnsi="Times New Roman"/>
          <w:sz w:val="20"/>
          <w:szCs w:val="20"/>
        </w:rPr>
        <w:t xml:space="preserve"> dinámico GeoGebra, ya que ha demostrado ser un programa que permite generar procesos de enseñanza-aprendizaje no sólo en un entorno presencial, sino que también lo hace en ambientes extraescolares no presenciales. De esta forma es posible emplearlo en un proceso de enseñanza-aprendizaje combinado tal como señala García </w:t>
      </w:r>
      <w:r>
        <w:rPr>
          <w:rFonts w:eastAsia="Times New Roman" w:cs="Times New Roman" w:ascii="Times New Roman" w:hAnsi="Times New Roman"/>
          <w:i/>
          <w:iCs/>
          <w:sz w:val="20"/>
          <w:szCs w:val="20"/>
        </w:rPr>
        <w:t>et al.</w:t>
      </w:r>
      <w:r>
        <w:rPr>
          <w:rFonts w:eastAsia="Times New Roman" w:cs="Times New Roman" w:ascii="Times New Roman" w:hAnsi="Times New Roman"/>
          <w:sz w:val="20"/>
          <w:szCs w:val="20"/>
        </w:rPr>
        <w:t xml:space="preserve"> (2020), en donde los estudiantes realizan actividades que requieren su presencia y otras que puede realizar no presencialmente.</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Otro punto favorable para GeoGebra es su carácter dinámico, “ya que permite la implicación de los estudiantes en el proceso de enseñanza-aprendizaje mediante una retroalimentación inmediata, la utilización de imágenes, la explicación de procedimientos, entre otros” (García </w:t>
      </w:r>
      <w:r>
        <w:rPr>
          <w:rFonts w:eastAsia="Times New Roman" w:cs="Times New Roman" w:ascii="Times New Roman" w:hAnsi="Times New Roman"/>
          <w:i/>
          <w:iCs/>
          <w:sz w:val="20"/>
          <w:szCs w:val="20"/>
        </w:rPr>
        <w:t>et al.</w:t>
      </w:r>
      <w:r>
        <w:rPr>
          <w:rFonts w:eastAsia="Times New Roman" w:cs="Times New Roman" w:ascii="Times New Roman" w:hAnsi="Times New Roman"/>
          <w:sz w:val="20"/>
          <w:szCs w:val="20"/>
        </w:rPr>
        <w:t xml:space="preserve">, 2020, p. 66). Este dinamismo se puede evidenciar en los materiales didácticos interactivos que son diseñados por expertos y profesores con ayuda del </w:t>
      </w:r>
      <w:r>
        <w:rPr>
          <w:rFonts w:eastAsia="Times New Roman" w:cs="Times New Roman" w:ascii="Times New Roman" w:hAnsi="Times New Roman"/>
          <w:i/>
          <w:iCs/>
          <w:sz w:val="20"/>
          <w:szCs w:val="20"/>
        </w:rPr>
        <w:t>software</w:t>
      </w:r>
      <w:r>
        <w:rPr>
          <w:rFonts w:eastAsia="Times New Roman" w:cs="Times New Roman" w:ascii="Times New Roman" w:hAnsi="Times New Roman"/>
          <w:sz w:val="20"/>
          <w:szCs w:val="20"/>
        </w:rPr>
        <w:t xml:space="preserve">, mismos que se alojan en la nube y que reciben el nombre de </w:t>
      </w:r>
      <w:r>
        <w:rPr>
          <w:rFonts w:eastAsia="Times New Roman" w:cs="Times New Roman" w:ascii="Times New Roman" w:hAnsi="Times New Roman"/>
          <w:i/>
          <w:iCs/>
          <w:sz w:val="20"/>
          <w:szCs w:val="20"/>
        </w:rPr>
        <w:t>applets</w:t>
      </w:r>
      <w:r>
        <w:rPr>
          <w:rFonts w:eastAsia="Times New Roman" w:cs="Times New Roman" w:ascii="Times New Roman" w:hAnsi="Times New Roman"/>
          <w:sz w:val="20"/>
          <w:szCs w:val="20"/>
        </w:rPr>
        <w:t xml:space="preserve">.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Los </w:t>
      </w:r>
      <w:r>
        <w:rPr>
          <w:rFonts w:eastAsia="Times New Roman" w:cs="Times New Roman" w:ascii="Times New Roman" w:hAnsi="Times New Roman"/>
          <w:i/>
          <w:iCs/>
          <w:sz w:val="20"/>
          <w:szCs w:val="20"/>
        </w:rPr>
        <w:t>applets</w:t>
      </w:r>
      <w:r>
        <w:rPr>
          <w:rFonts w:eastAsia="Times New Roman" w:cs="Times New Roman" w:ascii="Times New Roman" w:hAnsi="Times New Roman"/>
          <w:sz w:val="20"/>
          <w:szCs w:val="20"/>
        </w:rPr>
        <w:t xml:space="preserve"> son aplicaciones que pueden ser ejecutados en el contexto de otro programa, por ejemplo, un navegador web, ofrecen información gráfica y los estudiantes pueden interactuar con ellos en menor o mayor grado según las características que le haya otorgado su creador. Además, pueden ser ejecutados por diferentes sistemas operativos (incluidos los móviles) lo que ha facilitado la frecuencia de su uso (Rojas y Esteban, 2012)</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Por todo lo anterior, este trabajo considera como parte esencial del diseño y desarrollo de la actividad con los estudiantes la construcción de un </w:t>
      </w:r>
      <w:r>
        <w:rPr>
          <w:rFonts w:eastAsia="Times New Roman" w:cs="Times New Roman" w:ascii="Times New Roman" w:hAnsi="Times New Roman"/>
          <w:i/>
          <w:sz w:val="20"/>
          <w:szCs w:val="20"/>
        </w:rPr>
        <w:t>applet</w:t>
      </w:r>
      <w:r>
        <w:rPr>
          <w:rFonts w:eastAsia="Times New Roman" w:cs="Times New Roman" w:ascii="Times New Roman" w:hAnsi="Times New Roman"/>
          <w:sz w:val="20"/>
          <w:szCs w:val="20"/>
        </w:rPr>
        <w:t xml:space="preserve"> que favorezca la visualización de las funciones de dos variables y sus curvas de nivel, así como el tránsito entre los diferentes registros de representación de estos. Para ello, se tomó como referencia la construcción sugerida por Del Río (2016) en donde se propone que los estudiantes visualicen la gráfica de una función, analizando conjuntamente el comportamiento de dicha gráfica tridimensional y de la gráfica bidimensional de las curvas de nivel, de modo que puedan interactuar con distintos registros de representación semiótica y que los usen de manera conveniente Duval (2006).</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En síntesis, actualmente los docentes cuentan con diferentes herramientas tecnológicas que ayudan a los estudiantes en sus procesos de visualización, particularmente cuando estos son en dos y tres dimensiones. La tarea de elegir un recurso tecnológico más adecuado para incluirlo en la práctica debe ser tomada con responsabilidad, pues se requiere tiempo, organización y preparación para saber cuáles son las características que favorecen el proceso de enseñanza-aprendizaje del concepto en cuestión. De esta forma, quienes se dedican a la enseñanza del Cálculo pueden explorar y enlazar los componentes teóricos, analíticos y visuales para coadyuvar la comprensión de los estudiantes y profundizar en ello desde diferentes perspectivas (Rojas y Esteban, 2012).</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Con base en todos los elementos teóricos presentados, el objetivo de este trabajo es diseñar un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GeoGebra cuya interactividad favorezca la visualización espacial y el desarrollo del concepto de curvas de nivel de funciones de dos variables cuando sea utilizado por estudiantes de nivel superior a través de una actividad en un ambiente no presencial.</w:t>
      </w:r>
    </w:p>
    <w:p>
      <w:pPr>
        <w:pStyle w:val="Normal"/>
        <w:spacing w:lineRule="auto" w:line="240" w:before="0" w:after="0"/>
        <w:jc w:val="both"/>
        <w:rPr>
          <w:rFonts w:eastAsia="Times New Roman" w:cs="Times New Roman"/>
          <w:b/>
          <w:b/>
          <w:bCs/>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bCs/>
          <w:sz w:val="20"/>
          <w:szCs w:val="20"/>
        </w:rPr>
        <w:t xml:space="preserve">II. </w:t>
      </w:r>
      <w:r>
        <w:rPr>
          <w:rFonts w:eastAsia="Times New Roman" w:cs="Times New Roman" w:ascii="Times New Roman" w:hAnsi="Times New Roman"/>
          <w:b/>
          <w:bCs/>
          <w:sz w:val="20"/>
          <w:szCs w:val="20"/>
        </w:rPr>
        <w:t>METODOLOGÍA</w:t>
      </w:r>
    </w:p>
    <w:p>
      <w:pPr>
        <w:pStyle w:val="ListParagraph"/>
        <w:numPr>
          <w:ilvl w:val="0"/>
          <w:numId w:val="1"/>
        </w:numPr>
        <w:spacing w:lineRule="auto" w:line="240" w:before="0" w:after="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Diseño del applet GeoGebra</w:t>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 xml:space="preserve">A partir de la sugerencia presentada en Del Río (2016) de usar la vista gráfica 3D de GeoGebra como apoyo para la enseñanza de las curvas de nivel y tomando como referencia el </w:t>
      </w:r>
      <w:r>
        <w:rPr>
          <w:rFonts w:cs="Times New Roman" w:ascii="Times New Roman" w:hAnsi="Times New Roman"/>
          <w:i/>
          <w:iCs/>
          <w:sz w:val="20"/>
          <w:szCs w:val="20"/>
        </w:rPr>
        <w:t xml:space="preserve">applet </w:t>
      </w:r>
      <w:r>
        <w:rPr>
          <w:rFonts w:cs="Times New Roman" w:ascii="Times New Roman" w:hAnsi="Times New Roman"/>
          <w:sz w:val="20"/>
          <w:szCs w:val="20"/>
        </w:rPr>
        <w:t xml:space="preserve">diseñado por Innova Math (2018), donde la interfaz gráfica favorece el uso autónomo por parte del estudiante a través de la selección de casillas control, se diseñó el </w:t>
      </w:r>
      <w:r>
        <w:rPr>
          <w:rFonts w:cs="Times New Roman" w:ascii="Times New Roman" w:hAnsi="Times New Roman"/>
          <w:i/>
          <w:iCs/>
          <w:sz w:val="20"/>
          <w:szCs w:val="20"/>
        </w:rPr>
        <w:t>applet</w:t>
      </w:r>
      <w:r>
        <w:rPr>
          <w:rFonts w:cs="Times New Roman" w:ascii="Times New Roman" w:hAnsi="Times New Roman"/>
          <w:sz w:val="20"/>
          <w:szCs w:val="20"/>
        </w:rPr>
        <w:t xml:space="preserve"> GeoGebra con las características mencionadas. A continuación, se describen las etapas de construcción de este:</w:t>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 xml:space="preserve">Etapa 1. Se ingresaron todos los elementos necesarios en la vista algebraica (Ver Figura 2). </w:t>
      </w:r>
    </w:p>
    <w:p>
      <w:pPr>
        <w:pStyle w:val="Normal"/>
        <w:spacing w:lineRule="auto" w:line="240" w:before="0" w:after="0"/>
        <w:jc w:val="both"/>
        <w:rPr>
          <w:rFonts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20365" cy="2615565"/>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9"/>
                    <a:stretch>
                      <a:fillRect/>
                    </a:stretch>
                  </pic:blipFill>
                  <pic:spPr bwMode="auto">
                    <a:xfrm>
                      <a:off x="0" y="0"/>
                      <a:ext cx="2920365" cy="261556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2. Elementos de la vista gráfica. Fuente: Elaboración propia.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Los elementos, fueron clasificados en dos tipos, a saber:</w:t>
      </w:r>
    </w:p>
    <w:p>
      <w:pPr>
        <w:pStyle w:val="ListParagraph"/>
        <w:widowControl/>
        <w:numPr>
          <w:ilvl w:val="1"/>
          <w:numId w:val="2"/>
        </w:numPr>
        <w:bidi w:val="0"/>
        <w:spacing w:lineRule="auto" w:line="240" w:before="0" w:after="0"/>
        <w:ind w:left="624" w:right="0" w:hanging="170"/>
        <w:jc w:val="both"/>
        <w:rPr>
          <w:rFonts w:ascii="Times New Roman" w:hAnsi="Times New Roman"/>
          <w:sz w:val="20"/>
          <w:szCs w:val="20"/>
        </w:rPr>
      </w:pPr>
      <w:r>
        <w:rPr>
          <w:rFonts w:cs="Times New Roman" w:ascii="Times New Roman" w:hAnsi="Times New Roman"/>
          <w:sz w:val="20"/>
          <w:szCs w:val="20"/>
        </w:rPr>
        <w:t>Los propios del contenido temático: funciones de dos variables, ecuación del plano.</w:t>
      </w:r>
    </w:p>
    <w:p>
      <w:pPr>
        <w:pStyle w:val="ListParagraph"/>
        <w:widowControl/>
        <w:numPr>
          <w:ilvl w:val="1"/>
          <w:numId w:val="2"/>
        </w:numPr>
        <w:bidi w:val="0"/>
        <w:spacing w:lineRule="auto" w:line="240" w:before="0" w:after="0"/>
        <w:ind w:left="624" w:right="0" w:hanging="170"/>
        <w:jc w:val="both"/>
        <w:rPr>
          <w:rFonts w:ascii="Times New Roman" w:hAnsi="Times New Roman"/>
          <w:sz w:val="20"/>
          <w:szCs w:val="20"/>
        </w:rPr>
      </w:pPr>
      <w:r>
        <w:rPr>
          <w:rFonts w:cs="Times New Roman" w:ascii="Times New Roman" w:hAnsi="Times New Roman"/>
          <w:sz w:val="20"/>
          <w:szCs w:val="20"/>
        </w:rPr>
        <w:t xml:space="preserve">Los propios del </w:t>
      </w:r>
      <w:r>
        <w:rPr>
          <w:rFonts w:cs="Times New Roman" w:ascii="Times New Roman" w:hAnsi="Times New Roman"/>
          <w:i/>
          <w:iCs/>
          <w:sz w:val="20"/>
          <w:szCs w:val="20"/>
        </w:rPr>
        <w:t>software</w:t>
      </w:r>
      <w:r>
        <w:rPr>
          <w:rFonts w:cs="Times New Roman" w:ascii="Times New Roman" w:hAnsi="Times New Roman"/>
          <w:sz w:val="20"/>
          <w:szCs w:val="20"/>
        </w:rPr>
        <w:t>: herramienta deslizador.</w:t>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Etapa 2. Se dio formato a la vista gráfica 3D (Ver Figura 3). Esto se realizó usando varias de las funciones de la barra de herramientas, en este caso:</w:t>
      </w:r>
    </w:p>
    <w:p>
      <w:pPr>
        <w:pStyle w:val="ListParagraph"/>
        <w:widowControl/>
        <w:numPr>
          <w:ilvl w:val="0"/>
          <w:numId w:val="3"/>
        </w:numPr>
        <w:bidi w:val="0"/>
        <w:spacing w:lineRule="auto" w:line="240" w:before="0" w:after="0"/>
        <w:ind w:left="680" w:right="0" w:hanging="227"/>
        <w:jc w:val="both"/>
        <w:rPr>
          <w:rFonts w:ascii="Times New Roman" w:hAnsi="Times New Roman"/>
          <w:sz w:val="20"/>
          <w:szCs w:val="20"/>
        </w:rPr>
      </w:pPr>
      <w:r>
        <w:rPr>
          <w:rFonts w:cs="Times New Roman" w:ascii="Times New Roman" w:hAnsi="Times New Roman"/>
          <w:sz w:val="20"/>
          <w:szCs w:val="20"/>
        </w:rPr>
        <w:t>Intersección de dos superficies: para determinar las curvas de intersección entre la superficie y el plano horizontal (curvas de nivel)</w:t>
      </w:r>
    </w:p>
    <w:p>
      <w:pPr>
        <w:pStyle w:val="ListParagraph"/>
        <w:widowControl/>
        <w:numPr>
          <w:ilvl w:val="0"/>
          <w:numId w:val="3"/>
        </w:numPr>
        <w:bidi w:val="0"/>
        <w:spacing w:lineRule="auto" w:line="240" w:before="0" w:after="0"/>
        <w:ind w:left="680" w:right="0" w:hanging="227"/>
        <w:jc w:val="both"/>
        <w:rPr>
          <w:rFonts w:ascii="Times New Roman" w:hAnsi="Times New Roman"/>
          <w:sz w:val="20"/>
          <w:szCs w:val="20"/>
        </w:rPr>
      </w:pPr>
      <w:r>
        <w:rPr>
          <w:rFonts w:cs="Times New Roman" w:ascii="Times New Roman" w:hAnsi="Times New Roman"/>
          <w:sz w:val="20"/>
          <w:szCs w:val="20"/>
        </w:rPr>
        <w:t>Incrustar texto dinámico a color: para expresar la ecuación del plano y de las curvas de nivel.</w:t>
      </w:r>
    </w:p>
    <w:p>
      <w:pPr>
        <w:pStyle w:val="ListParagraph"/>
        <w:widowControl/>
        <w:numPr>
          <w:ilvl w:val="0"/>
          <w:numId w:val="3"/>
        </w:numPr>
        <w:bidi w:val="0"/>
        <w:spacing w:lineRule="auto" w:line="240" w:before="0" w:after="0"/>
        <w:ind w:left="1191" w:right="0" w:hanging="227"/>
        <w:jc w:val="both"/>
        <w:rPr>
          <w:rFonts w:ascii="Times New Roman" w:hAnsi="Times New Roman"/>
          <w:sz w:val="20"/>
          <w:szCs w:val="20"/>
        </w:rPr>
      </w:pPr>
      <w:r>
        <w:rPr>
          <w:rFonts w:cs="Times New Roman" w:ascii="Times New Roman" w:hAnsi="Times New Roman"/>
          <w:sz w:val="20"/>
          <w:szCs w:val="20"/>
        </w:rPr>
        <w:t>Dar color a los objetos: gráfica de la función (superficie azul), plano horizontal (crema) y las curvas de nivel (moradas).</w:t>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81325" cy="1442085"/>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10"/>
                    <a:stretch>
                      <a:fillRect/>
                    </a:stretch>
                  </pic:blipFill>
                  <pic:spPr bwMode="auto">
                    <a:xfrm>
                      <a:off x="0" y="0"/>
                      <a:ext cx="2981325" cy="144208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Figura 3. Formato de la vista gráfica 3D. Fuente: Elaboración propia. </w:t>
      </w:r>
    </w:p>
    <w:p>
      <w:pPr>
        <w:pStyle w:val="Normal"/>
        <w:spacing w:lineRule="auto" w:line="240" w:before="0" w:after="0"/>
        <w:jc w:val="both"/>
        <w:rPr>
          <w:rFonts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Etapa 3. Se dio formato a la vista gráfica 2D (Ver Figura 4), considerando el espacio donde el alumno podrá interactuar. Este se elaboró de la siguiente manera:</w:t>
      </w:r>
    </w:p>
    <w:p>
      <w:pPr>
        <w:pStyle w:val="ListParagraph"/>
        <w:widowControl/>
        <w:numPr>
          <w:ilvl w:val="0"/>
          <w:numId w:val="4"/>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Incrustando texto dinámico a color: para la instrucción, la notación matemática para la función (tiene la opción de usar código LaTeX), así como los ítems que desee seleccionar.</w:t>
      </w:r>
    </w:p>
    <w:p>
      <w:pPr>
        <w:pStyle w:val="ListParagraph"/>
        <w:widowControl/>
        <w:numPr>
          <w:ilvl w:val="0"/>
          <w:numId w:val="4"/>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Usando la herramienta “casilla de entrada” para que el alumno pueda ingresar la función.</w:t>
      </w:r>
    </w:p>
    <w:p>
      <w:pPr>
        <w:pStyle w:val="ListParagraph"/>
        <w:widowControl/>
        <w:numPr>
          <w:ilvl w:val="0"/>
          <w:numId w:val="4"/>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 xml:space="preserve">Usando la herramienta “casilla de control” que sirve para vincular el objeto que se desee mostrar cuando el alumno selecciona un ítem, por ejemplo: si se selecciona “Traza en el plano </w:t>
      </w:r>
      <w:r>
        <w:rPr>
          <w:rFonts w:ascii="Times New Roman" w:hAnsi="Times New Roman"/>
          <w:sz w:val="20"/>
          <w:szCs w:val="20"/>
        </w:rPr>
      </w:r>
      <m:oMath xmlns:m="http://schemas.openxmlformats.org/officeDocument/2006/math">
        <m:r>
          <w:rPr>
            <w:rFonts w:ascii="Cambria Math" w:hAnsi="Cambria Math"/>
          </w:rPr>
          <m:t xml:space="preserve">XY</m:t>
        </m:r>
      </m:oMath>
      <w:r>
        <w:rPr>
          <w:rFonts w:cs="Times New Roman" w:ascii="Times New Roman" w:hAnsi="Times New Roman"/>
          <w:sz w:val="20"/>
          <w:szCs w:val="20"/>
        </w:rPr>
        <w:t xml:space="preserve">” el alumno podrá observar la curva que se forma al intersecar la gráfica de la función (superficie) con el plano </w:t>
      </w:r>
      <w:r>
        <w:rPr>
          <w:rFonts w:ascii="Times New Roman" w:hAnsi="Times New Roman"/>
          <w:sz w:val="20"/>
          <w:szCs w:val="20"/>
        </w:rPr>
      </w:r>
      <m:oMath xmlns:m="http://schemas.openxmlformats.org/officeDocument/2006/math">
        <m:r>
          <w:rPr>
            <w:rFonts w:ascii="Cambria Math" w:hAnsi="Cambria Math"/>
          </w:rPr>
          <m:t xml:space="preserve">z</m:t>
        </m:r>
        <m:r>
          <w:rPr>
            <w:rFonts w:ascii="Cambria Math" w:hAnsi="Cambria Math"/>
          </w:rPr>
          <m:t xml:space="preserve">=</m:t>
        </m:r>
        <m:r>
          <w:rPr>
            <w:rFonts w:ascii="Cambria Math" w:hAnsi="Cambria Math"/>
          </w:rPr>
          <m:t xml:space="preserve">0</m:t>
        </m:r>
      </m:oMath>
      <w:r>
        <w:rPr>
          <w:rFonts w:cs="Times New Roman" w:ascii="Times New Roman" w:hAnsi="Times New Roman"/>
          <w:sz w:val="20"/>
          <w:szCs w:val="20"/>
        </w:rPr>
        <w:t>.</w:t>
      </w:r>
    </w:p>
    <w:p>
      <w:pPr>
        <w:pStyle w:val="ListParagraph"/>
        <w:widowControl/>
        <w:numPr>
          <w:ilvl w:val="0"/>
          <w:numId w:val="4"/>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Incrustando un deslizador (línea horizontal morada) el cual permite que el alumno, al deslizarlo, visualice de forma dinámica las curvas de nivel para diferentes planos horizontales.</w:t>
      </w:r>
    </w:p>
    <w:p>
      <w:pPr>
        <w:pStyle w:val="ListParagraph"/>
        <w:widowControl/>
        <w:numPr>
          <w:ilvl w:val="0"/>
          <w:numId w:val="4"/>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Cambiando el color de fondo en propiedades.</w:t>
      </w:r>
    </w:p>
    <w:p>
      <w:pPr>
        <w:pStyle w:val="ListParagraph"/>
        <w:spacing w:lineRule="auto" w:line="240" w:before="0" w:after="0"/>
        <w:ind w:left="0" w:hanging="0"/>
        <w:jc w:val="center"/>
        <w:rPr>
          <w:rFonts w:ascii="Times New Roman" w:hAnsi="Times New Roman"/>
          <w:sz w:val="20"/>
          <w:szCs w:val="20"/>
        </w:rPr>
      </w:pPr>
      <w:r>
        <w:rPr>
          <w:rFonts w:ascii="Times New Roman" w:hAnsi="Times New Roman"/>
          <w:sz w:val="20"/>
          <w:szCs w:val="20"/>
        </w:rPr>
        <w:drawing>
          <wp:inline distT="0" distB="0" distL="0" distR="0">
            <wp:extent cx="2924810" cy="2879725"/>
            <wp:effectExtent l="0" t="0" r="0" b="0"/>
            <wp:docPr id="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Diagrama&#10;&#10;Descripción generada automáticamente"/>
                    <pic:cNvPicPr>
                      <a:picLocks noChangeAspect="1" noChangeArrowheads="1"/>
                    </pic:cNvPicPr>
                  </pic:nvPicPr>
                  <pic:blipFill>
                    <a:blip r:embed="rId11"/>
                    <a:stretch>
                      <a:fillRect/>
                    </a:stretch>
                  </pic:blipFill>
                  <pic:spPr bwMode="auto">
                    <a:xfrm>
                      <a:off x="0" y="0"/>
                      <a:ext cx="2924810" cy="2879725"/>
                    </a:xfrm>
                    <a:prstGeom prst="rect">
                      <a:avLst/>
                    </a:prstGeom>
                  </pic:spPr>
                </pic:pic>
              </a:graphicData>
            </a:graphic>
          </wp:inline>
        </w:drawing>
      </w:r>
    </w:p>
    <w:p>
      <w:pPr>
        <w:pStyle w:val="ListParagraph"/>
        <w:spacing w:lineRule="auto" w:line="240" w:before="0" w:after="0"/>
        <w:ind w:lef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4. Formato de vista gráfica 2D. Fuente: Elaboración propia.</w:t>
      </w:r>
    </w:p>
    <w:p>
      <w:pPr>
        <w:pStyle w:val="Normal"/>
        <w:spacing w:lineRule="auto" w:line="240" w:before="0" w:after="0"/>
        <w:jc w:val="both"/>
        <w:rPr>
          <w:rFonts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cs="Times New Roman" w:ascii="Times New Roman" w:hAnsi="Times New Roman"/>
          <w:sz w:val="20"/>
          <w:szCs w:val="20"/>
        </w:rPr>
        <w:t>Etapa 4. Se ocultó la vista algebraica y se dejó únicamente las dos vistas principales: vista gráfica 2D y vista gráfica 3D, quedando la vista final y de interacción para el alumno, como se aprecia en la Figura 5.</w:t>
      </w:r>
    </w:p>
    <w:p>
      <w:pPr>
        <w:pStyle w:val="Normal"/>
        <w:spacing w:lineRule="auto" w:line="240" w:before="0" w:after="0"/>
        <w:jc w:val="both"/>
        <w:rPr>
          <w:rFonts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95930" cy="1318895"/>
            <wp:effectExtent l="0" t="0" r="0" b="0"/>
            <wp:docPr id="6" name="Imagen 8"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descr="Gráfico, Gráfico de embudo&#10;&#10;Descripción generada automáticamente"/>
                    <pic:cNvPicPr>
                      <a:picLocks noChangeAspect="1" noChangeArrowheads="1"/>
                    </pic:cNvPicPr>
                  </pic:nvPicPr>
                  <pic:blipFill>
                    <a:blip r:embed="rId12"/>
                    <a:stretch>
                      <a:fillRect/>
                    </a:stretch>
                  </pic:blipFill>
                  <pic:spPr bwMode="auto">
                    <a:xfrm>
                      <a:off x="0" y="0"/>
                      <a:ext cx="2995930" cy="131889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Figura 5. Vista final del applet. Fuente: Elaboración propia.</w:t>
      </w:r>
    </w:p>
    <w:p>
      <w:pPr>
        <w:pStyle w:val="Normal"/>
        <w:spacing w:lineRule="auto" w:line="240" w:before="0" w:after="0"/>
        <w:jc w:val="both"/>
        <w:rPr>
          <w:rFonts w:cs="Times New Roman"/>
        </w:rPr>
      </w:pPr>
      <w:r>
        <w:rPr>
          <w:rFonts w:ascii="Times New Roman" w:hAnsi="Times New Roman"/>
          <w:sz w:val="20"/>
          <w:szCs w:val="20"/>
        </w:rPr>
      </w:r>
    </w:p>
    <w:p>
      <w:pPr>
        <w:pStyle w:val="ListParagraph"/>
        <w:numPr>
          <w:ilvl w:val="0"/>
          <w:numId w:val="1"/>
        </w:numPr>
        <w:spacing w:lineRule="auto" w:line="240" w:before="0" w:after="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Implementación del applet GeoGebra</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w:t>
      </w:r>
      <w:r>
        <w:rPr>
          <w:rFonts w:eastAsia="Times New Roman" w:cs="Times New Roman" w:ascii="Times New Roman" w:hAnsi="Times New Roman"/>
          <w:i/>
          <w:iCs/>
          <w:sz w:val="20"/>
          <w:szCs w:val="20"/>
        </w:rPr>
        <w:t xml:space="preserve">applet </w:t>
      </w:r>
      <w:r>
        <w:rPr>
          <w:rFonts w:eastAsia="Times New Roman" w:cs="Times New Roman" w:ascii="Times New Roman" w:hAnsi="Times New Roman"/>
          <w:sz w:val="20"/>
          <w:szCs w:val="20"/>
        </w:rPr>
        <w:t xml:space="preserve">construido fue implementado con un grupo completo de 16 estudiantes (población) que cursan la asignatura de Cálculo y Análisis Vectorial que se ubica en el cuarto semestre de la malla curricular de los siguientes planes de estudio: Ingeniería en Biotecnología, Ingeniería Industrial Logística, Ingeniería Química Industrial.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La implementación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se dio en dos momentos. El primero fue durante una sesión sincrónica virtual, en la que el docente lo utilizó como recurso didáctico (tecnológico) de enseñanza para introducir y explicar a los estudiantes el concepto de curvas de nivel para funciones de dos variables que se estudian de forma básica.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segundo momento fue cuando los estudiantes lo utilizaron para resolver uno de los reactivos de una actividad de aprendizaje, previamente diseñada por el profesor en la plataforma </w:t>
      </w:r>
      <w:r>
        <w:rPr>
          <w:rFonts w:eastAsia="Times New Roman" w:cs="Times New Roman" w:ascii="Times New Roman" w:hAnsi="Times New Roman"/>
          <w:i/>
          <w:iCs/>
          <w:sz w:val="20"/>
          <w:szCs w:val="20"/>
        </w:rPr>
        <w:t>WebWorK</w:t>
      </w:r>
      <w:r>
        <w:rPr>
          <w:rFonts w:eastAsia="Times New Roman" w:cs="Times New Roman" w:ascii="Times New Roman" w:hAnsi="Times New Roman"/>
          <w:sz w:val="20"/>
          <w:szCs w:val="20"/>
        </w:rPr>
        <w:t xml:space="preserve">, la cual es un portal para que el estudiante interactúe con diversos ejercicios del área de matemáticas en forma asincrónica y con una retroalimentación inmediata (Farfán </w:t>
      </w:r>
      <w:r>
        <w:rPr>
          <w:rFonts w:eastAsia="Times New Roman" w:cs="Times New Roman" w:ascii="Times New Roman" w:hAnsi="Times New Roman"/>
          <w:i/>
          <w:iCs/>
          <w:sz w:val="20"/>
          <w:szCs w:val="20"/>
        </w:rPr>
        <w:t>et al.</w:t>
      </w:r>
      <w:r>
        <w:rPr>
          <w:rFonts w:eastAsia="Times New Roman" w:cs="Times New Roman" w:ascii="Times New Roman" w:hAnsi="Times New Roman"/>
          <w:sz w:val="20"/>
          <w:szCs w:val="20"/>
        </w:rPr>
        <w:t>, 2019).</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La finalidad de este reactivo (ver Figura 6) era que el estudiante transite entre las representaciones geométrica (percepción espacial) y verbal (descripción del lugar geométrico generado) para una mejor comprensión del concepto de curvas de nivel. Aquí es importante mencionar que a todos los estudiantes se les asignaron las mismas funciones y opciones de respuesta, pero en diferente orden.</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10840" cy="1840865"/>
            <wp:effectExtent l="0" t="0" r="0" b="0"/>
            <wp:docPr id="7"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
                    <pic:cNvPicPr>
                      <a:picLocks noChangeAspect="1" noChangeArrowheads="1"/>
                    </pic:cNvPicPr>
                  </pic:nvPicPr>
                  <pic:blipFill>
                    <a:blip r:embed="rId13"/>
                    <a:stretch>
                      <a:fillRect/>
                    </a:stretch>
                  </pic:blipFill>
                  <pic:spPr bwMode="auto">
                    <a:xfrm>
                      <a:off x="0" y="0"/>
                      <a:ext cx="2910840" cy="184086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6. Ejemplo de reactivo en WebWorK. Fuente: Elaboración propia.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Como parte de las instrucciones para resolver el reactivo, se le indicó al estudiante que utilice el </w:t>
      </w:r>
      <w:r>
        <w:rPr>
          <w:rFonts w:eastAsia="Times New Roman" w:cs="Times New Roman" w:ascii="Times New Roman" w:hAnsi="Times New Roman"/>
          <w:i/>
          <w:iCs/>
          <w:sz w:val="20"/>
          <w:szCs w:val="20"/>
        </w:rPr>
        <w:t xml:space="preserve">applet </w:t>
      </w:r>
      <w:r>
        <w:rPr>
          <w:rFonts w:eastAsia="Times New Roman" w:cs="Times New Roman" w:ascii="Times New Roman" w:hAnsi="Times New Roman"/>
          <w:sz w:val="20"/>
          <w:szCs w:val="20"/>
        </w:rPr>
        <w:t xml:space="preserve">dinámico para identificar de manera gráfica el lugar o lugares geométricos que representan las curvas de nivel de cada una de las funciones en cuestión.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En ese sentido, para que los estudiantes pudieran utilizar el </w:t>
      </w:r>
      <w:r>
        <w:rPr>
          <w:rFonts w:eastAsia="Times New Roman" w:cs="Times New Roman" w:ascii="Times New Roman" w:hAnsi="Times New Roman"/>
          <w:i/>
          <w:iCs/>
          <w:sz w:val="20"/>
          <w:szCs w:val="20"/>
        </w:rPr>
        <w:t xml:space="preserve">applet </w:t>
      </w:r>
      <w:r>
        <w:rPr>
          <w:rFonts w:eastAsia="Times New Roman" w:cs="Times New Roman" w:ascii="Times New Roman" w:hAnsi="Times New Roman"/>
          <w:sz w:val="20"/>
          <w:szCs w:val="20"/>
        </w:rPr>
        <w:t>diseñado, el docente:</w:t>
      </w:r>
    </w:p>
    <w:p>
      <w:pPr>
        <w:pStyle w:val="ListParagraph"/>
        <w:widowControl/>
        <w:numPr>
          <w:ilvl w:val="0"/>
          <w:numId w:val="6"/>
        </w:numPr>
        <w:tabs>
          <w:tab w:val="clear" w:pos="720"/>
          <w:tab w:val="left" w:pos="630" w:leader="none"/>
        </w:tabs>
        <w:bidi w:val="0"/>
        <w:spacing w:lineRule="auto" w:line="240" w:before="0" w:after="0"/>
        <w:ind w:left="680" w:right="0" w:hanging="340"/>
        <w:jc w:val="both"/>
        <w:rPr>
          <w:rFonts w:ascii="Times New Roman" w:hAnsi="Times New Roman"/>
          <w:sz w:val="20"/>
          <w:szCs w:val="20"/>
        </w:rPr>
      </w:pPr>
      <w:r>
        <w:rPr>
          <w:rFonts w:eastAsia="Times New Roman" w:cs="Times New Roman" w:ascii="Times New Roman" w:hAnsi="Times New Roman"/>
          <w:sz w:val="20"/>
          <w:szCs w:val="20"/>
        </w:rPr>
        <w:t>Proporcionó</w:t>
      </w:r>
      <w:r>
        <w:rPr>
          <w:rFonts w:cs="Times New Roman" w:ascii="Times New Roman" w:hAnsi="Times New Roman"/>
          <w:sz w:val="20"/>
          <w:szCs w:val="20"/>
        </w:rPr>
        <w:t xml:space="preserve"> el enlace de acceso.</w:t>
      </w:r>
    </w:p>
    <w:p>
      <w:pPr>
        <w:pStyle w:val="ListParagraph"/>
        <w:widowControl/>
        <w:numPr>
          <w:ilvl w:val="0"/>
          <w:numId w:val="6"/>
        </w:numPr>
        <w:tabs>
          <w:tab w:val="clear" w:pos="720"/>
          <w:tab w:val="left" w:pos="630" w:leader="none"/>
        </w:tabs>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Explicó que debían realizar las siguientes acciones:</w:t>
      </w:r>
    </w:p>
    <w:p>
      <w:pPr>
        <w:pStyle w:val="ListParagraph"/>
        <w:widowControl/>
        <w:numPr>
          <w:ilvl w:val="0"/>
          <w:numId w:val="5"/>
        </w:numPr>
        <w:bidi w:val="0"/>
        <w:spacing w:lineRule="auto" w:line="240" w:before="0" w:after="0"/>
        <w:ind w:left="737" w:right="0" w:hanging="454"/>
        <w:jc w:val="both"/>
        <w:rPr>
          <w:rFonts w:ascii="Times New Roman" w:hAnsi="Times New Roman"/>
          <w:sz w:val="20"/>
          <w:szCs w:val="20"/>
        </w:rPr>
      </w:pPr>
      <w:r>
        <w:rPr>
          <w:rFonts w:cs="Times New Roman" w:ascii="Times New Roman" w:hAnsi="Times New Roman"/>
          <w:sz w:val="20"/>
          <w:szCs w:val="20"/>
        </w:rPr>
        <w:t xml:space="preserve">Ingresar la función de dos variables en la casilla de entrada que lo solicita, para cada una de las que presenta el ejercicio, como se aprecia en la Figura 7. </w:t>
      </w:r>
    </w:p>
    <w:p>
      <w:pPr>
        <w:pStyle w:val="ListParagraph"/>
        <w:widowControl/>
        <w:bidi w:val="0"/>
        <w:spacing w:lineRule="auto" w:line="240" w:before="0" w:after="0"/>
        <w:ind w:left="737" w:right="0" w:hanging="454"/>
        <w:jc w:val="both"/>
        <w:rPr>
          <w:rFonts w:cs="Times New Roman"/>
        </w:rPr>
      </w:pPr>
      <w:r>
        <w:rPr>
          <w:rFonts w:ascii="Times New Roman" w:hAnsi="Times New Roman"/>
          <w:sz w:val="20"/>
          <w:szCs w:val="20"/>
        </w:rPr>
      </w:r>
    </w:p>
    <w:p>
      <w:pPr>
        <w:pStyle w:val="ListParagraph"/>
        <w:widowControl/>
        <w:bidi w:val="0"/>
        <w:spacing w:lineRule="auto" w:line="240" w:before="0" w:after="0"/>
        <w:ind w:left="737" w:right="0" w:hanging="454"/>
        <w:jc w:val="both"/>
        <w:rPr>
          <w:rFonts w:cs="Times New Roman"/>
        </w:rPr>
      </w:pPr>
      <w:r>
        <w:rPr>
          <w:rFonts w:ascii="Times New Roman" w:hAnsi="Times New Roman"/>
          <w:sz w:val="20"/>
          <w:szCs w:val="20"/>
        </w:rPr>
      </w:r>
    </w:p>
    <w:p>
      <w:pPr>
        <w:pStyle w:val="ListParagraph"/>
        <w:spacing w:lineRule="auto" w:line="240" w:before="0" w:after="0"/>
        <w:ind w:left="0" w:hanging="0"/>
        <w:jc w:val="center"/>
        <w:rPr>
          <w:rFonts w:ascii="Times New Roman" w:hAnsi="Times New Roman"/>
          <w:sz w:val="20"/>
          <w:szCs w:val="20"/>
        </w:rPr>
      </w:pPr>
      <w:r>
        <w:rPr>
          <w:rFonts w:ascii="Times New Roman" w:hAnsi="Times New Roman"/>
          <w:sz w:val="20"/>
          <w:szCs w:val="20"/>
        </w:rPr>
        <w:drawing>
          <wp:inline distT="0" distB="0" distL="0" distR="0">
            <wp:extent cx="2891790" cy="1329690"/>
            <wp:effectExtent l="0" t="0" r="0" b="0"/>
            <wp:docPr id="8" name="Imagen 1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descr="Gráfico&#10;&#10;Descripción generada automáticamente con confianza baja"/>
                    <pic:cNvPicPr>
                      <a:picLocks noChangeAspect="1" noChangeArrowheads="1"/>
                    </pic:cNvPicPr>
                  </pic:nvPicPr>
                  <pic:blipFill>
                    <a:blip r:embed="rId14"/>
                    <a:stretch>
                      <a:fillRect/>
                    </a:stretch>
                  </pic:blipFill>
                  <pic:spPr bwMode="auto">
                    <a:xfrm>
                      <a:off x="0" y="0"/>
                      <a:ext cx="2891790" cy="1329690"/>
                    </a:xfrm>
                    <a:prstGeom prst="rect">
                      <a:avLst/>
                    </a:prstGeom>
                  </pic:spPr>
                </pic:pic>
              </a:graphicData>
            </a:graphic>
          </wp:inline>
        </w:drawing>
      </w:r>
    </w:p>
    <w:p>
      <w:pPr>
        <w:pStyle w:val="ListParagraph"/>
        <w:spacing w:lineRule="auto" w:line="240" w:before="0" w:after="0"/>
        <w:ind w:left="0" w:hanging="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Figura 7. Vista gráfica para el estudiante. Fuente: Elaboración propia.</w:t>
      </w:r>
    </w:p>
    <w:p>
      <w:pPr>
        <w:pStyle w:val="ListParagraph"/>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ListParagraph"/>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ListParagraph"/>
        <w:widowControl/>
        <w:numPr>
          <w:ilvl w:val="0"/>
          <w:numId w:val="5"/>
        </w:numPr>
        <w:bidi w:val="0"/>
        <w:spacing w:lineRule="auto" w:line="240" w:before="0" w:after="0"/>
        <w:ind w:left="737" w:right="0" w:hanging="454"/>
        <w:jc w:val="both"/>
        <w:rPr>
          <w:rFonts w:ascii="Times New Roman" w:hAnsi="Times New Roman"/>
          <w:sz w:val="20"/>
          <w:szCs w:val="20"/>
        </w:rPr>
      </w:pPr>
      <w:r>
        <w:rPr>
          <w:rFonts w:cs="Times New Roman" w:ascii="Times New Roman" w:hAnsi="Times New Roman"/>
          <w:sz w:val="20"/>
          <w:szCs w:val="20"/>
        </w:rPr>
        <w:t>Usar el deslizador para que el plano horizontal se vaya desplazando hacia arriba o hacia abajo y en la vista gráfica 3D se vayan mostrando las curvas de nivel (ver Figura 8).</w:t>
      </w:r>
    </w:p>
    <w:p>
      <w:pPr>
        <w:pStyle w:val="ListParagraph"/>
        <w:spacing w:lineRule="auto" w:line="240" w:before="0" w:after="0"/>
        <w:jc w:val="both"/>
        <w:rPr>
          <w:rFonts w:cs="Times New Roman"/>
        </w:rPr>
      </w:pPr>
      <w:r>
        <w:rPr>
          <w:rFonts w:ascii="Times New Roman" w:hAnsi="Times New Roman"/>
          <w:sz w:val="20"/>
          <w:szCs w:val="20"/>
        </w:rPr>
      </w:r>
    </w:p>
    <w:p>
      <w:pPr>
        <w:pStyle w:val="ListParagraph"/>
        <w:spacing w:lineRule="auto" w:line="240" w:before="0" w:after="0"/>
        <w:ind w:left="0" w:hanging="0"/>
        <w:jc w:val="center"/>
        <w:rPr>
          <w:rFonts w:ascii="Times New Roman" w:hAnsi="Times New Roman"/>
          <w:sz w:val="20"/>
          <w:szCs w:val="20"/>
        </w:rPr>
      </w:pPr>
      <w:r>
        <w:rPr>
          <w:rFonts w:ascii="Times New Roman" w:hAnsi="Times New Roman"/>
          <w:sz w:val="20"/>
          <w:szCs w:val="20"/>
        </w:rPr>
        <w:drawing>
          <wp:inline distT="0" distB="0" distL="0" distR="0">
            <wp:extent cx="2910840" cy="1341120"/>
            <wp:effectExtent l="0" t="0" r="0" b="0"/>
            <wp:docPr id="9" name="Imagen 12"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 descr="Gráfico, Gráfico de superficie&#10;&#10;Descripción generada automáticamente"/>
                    <pic:cNvPicPr>
                      <a:picLocks noChangeAspect="1" noChangeArrowheads="1"/>
                    </pic:cNvPicPr>
                  </pic:nvPicPr>
                  <pic:blipFill>
                    <a:blip r:embed="rId15"/>
                    <a:stretch>
                      <a:fillRect/>
                    </a:stretch>
                  </pic:blipFill>
                  <pic:spPr bwMode="auto">
                    <a:xfrm>
                      <a:off x="0" y="0"/>
                      <a:ext cx="2910840" cy="1341120"/>
                    </a:xfrm>
                    <a:prstGeom prst="rect">
                      <a:avLst/>
                    </a:prstGeom>
                  </pic:spPr>
                </pic:pic>
              </a:graphicData>
            </a:graphic>
          </wp:inline>
        </w:drawing>
      </w:r>
    </w:p>
    <w:p>
      <w:pPr>
        <w:pStyle w:val="ListParagraph"/>
        <w:spacing w:lineRule="auto" w:line="240" w:before="0" w:after="0"/>
        <w:ind w:left="0" w:hanging="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Figura 8. Vista gráfica de las curvas de nivel. Fuente: Elaboración propia.</w:t>
      </w:r>
    </w:p>
    <w:p>
      <w:pPr>
        <w:pStyle w:val="ListParagraph"/>
        <w:spacing w:lineRule="auto" w:line="240" w:before="0" w:after="0"/>
        <w:ind w:left="0" w:hanging="0"/>
        <w:jc w:val="both"/>
        <w:rPr>
          <w:rFonts w:ascii="Times New Roman" w:hAnsi="Times New Roman" w:cs="Times New Roman"/>
          <w:sz w:val="20"/>
          <w:szCs w:val="20"/>
        </w:rPr>
      </w:pPr>
      <w:r>
        <w:rPr>
          <w:rFonts w:cs="Times New Roman" w:ascii="Times New Roman" w:hAnsi="Times New Roman"/>
          <w:sz w:val="20"/>
          <w:szCs w:val="20"/>
        </w:rPr>
      </w:r>
    </w:p>
    <w:p>
      <w:pPr>
        <w:pStyle w:val="ListParagraph"/>
        <w:widowControl/>
        <w:numPr>
          <w:ilvl w:val="0"/>
          <w:numId w:val="5"/>
        </w:numPr>
        <w:bidi w:val="0"/>
        <w:spacing w:lineRule="auto" w:line="240" w:before="0" w:after="0"/>
        <w:ind w:left="737" w:right="0" w:hanging="454"/>
        <w:jc w:val="both"/>
        <w:rPr>
          <w:rFonts w:ascii="Times New Roman" w:hAnsi="Times New Roman"/>
          <w:sz w:val="20"/>
          <w:szCs w:val="20"/>
        </w:rPr>
      </w:pPr>
      <w:r>
        <w:rPr>
          <w:rFonts w:cs="Times New Roman" w:ascii="Times New Roman" w:hAnsi="Times New Roman"/>
          <w:sz w:val="20"/>
          <w:szCs w:val="20"/>
        </w:rPr>
        <w:t>Rotar el gráfico, en caso de ser necesario, para visualizar desde diferente perspectiva (ver Figura 9) las curvas de nivel e identificar de qué lugar geométrico se trata (parábola, circunferencias, hipérbolas, etcétera).</w:t>
      </w:r>
    </w:p>
    <w:p>
      <w:pPr>
        <w:pStyle w:val="ListParagraph"/>
        <w:numPr>
          <w:ilvl w:val="0"/>
          <w:numId w:val="0"/>
        </w:numPr>
        <w:spacing w:lineRule="auto" w:line="240" w:before="0" w:after="0"/>
        <w:ind w:left="1800" w:hanging="0"/>
        <w:jc w:val="both"/>
        <w:rPr>
          <w:rFonts w:cs="Times New Roman"/>
        </w:rPr>
      </w:pPr>
      <w:r>
        <w:rPr>
          <w:rFonts w:ascii="Times New Roman" w:hAnsi="Times New Roman"/>
          <w:sz w:val="20"/>
          <w:szCs w:val="20"/>
        </w:rPr>
      </w:r>
    </w:p>
    <w:p>
      <w:pPr>
        <w:pStyle w:val="ListParagraph"/>
        <w:spacing w:lineRule="auto" w:line="240" w:before="0" w:after="0"/>
        <w:ind w:left="0" w:hanging="0"/>
        <w:jc w:val="center"/>
        <w:rPr>
          <w:rFonts w:ascii="Times New Roman" w:hAnsi="Times New Roman"/>
          <w:sz w:val="20"/>
          <w:szCs w:val="20"/>
        </w:rPr>
      </w:pPr>
      <w:r>
        <w:rPr>
          <w:rFonts w:ascii="Times New Roman" w:hAnsi="Times New Roman"/>
          <w:sz w:val="20"/>
          <w:szCs w:val="20"/>
        </w:rPr>
        <w:drawing>
          <wp:inline distT="0" distB="0" distL="0" distR="0">
            <wp:extent cx="2944495" cy="1351915"/>
            <wp:effectExtent l="0" t="0" r="0" b="0"/>
            <wp:docPr id="10" name="Imagen 14"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descr="Una captura de pantalla de un celular con letras&#10;&#10;Descripción generada automáticamente con confianza media"/>
                    <pic:cNvPicPr>
                      <a:picLocks noChangeAspect="1" noChangeArrowheads="1"/>
                    </pic:cNvPicPr>
                  </pic:nvPicPr>
                  <pic:blipFill>
                    <a:blip r:embed="rId16"/>
                    <a:stretch>
                      <a:fillRect/>
                    </a:stretch>
                  </pic:blipFill>
                  <pic:spPr bwMode="auto">
                    <a:xfrm>
                      <a:off x="0" y="0"/>
                      <a:ext cx="2944495" cy="1351915"/>
                    </a:xfrm>
                    <a:prstGeom prst="rect">
                      <a:avLst/>
                    </a:prstGeom>
                  </pic:spPr>
                </pic:pic>
              </a:graphicData>
            </a:graphic>
          </wp:inline>
        </w:drawing>
      </w:r>
    </w:p>
    <w:p>
      <w:pPr>
        <w:pStyle w:val="ListParagraph"/>
        <w:spacing w:lineRule="auto" w:line="240" w:before="0" w:after="0"/>
        <w:ind w:left="0" w:hanging="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Figura 9. Vista gráfica de perspectivas. Fuente: Elaboración propia.</w:t>
      </w:r>
    </w:p>
    <w:p>
      <w:pPr>
        <w:pStyle w:val="ListParagraph"/>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ListParagraph"/>
        <w:widowControl/>
        <w:numPr>
          <w:ilvl w:val="0"/>
          <w:numId w:val="5"/>
        </w:numPr>
        <w:bidi w:val="0"/>
        <w:spacing w:lineRule="auto" w:line="240" w:before="0" w:after="0"/>
        <w:ind w:left="680" w:right="0" w:hanging="340"/>
        <w:jc w:val="both"/>
        <w:rPr>
          <w:rFonts w:ascii="Times New Roman" w:hAnsi="Times New Roman"/>
          <w:sz w:val="20"/>
          <w:szCs w:val="20"/>
        </w:rPr>
      </w:pPr>
      <w:r>
        <w:rPr>
          <w:rFonts w:cs="Times New Roman" w:ascii="Times New Roman" w:hAnsi="Times New Roman"/>
          <w:sz w:val="20"/>
          <w:szCs w:val="20"/>
        </w:rPr>
        <w:t xml:space="preserve">Finalmente, una vez que hayan identificado el lugar geométrico que corresponde a las curvas nivel para cada función con ayuda del </w:t>
      </w:r>
      <w:r>
        <w:rPr>
          <w:rFonts w:cs="Times New Roman" w:ascii="Times New Roman" w:hAnsi="Times New Roman"/>
          <w:i/>
          <w:iCs/>
          <w:sz w:val="20"/>
          <w:szCs w:val="20"/>
        </w:rPr>
        <w:t>applet</w:t>
      </w:r>
      <w:r>
        <w:rPr>
          <w:rFonts w:cs="Times New Roman" w:ascii="Times New Roman" w:hAnsi="Times New Roman"/>
          <w:sz w:val="20"/>
          <w:szCs w:val="20"/>
        </w:rPr>
        <w:t>, debían escribir el inciso que corresponde a cada ecuación a partir de la descripción verbal que se establece en el reactivo, tal como se muestra en la Figura 10.</w:t>
      </w:r>
    </w:p>
    <w:p>
      <w:pPr>
        <w:pStyle w:val="ListParagraph"/>
        <w:spacing w:lineRule="auto" w:line="240" w:before="0" w:after="0"/>
        <w:ind w:left="142" w:hanging="0"/>
        <w:jc w:val="center"/>
        <w:rPr>
          <w:rFonts w:ascii="Times New Roman" w:hAnsi="Times New Roman"/>
          <w:sz w:val="20"/>
          <w:szCs w:val="20"/>
        </w:rPr>
      </w:pPr>
      <w:r>
        <w:rPr>
          <w:rFonts w:ascii="Times New Roman" w:hAnsi="Times New Roman"/>
          <w:sz w:val="20"/>
          <w:szCs w:val="20"/>
        </w:rPr>
        <w:drawing>
          <wp:inline distT="0" distB="0" distL="0" distR="0">
            <wp:extent cx="2915920" cy="1726565"/>
            <wp:effectExtent l="0" t="0" r="0" b="0"/>
            <wp:docPr id="11"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Interfaz de usuario gráfica, Texto, Aplicación, Correo electrónico&#10;&#10;Descripción generada automáticamente"/>
                    <pic:cNvPicPr>
                      <a:picLocks noChangeAspect="1" noChangeArrowheads="1"/>
                    </pic:cNvPicPr>
                  </pic:nvPicPr>
                  <pic:blipFill>
                    <a:blip r:embed="rId17"/>
                    <a:stretch>
                      <a:fillRect/>
                    </a:stretch>
                  </pic:blipFill>
                  <pic:spPr bwMode="auto">
                    <a:xfrm>
                      <a:off x="0" y="0"/>
                      <a:ext cx="2915920" cy="172656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10. Respuestas correctas del reactivo en WebWorK. Fuente: Elaboración propia.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ListParagraph"/>
        <w:numPr>
          <w:ilvl w:val="0"/>
          <w:numId w:val="1"/>
        </w:numPr>
        <w:spacing w:lineRule="auto" w:line="240" w:before="0" w:after="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Obtención de información y análisis cualitativo </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Como se mencionó anteriormente, una de las ventajas de la plataforma </w:t>
      </w:r>
      <w:r>
        <w:rPr>
          <w:rFonts w:eastAsia="Times New Roman" w:cs="Times New Roman" w:ascii="Times New Roman" w:hAnsi="Times New Roman"/>
          <w:i/>
          <w:iCs/>
          <w:sz w:val="20"/>
          <w:szCs w:val="20"/>
        </w:rPr>
        <w:t>WeBWorK</w:t>
      </w:r>
      <w:r>
        <w:rPr>
          <w:rFonts w:eastAsia="Times New Roman" w:cs="Times New Roman" w:ascii="Times New Roman" w:hAnsi="Times New Roman"/>
          <w:sz w:val="20"/>
          <w:szCs w:val="20"/>
        </w:rPr>
        <w:t xml:space="preserve"> es que califica los reactivos de cada actividad de forma automática. De la aplicación de este reactivo se obtuvo un 100% de respuestas correctas por parte de los estudiantes, lo cual es un indicio de que la representación visual generada por 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tuvo un impacto en su análisis, sin embargo, era importante descartar la posibilidad de que hayan seleccionado sus respuestas al azar. Por tal motivo, el docente solicitó a los estudiantes que incluyeran, como parte del reporte de la actividad de aprendizaje, las capturas de pantalla desde diferentes ángulos de la representación visual que generaron con ayuda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para justificar su respuesta seleccionada.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La información recabada de los reportes de los estudiantes, junto con los datos que se habían obtenido de la plataforma </w:t>
      </w:r>
      <w:r>
        <w:rPr>
          <w:rFonts w:eastAsia="Times New Roman" w:cs="Times New Roman" w:ascii="Times New Roman" w:hAnsi="Times New Roman"/>
          <w:i/>
          <w:iCs/>
          <w:sz w:val="20"/>
          <w:szCs w:val="20"/>
        </w:rPr>
        <w:t>WebWorK</w:t>
      </w:r>
      <w:r>
        <w:rPr>
          <w:rFonts w:eastAsia="Times New Roman" w:cs="Times New Roman" w:ascii="Times New Roman" w:hAnsi="Times New Roman"/>
          <w:sz w:val="20"/>
          <w:szCs w:val="20"/>
        </w:rPr>
        <w:t xml:space="preserve">, permitieron hacer un análisis cualitativo para identificar si 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coadyuvó al análisis gráfico (representación visual) realizado por los estudiantes, así como para generar las curvas de nivel de una función de dos variables para diferentes valores del parámetro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entendiendo su relación con la forma de la función misma. En el siguiente apartado se hace una descripción de dicho análisis.</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bCs/>
          <w:sz w:val="20"/>
          <w:szCs w:val="20"/>
        </w:rPr>
        <w:t xml:space="preserve">III. </w:t>
      </w:r>
      <w:r>
        <w:rPr>
          <w:rFonts w:eastAsia="Times New Roman" w:cs="Times New Roman" w:ascii="Times New Roman" w:hAnsi="Times New Roman"/>
          <w:b/>
          <w:bCs/>
          <w:sz w:val="20"/>
          <w:szCs w:val="20"/>
        </w:rPr>
        <w:t>RESULTADOS</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Antes de iniciar con el análisis cualitativo es importante subrayar que, si bien todos los estudiantes lograron asociar la función con la descripción del lugar(es) geométrico(s) que corresponden a sus curvas de nivel, existen diferencias en los argumentos que estos desarrollaron para justificar la elección de su respuesta.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Al revisar las figuras presentadas se observó que, para seis de las siete funciones dadas, el 100% de los estudiantes lograron, de manera correcta, generar y visualizar con la ayuda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dinámico las curvas de nivel correspondientes a los diferentes valores del parámetro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a saber, para valores de </w:t>
      </w:r>
      <w:r>
        <w:rPr>
          <w:rFonts w:ascii="Times New Roman" w:hAnsi="Times New Roman"/>
          <w:sz w:val="20"/>
          <w:szCs w:val="20"/>
        </w:rPr>
      </w:r>
      <m:oMath xmlns:m="http://schemas.openxmlformats.org/officeDocument/2006/math">
        <m:r>
          <w:rPr>
            <w:rFonts w:ascii="Cambria Math" w:hAnsi="Cambria Math"/>
          </w:rPr>
          <m:t xml:space="preserve">k</m:t>
        </m:r>
        <m:r>
          <w:rPr>
            <w:rFonts w:ascii="Cambria Math" w:hAnsi="Cambria Math"/>
          </w:rPr>
          <m:t xml:space="preserve">&lt;</m:t>
        </m:r>
        <m:r>
          <w:rPr>
            <w:rFonts w:ascii="Cambria Math" w:hAnsi="Cambria Math"/>
          </w:rPr>
          <m:t xml:space="preserve">0</m:t>
        </m:r>
      </m:oMath>
      <w:r>
        <w:rPr>
          <w:rFonts w:eastAsia="Times New Roman" w:cs="Times New Roman" w:ascii="Times New Roman" w:hAnsi="Times New Roman"/>
          <w:sz w:val="20"/>
          <w:szCs w:val="20"/>
        </w:rPr>
        <w:t xml:space="preserve">, </w:t>
      </w:r>
      <w:r>
        <w:rPr>
          <w:rFonts w:ascii="Times New Roman" w:hAnsi="Times New Roman"/>
          <w:sz w:val="20"/>
          <w:szCs w:val="20"/>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0</m:t>
        </m:r>
      </m:oMath>
      <w:r>
        <w:rPr>
          <w:rFonts w:eastAsia="Times New Roman" w:cs="Times New Roman" w:ascii="Times New Roman" w:hAnsi="Times New Roman"/>
          <w:sz w:val="20"/>
          <w:szCs w:val="20"/>
        </w:rPr>
        <w:t xml:space="preserve"> y </w:t>
      </w:r>
      <w:r>
        <w:rPr>
          <w:rFonts w:ascii="Times New Roman" w:hAnsi="Times New Roman"/>
          <w:sz w:val="20"/>
          <w:szCs w:val="20"/>
        </w:rPr>
      </w:r>
      <m:oMath xmlns:m="http://schemas.openxmlformats.org/officeDocument/2006/math">
        <m:r>
          <w:rPr>
            <w:rFonts w:ascii="Cambria Math" w:hAnsi="Cambria Math"/>
          </w:rPr>
          <m:t xml:space="preserve">k</m:t>
        </m:r>
        <m:r>
          <w:rPr>
            <w:rFonts w:ascii="Cambria Math" w:hAnsi="Cambria Math"/>
          </w:rPr>
          <m:t xml:space="preserve">&gt;</m:t>
        </m:r>
        <m:r>
          <w:rPr>
            <w:rFonts w:ascii="Cambria Math" w:hAnsi="Cambria Math"/>
          </w:rPr>
          <m:t xml:space="preserve">0</m:t>
        </m:r>
      </m:oMath>
      <w:r>
        <w:rPr>
          <w:rFonts w:eastAsia="Times New Roman" w:cs="Times New Roman" w:ascii="Times New Roman" w:hAnsi="Times New Roman"/>
          <w:sz w:val="20"/>
          <w:szCs w:val="20"/>
        </w:rPr>
        <w:t xml:space="preserve">. Sin embargo, para la función </w:t>
      </w:r>
      <w:r>
        <w:rPr>
          <w:rFonts w:ascii="Times New Roman" w:hAnsi="Times New Roman"/>
          <w:sz w:val="20"/>
          <w:szCs w:val="20"/>
        </w:rPr>
      </w:r>
      <m:oMath xmlns:m="http://schemas.openxmlformats.org/officeDocument/2006/math">
        <m:r>
          <w:rPr>
            <w:rFonts w:ascii="Cambria Math" w:hAnsi="Cambria Math"/>
          </w:rPr>
          <m:t xml:space="preserve">z</m:t>
        </m:r>
        <m:r>
          <w:rPr>
            <w:rFonts w:ascii="Cambria Math" w:hAnsi="Cambria Math"/>
          </w:rPr>
          <m:t xml:space="preserve">=</m:t>
        </m:r>
        <m:r>
          <w:rPr>
            <w:rFonts w:ascii="Cambria Math" w:hAnsi="Cambria Math"/>
          </w:rPr>
          <m:t xml:space="preserve">xy</m:t>
        </m:r>
      </m:oMath>
      <w:r>
        <w:rPr>
          <w:rFonts w:eastAsia="Times New Roman" w:cs="Times New Roman" w:ascii="Times New Roman" w:hAnsi="Times New Roman"/>
          <w:sz w:val="20"/>
          <w:szCs w:val="20"/>
        </w:rPr>
        <w:t xml:space="preserve">, se detectó que algunos estudiantes tuvieron ciertas dificultades para identificar o mostrar todos los posibles lugares geométricos que se generan para los diferentes valores de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A continuación, se presentan las imágenes proporcionadas por dos de los estudiantes que tuvieron alguna de las dificultades mencionadas:</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estudiante A solo presentó la Figura 11 como perspectiva, en ella se observan las curvas de nivel para valores de </w:t>
      </w:r>
      <w:r>
        <w:rPr>
          <w:rFonts w:ascii="Times New Roman" w:hAnsi="Times New Roman"/>
          <w:sz w:val="20"/>
          <w:szCs w:val="20"/>
        </w:rPr>
      </w:r>
      <m:oMath xmlns:m="http://schemas.openxmlformats.org/officeDocument/2006/math">
        <m:r>
          <w:rPr>
            <w:rFonts w:ascii="Cambria Math" w:hAnsi="Cambria Math"/>
          </w:rPr>
          <m:t xml:space="preserve">k</m:t>
        </m:r>
        <m:r>
          <w:rPr>
            <w:rFonts w:ascii="Cambria Math" w:hAnsi="Cambria Math"/>
          </w:rPr>
          <m:t xml:space="preserve">&gt;</m:t>
        </m:r>
        <m:r>
          <w:rPr>
            <w:rFonts w:ascii="Cambria Math" w:hAnsi="Cambria Math"/>
          </w:rPr>
          <m:t xml:space="preserve">0</m:t>
        </m:r>
      </m:oMath>
      <w:r>
        <w:rPr>
          <w:rFonts w:eastAsia="Times New Roman" w:cs="Times New Roman" w:ascii="Times New Roman" w:hAnsi="Times New Roman"/>
          <w:sz w:val="20"/>
          <w:szCs w:val="20"/>
        </w:rPr>
        <w:t>, sin embargo, no coincide con la ecuación que se aprecia (</w:t>
      </w:r>
      <w:r>
        <w:rPr>
          <w:rFonts w:ascii="Times New Roman" w:hAnsi="Times New Roman"/>
          <w:sz w:val="20"/>
          <w:szCs w:val="20"/>
        </w:rPr>
      </w:r>
      <m:oMath xmlns:m="http://schemas.openxmlformats.org/officeDocument/2006/math">
        <m:r>
          <w:rPr>
            <w:rFonts w:ascii="Cambria Math" w:hAnsi="Cambria Math"/>
          </w:rPr>
          <m:t xml:space="preserve">xy</m:t>
        </m:r>
        <m: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m:t>
        </m:r>
      </m:oMath>
      <w:r>
        <w:rPr>
          <w:rFonts w:eastAsia="Times New Roman" w:cs="Times New Roman" w:ascii="Times New Roman" w:hAnsi="Times New Roman"/>
          <w:sz w:val="20"/>
          <w:szCs w:val="20"/>
        </w:rPr>
        <w:t xml:space="preserve">Además, se le indicó que le faltó analizar qué curvas de nivel se generan para valores de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menores o iguales a cero. </w:t>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244725" cy="2160270"/>
            <wp:effectExtent l="0" t="0" r="0" b="0"/>
            <wp:docPr id="12" name="Imagen 1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9" descr="Diagrama, Esquemático&#10;&#10;Descripción generada automáticamente"/>
                    <pic:cNvPicPr>
                      <a:picLocks noChangeAspect="1" noChangeArrowheads="1"/>
                    </pic:cNvPicPr>
                  </pic:nvPicPr>
                  <pic:blipFill>
                    <a:blip r:embed="rId18"/>
                    <a:stretch>
                      <a:fillRect/>
                    </a:stretch>
                  </pic:blipFill>
                  <pic:spPr bwMode="auto">
                    <a:xfrm>
                      <a:off x="0" y="0"/>
                      <a:ext cx="2244725" cy="216027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11. Visualización presentada por el estudiante A. Fuente: Actividad del Estudiante 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estudiante B solo presentó la Figura 12 como perspectiva que, si bien no es incorrecto, se le indicó que no se aprecian las curvas de nivel para </w:t>
      </w:r>
      <w:r>
        <w:rPr>
          <w:rFonts w:ascii="Times New Roman" w:hAnsi="Times New Roman"/>
          <w:sz w:val="20"/>
          <w:szCs w:val="20"/>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0</m:t>
        </m:r>
      </m:oMath>
      <w:r>
        <w:rPr>
          <w:rFonts w:eastAsia="Times New Roman" w:cs="Times New Roman" w:ascii="Times New Roman" w:hAnsi="Times New Roman"/>
          <w:sz w:val="20"/>
          <w:szCs w:val="20"/>
        </w:rPr>
        <w:t xml:space="preserve"> que corresponde a dos líneas rectas y que era importante mostrarlas como parte de la justificación de la elección de su respuesta.</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854325" cy="1340485"/>
            <wp:effectExtent l="0" t="0" r="0" b="0"/>
            <wp:docPr id="13" name="Imagen 20"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0" descr="Interfaz de usuario gráfica&#10;&#10;Descripción generada automáticamente con confianza baja"/>
                    <pic:cNvPicPr>
                      <a:picLocks noChangeAspect="1" noChangeArrowheads="1"/>
                    </pic:cNvPicPr>
                  </pic:nvPicPr>
                  <pic:blipFill>
                    <a:blip r:embed="rId19"/>
                    <a:stretch>
                      <a:fillRect/>
                    </a:stretch>
                  </pic:blipFill>
                  <pic:spPr bwMode="auto">
                    <a:xfrm>
                      <a:off x="0" y="0"/>
                      <a:ext cx="2854325" cy="1340485"/>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12. Visualización presentada por el estudiante B. Fuente: Actividad de aprendizaje del Estudiante B.</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Si bien esos dos estudiantes (el 12.5%) presentaron alguna dificultad, se considera que con las observaciones realizadas podrán comprender la importancia de analizar qué sucede para los diferentes valores del parámetro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Por otro lado, la mayoría de los estudiantes (el 87.5%) presentó un gráfico similar a la Figura 13, la cual contiene los dos gráficos mostrados por el estudiante C donde se aprecia claramente qué lugares geométricos se generaron para los diferentes valores de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center"/>
        <w:rPr>
          <w:rFonts w:ascii="Times New Roman" w:hAnsi="Times New Roman"/>
          <w:sz w:val="20"/>
          <w:szCs w:val="20"/>
        </w:rPr>
      </w:pPr>
      <w:r>
        <w:rPr>
          <w:rFonts w:ascii="Times New Roman" w:hAnsi="Times New Roman"/>
          <w:sz w:val="20"/>
          <w:szCs w:val="20"/>
        </w:rPr>
        <w:drawing>
          <wp:inline distT="0" distB="0" distL="0" distR="0">
            <wp:extent cx="2999105" cy="1477010"/>
            <wp:effectExtent l="0" t="0" r="0" b="0"/>
            <wp:docPr id="14" name="Imagen 22"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 descr="Gráfico, Gráfico de superficie&#10;&#10;Descripción generada automáticamente"/>
                    <pic:cNvPicPr>
                      <a:picLocks noChangeAspect="1" noChangeArrowheads="1"/>
                    </pic:cNvPicPr>
                  </pic:nvPicPr>
                  <pic:blipFill>
                    <a:blip r:embed="rId20"/>
                    <a:stretch>
                      <a:fillRect/>
                    </a:stretch>
                  </pic:blipFill>
                  <pic:spPr bwMode="auto">
                    <a:xfrm>
                      <a:off x="0" y="0"/>
                      <a:ext cx="2999105" cy="1477010"/>
                    </a:xfrm>
                    <a:prstGeom prst="rect">
                      <a:avLst/>
                    </a:prstGeom>
                  </pic:spPr>
                </pic:pic>
              </a:graphicData>
            </a:graphic>
          </wp:inline>
        </w:drawing>
      </w:r>
    </w:p>
    <w:p>
      <w:pPr>
        <w:pStyle w:val="Normal"/>
        <w:spacing w:lineRule="auto" w:line="240" w:before="0" w:after="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Figura 13. Visualización presentada por el estudiante C. Fuente: Actividad de aprendizaje del Estudiante C.</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 </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b/>
          <w:bCs/>
          <w:sz w:val="20"/>
          <w:szCs w:val="20"/>
        </w:rPr>
        <w:t xml:space="preserve">IV. </w:t>
      </w:r>
      <w:r>
        <w:rPr>
          <w:rFonts w:eastAsia="Times New Roman" w:cs="Times New Roman" w:ascii="Times New Roman" w:hAnsi="Times New Roman"/>
          <w:b/>
          <w:bCs/>
          <w:sz w:val="20"/>
          <w:szCs w:val="20"/>
        </w:rPr>
        <w:t>CONCLUSIONES</w:t>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El diseño de recursos didácticos físicos o tecnológicos que faciliten el proceso de enseñanza- aprendizaje de las matemáticas, no es una actividad trivial por parte del docente, más aún para conceptos complejos y/o específicos que se abordan en cursos de nivel superior. En ese sentido, aquellos docentes que deciden aventurarse deben invertir tiempo, conocer muy bien el contexto donde será implementado y poner en marcha su creatividad para que el recurso sea atractivo, versátil y fácil de utilizar. Además, en el caso de los recursos tecnológicos el docente debe poseer la capacitación y habilidad en el uso de los </w:t>
      </w:r>
      <w:r>
        <w:rPr>
          <w:rFonts w:eastAsia="Times New Roman" w:cs="Times New Roman" w:ascii="Times New Roman" w:hAnsi="Times New Roman"/>
          <w:i/>
          <w:iCs/>
          <w:sz w:val="20"/>
          <w:szCs w:val="20"/>
        </w:rPr>
        <w:t>softwares</w:t>
      </w:r>
      <w:r>
        <w:rPr>
          <w:rFonts w:eastAsia="Times New Roman" w:cs="Times New Roman" w:ascii="Times New Roman" w:hAnsi="Times New Roman"/>
          <w:sz w:val="20"/>
          <w:szCs w:val="20"/>
        </w:rPr>
        <w:t xml:space="preserve"> disponibles para su diseño.</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Desde el punto de vista de los autores y con miras a afrontar la era post pandemia, se considera que seguir creando e/o implementando recursos didácticos tecnológicos para mejorar el proceso de enseñanza-aprendizaje dentro o fuera del aula es muy alentador, ya que la gran mayoría de ellos pueden diseñarse a través de </w:t>
      </w:r>
      <w:r>
        <w:rPr>
          <w:rFonts w:eastAsia="Times New Roman" w:cs="Times New Roman" w:ascii="Times New Roman" w:hAnsi="Times New Roman"/>
          <w:i/>
          <w:iCs/>
          <w:sz w:val="20"/>
          <w:szCs w:val="20"/>
        </w:rPr>
        <w:t>software</w:t>
      </w:r>
      <w:r>
        <w:rPr>
          <w:rFonts w:eastAsia="Times New Roman" w:cs="Times New Roman" w:ascii="Times New Roman" w:hAnsi="Times New Roman"/>
          <w:sz w:val="20"/>
          <w:szCs w:val="20"/>
        </w:rPr>
        <w:t xml:space="preserve"> libre y sus ventajas son muchas; en el caso particular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dinámico diseñado se pueden resaltar como ventajas: </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La vista presentada al usuario (estudiante) permite la fácil de manipulación y que sea atractivo para los estudiantes.</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Puede utilizarse en todo momento desde cualquier dispositivo electrónico con acceso a internet.</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El estudiante puede analizar la representación visual de curvas de nivel para funciones más complejas.</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 xml:space="preserve">Es versátil, ya que puede usarse para la enseñanza y aprendizaje del concepto de trazas para la gráfica de una función de dos variables. </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Puede reutilizarse para cursos futuros.</w:t>
      </w:r>
    </w:p>
    <w:p>
      <w:pPr>
        <w:pStyle w:val="ListParagraph"/>
        <w:widowControl/>
        <w:numPr>
          <w:ilvl w:val="0"/>
          <w:numId w:val="6"/>
        </w:numPr>
        <w:bidi w:val="0"/>
        <w:spacing w:lineRule="auto" w:line="240" w:before="0" w:after="0"/>
        <w:ind w:left="510" w:right="0" w:hanging="340"/>
        <w:jc w:val="both"/>
        <w:rPr>
          <w:rFonts w:ascii="Times New Roman" w:hAnsi="Times New Roman"/>
          <w:sz w:val="20"/>
          <w:szCs w:val="20"/>
        </w:rPr>
      </w:pPr>
      <w:r>
        <w:rPr>
          <w:rFonts w:eastAsia="Times New Roman" w:cs="Times New Roman" w:ascii="Times New Roman" w:hAnsi="Times New Roman"/>
          <w:sz w:val="20"/>
          <w:szCs w:val="20"/>
        </w:rPr>
        <w:t>No genera costo alguno ni para el docente ni para el estudiante.</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Después de la implementación del </w:t>
      </w:r>
      <w:r>
        <w:rPr>
          <w:rFonts w:eastAsia="Times New Roman" w:cs="Times New Roman" w:ascii="Times New Roman" w:hAnsi="Times New Roman"/>
          <w:i/>
          <w:iCs/>
          <w:sz w:val="20"/>
          <w:szCs w:val="20"/>
        </w:rPr>
        <w:t>applet</w:t>
      </w:r>
      <w:r>
        <w:rPr>
          <w:rFonts w:eastAsia="Times New Roman" w:cs="Times New Roman" w:ascii="Times New Roman" w:hAnsi="Times New Roman"/>
          <w:sz w:val="20"/>
          <w:szCs w:val="20"/>
        </w:rPr>
        <w:t xml:space="preserve"> dinámico y derivado de la evaluación realizada por el docente, a los trabajos entregados por los estudiantes, se observó que uno de los estudiantes asimiló parcialmente el concepto de curva de nivel, debido a que, para una de las funciones propuestas, no realizó el análisis completo para los diferentes valores del parámetro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 en específico faltó analizar qué lugar geométrico se generaba cuando </w:t>
      </w:r>
      <w:r>
        <w:rPr>
          <w:rFonts w:ascii="Times New Roman" w:hAnsi="Times New Roman"/>
          <w:sz w:val="20"/>
          <w:szCs w:val="20"/>
        </w:rPr>
      </w:r>
      <m:oMath xmlns:m="http://schemas.openxmlformats.org/officeDocument/2006/math">
        <m:r>
          <w:rPr>
            <w:rFonts w:ascii="Cambria Math" w:hAnsi="Cambria Math"/>
          </w:rPr>
          <m:t xml:space="preserve">k</m:t>
        </m:r>
      </m:oMath>
      <w:r>
        <w:rPr>
          <w:rFonts w:eastAsia="Times New Roman" w:cs="Times New Roman" w:ascii="Times New Roman" w:hAnsi="Times New Roman"/>
          <w:sz w:val="20"/>
          <w:szCs w:val="20"/>
        </w:rPr>
        <w:t xml:space="preserve">tomaba valores menores o iguales que cero. Fuera de ese caso, se puede afirmar que para más del 85% de los estudiantes fue muy útil y provechoso esta experiencia de aprendizaje donde se le proporcionó un recurso didáctico que facilite la representación visual y dinámica para una mejor apropiación del concepto matemático (curvas de nivel). </w:t>
      </w:r>
    </w:p>
    <w:p>
      <w:pPr>
        <w:pStyle w:val="Normal"/>
        <w:spacing w:lineRule="auto" w:line="240" w:before="0" w:after="0"/>
        <w:jc w:val="both"/>
        <w:rPr>
          <w:rFonts w:eastAsia="Times New Roman" w:cs="Times New Roman"/>
        </w:rPr>
      </w:pPr>
      <w:r>
        <w:rPr>
          <w:rFonts w:ascii="Times New Roman" w:hAnsi="Times New Roman"/>
          <w:sz w:val="20"/>
          <w:szCs w:val="20"/>
        </w:rPr>
      </w:r>
    </w:p>
    <w:p>
      <w:pPr>
        <w:pStyle w:val="Normal"/>
        <w:spacing w:lineRule="auto" w:line="240" w:before="0" w:after="0"/>
        <w:jc w:val="both"/>
        <w:rPr>
          <w:rFonts w:ascii="Times New Roman" w:hAnsi="Times New Roman"/>
          <w:sz w:val="20"/>
          <w:szCs w:val="20"/>
        </w:rPr>
      </w:pPr>
      <w:r>
        <w:rPr>
          <w:rFonts w:eastAsia="Times New Roman" w:cs="Times New Roman" w:ascii="Times New Roman" w:hAnsi="Times New Roman"/>
          <w:sz w:val="20"/>
          <w:szCs w:val="20"/>
        </w:rPr>
        <w:t xml:space="preserve">Por lo anterior, se recomienda que este u otros </w:t>
      </w:r>
      <w:r>
        <w:rPr>
          <w:rFonts w:eastAsia="Times New Roman" w:cs="Times New Roman" w:ascii="Times New Roman" w:hAnsi="Times New Roman"/>
          <w:i/>
          <w:iCs/>
          <w:sz w:val="20"/>
          <w:szCs w:val="20"/>
        </w:rPr>
        <w:t>applets</w:t>
      </w:r>
      <w:r>
        <w:rPr>
          <w:rFonts w:eastAsia="Times New Roman" w:cs="Times New Roman" w:ascii="Times New Roman" w:hAnsi="Times New Roman"/>
          <w:sz w:val="20"/>
          <w:szCs w:val="20"/>
        </w:rPr>
        <w:t xml:space="preserve"> dinámicos que faciliten la representación visual de los conceptos matemáticos que lo ameriten sean incluidos en el diseño de actividades de aprendizaje tanto asincrónicas como sincrónicas en ambientes de educación a distancia, presencial o híbrida.</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720" w:hanging="720"/>
        <w:jc w:val="both"/>
        <w:rPr>
          <w:rFonts w:ascii="Times New Roman" w:hAnsi="Times New Roman"/>
          <w:sz w:val="20"/>
          <w:szCs w:val="20"/>
        </w:rPr>
      </w:pPr>
      <w:r>
        <w:rPr>
          <w:rFonts w:eastAsia="Times New Roman" w:cs="Times New Roman" w:ascii="Times New Roman" w:hAnsi="Times New Roman"/>
          <w:b/>
          <w:color w:val="000000"/>
          <w:sz w:val="20"/>
          <w:szCs w:val="20"/>
        </w:rPr>
        <w:t>REFERENCIAS</w:t>
      </w:r>
    </w:p>
    <w:p>
      <w:pPr>
        <w:pStyle w:val="Normal"/>
        <w:spacing w:lineRule="auto" w:line="240" w:before="0" w:after="0"/>
        <w:ind w:left="720" w:hanging="720"/>
        <w:jc w:val="both"/>
        <w:rPr/>
      </w:pPr>
      <w:r>
        <w:rPr>
          <w:rFonts w:eastAsia="Times New Roman" w:cs="Times New Roman" w:ascii="Times New Roman" w:hAnsi="Times New Roman"/>
          <w:sz w:val="20"/>
          <w:szCs w:val="20"/>
        </w:rPr>
        <w:t xml:space="preserve">Duval, R. (2006). Un tema crucial en la educación matemática. La habilidad para cambiar el registro de representación. </w:t>
      </w:r>
      <w:r>
        <w:rPr>
          <w:rFonts w:eastAsia="Times New Roman" w:cs="Times New Roman" w:ascii="Times New Roman" w:hAnsi="Times New Roman"/>
          <w:i/>
          <w:iCs/>
          <w:sz w:val="20"/>
          <w:szCs w:val="20"/>
        </w:rPr>
        <w:t>Gaceta de la Real Sociedad Matemática Española, 9(1)</w:t>
      </w:r>
      <w:r>
        <w:rPr>
          <w:rFonts w:eastAsia="Times New Roman" w:cs="Times New Roman" w:ascii="Times New Roman" w:hAnsi="Times New Roman"/>
          <w:sz w:val="20"/>
          <w:szCs w:val="20"/>
        </w:rPr>
        <w:t xml:space="preserve">, 143-168. Disponible en: </w:t>
      </w:r>
      <w:hyperlink r:id="rId21">
        <w:r>
          <w:rPr>
            <w:rStyle w:val="EnlacedeInternet"/>
            <w:rFonts w:cs="Times New Roman" w:ascii="Times New Roman" w:hAnsi="Times New Roman"/>
            <w:sz w:val="20"/>
            <w:szCs w:val="20"/>
          </w:rPr>
          <w:t>https://gaceta.rsme.es/vernumero.php?id=61</w:t>
        </w:r>
      </w:hyperlink>
    </w:p>
    <w:p>
      <w:pPr>
        <w:pStyle w:val="Normal"/>
        <w:spacing w:lineRule="auto" w:line="240" w:before="0" w:after="0"/>
        <w:ind w:left="720" w:hanging="720"/>
        <w:jc w:val="both"/>
        <w:rPr/>
      </w:pPr>
      <w:r>
        <w:rPr>
          <w:rFonts w:eastAsia="Times New Roman" w:cs="Times New Roman" w:ascii="Times New Roman" w:hAnsi="Times New Roman"/>
          <w:sz w:val="20"/>
          <w:szCs w:val="20"/>
        </w:rPr>
        <w:t xml:space="preserve">Del Río, L. (2016). Enseñar y aprender cálculo con ayuda de la vista gráfica 3D de GeoGebra. </w:t>
      </w:r>
      <w:r>
        <w:rPr>
          <w:rFonts w:eastAsia="Times New Roman" w:cs="Times New Roman" w:ascii="Times New Roman" w:hAnsi="Times New Roman"/>
          <w:i/>
          <w:iCs/>
          <w:sz w:val="20"/>
          <w:szCs w:val="20"/>
        </w:rPr>
        <w:t>Revista digital: Matemáticas, Educación e Internet</w:t>
      </w:r>
      <w:r>
        <w:rPr>
          <w:rFonts w:eastAsia="Times New Roman" w:cs="Times New Roman" w:ascii="Times New Roman" w:hAnsi="Times New Roman"/>
          <w:sz w:val="20"/>
          <w:szCs w:val="20"/>
        </w:rPr>
        <w:t xml:space="preserve">, 17(1). Doi: </w:t>
      </w:r>
      <w:hyperlink r:id="rId22">
        <w:r>
          <w:rPr>
            <w:rStyle w:val="EnlacedeInternet"/>
            <w:rFonts w:eastAsia="Times New Roman" w:cs="Times New Roman" w:ascii="Times New Roman" w:hAnsi="Times New Roman"/>
            <w:sz w:val="20"/>
            <w:szCs w:val="20"/>
          </w:rPr>
          <w:t>https://doi.org/10.18845/rdmei.v17i1.2739</w:t>
        </w:r>
      </w:hyperlink>
    </w:p>
    <w:p>
      <w:pPr>
        <w:pStyle w:val="Default"/>
        <w:spacing w:before="0" w:after="0"/>
        <w:ind w:left="709" w:hanging="720"/>
        <w:jc w:val="both"/>
        <w:rPr>
          <w:rFonts w:ascii="Times New Roman" w:hAnsi="Times New Roman"/>
          <w:sz w:val="20"/>
          <w:szCs w:val="20"/>
        </w:rPr>
      </w:pPr>
      <w:r>
        <w:rPr>
          <w:rFonts w:eastAsia="Times New Roman" w:ascii="Times New Roman" w:hAnsi="Times New Roman"/>
          <w:sz w:val="20"/>
          <w:szCs w:val="20"/>
        </w:rPr>
        <w:t xml:space="preserve">Del Río, L &amp; Knopoff, P. (17-19 de septiembre 2020). </w:t>
      </w:r>
      <w:r>
        <w:rPr>
          <w:rFonts w:eastAsia="Times New Roman" w:ascii="Times New Roman" w:hAnsi="Times New Roman"/>
          <w:i/>
          <w:iCs/>
          <w:sz w:val="20"/>
          <w:szCs w:val="20"/>
        </w:rPr>
        <w:t xml:space="preserve">Realidad aumentada en el estudio de curvas de nivel </w:t>
      </w:r>
      <w:r>
        <w:rPr>
          <w:rFonts w:eastAsia="Times New Roman" w:ascii="Times New Roman" w:hAnsi="Times New Roman"/>
          <w:sz w:val="20"/>
          <w:szCs w:val="20"/>
        </w:rPr>
        <w:t xml:space="preserve">[Sesión de conferencia]. </w:t>
      </w:r>
      <w:r>
        <w:rPr>
          <w:rFonts w:eastAsia="Times New Roman" w:ascii="Times New Roman" w:hAnsi="Times New Roman"/>
          <w:sz w:val="20"/>
          <w:szCs w:val="20"/>
          <w:lang w:val="en-US"/>
        </w:rPr>
        <w:t xml:space="preserve">II International Symposium on Technologies in Mathematics Education - II SITEM, Brazil.  </w:t>
      </w:r>
      <w:r>
        <w:rPr>
          <w:rFonts w:eastAsia="Times New Roman" w:ascii="Times New Roman" w:hAnsi="Times New Roman"/>
          <w:sz w:val="20"/>
          <w:szCs w:val="20"/>
        </w:rPr>
        <w:t xml:space="preserve">Disponible en: </w:t>
      </w:r>
    </w:p>
    <w:p>
      <w:pPr>
        <w:pStyle w:val="Normal"/>
        <w:spacing w:lineRule="auto" w:line="240" w:before="0" w:after="0"/>
        <w:ind w:left="709" w:hanging="0"/>
        <w:jc w:val="both"/>
        <w:rPr/>
      </w:pPr>
      <w:hyperlink r:id="rId23">
        <w:r>
          <w:rPr>
            <w:rStyle w:val="EnlacedeInternet"/>
            <w:rFonts w:cs="Times New Roman" w:ascii="Times New Roman" w:hAnsi="Times New Roman"/>
            <w:sz w:val="20"/>
            <w:szCs w:val="20"/>
          </w:rPr>
          <w:t>https://www.researchgate.net/publication/344526828</w:t>
        </w:r>
      </w:hyperlink>
    </w:p>
    <w:p>
      <w:pPr>
        <w:pStyle w:val="Normal"/>
        <w:spacing w:lineRule="auto" w:line="240" w:before="0" w:after="0"/>
        <w:ind w:left="720" w:hanging="720"/>
        <w:jc w:val="both"/>
        <w:rPr/>
      </w:pPr>
      <w:r>
        <w:rPr>
          <w:rFonts w:eastAsia="Times New Roman" w:cs="Times New Roman" w:ascii="Times New Roman" w:hAnsi="Times New Roman"/>
          <w:sz w:val="20"/>
          <w:szCs w:val="20"/>
        </w:rPr>
        <w:t xml:space="preserve">Esteban, P., Trefftz, H. &amp; Restrepo, J. (2006). Estrategias de visualización en el cálculo de varias variables. </w:t>
      </w:r>
      <w:r>
        <w:rPr>
          <w:rFonts w:eastAsia="Times New Roman" w:cs="Times New Roman" w:ascii="Times New Roman" w:hAnsi="Times New Roman"/>
          <w:i/>
          <w:iCs/>
          <w:sz w:val="20"/>
          <w:szCs w:val="20"/>
        </w:rPr>
        <w:t>Revista Educación y Pedagogía</w:t>
      </w:r>
      <w:r>
        <w:rPr>
          <w:rFonts w:eastAsia="Times New Roman" w:cs="Times New Roman" w:ascii="Times New Roman" w:hAnsi="Times New Roman"/>
          <w:sz w:val="20"/>
          <w:szCs w:val="20"/>
        </w:rPr>
        <w:t xml:space="preserve">, </w:t>
      </w:r>
      <w:r>
        <w:rPr>
          <w:rFonts w:eastAsia="Times New Roman" w:cs="Times New Roman" w:ascii="Times New Roman" w:hAnsi="Times New Roman"/>
          <w:i/>
          <w:iCs/>
          <w:sz w:val="20"/>
          <w:szCs w:val="20"/>
        </w:rPr>
        <w:t>18(45)</w:t>
      </w:r>
      <w:r>
        <w:rPr>
          <w:rFonts w:eastAsia="Times New Roman" w:cs="Times New Roman" w:ascii="Times New Roman" w:hAnsi="Times New Roman"/>
          <w:sz w:val="20"/>
          <w:szCs w:val="20"/>
        </w:rPr>
        <w:t xml:space="preserve">, 121-131. Disponible en: </w:t>
      </w:r>
      <w:hyperlink r:id="rId24">
        <w:r>
          <w:rPr>
            <w:rStyle w:val="EnlacedeInternet"/>
            <w:rFonts w:eastAsia="Times New Roman" w:cs="Times New Roman" w:ascii="Times New Roman" w:hAnsi="Times New Roman"/>
            <w:sz w:val="20"/>
            <w:szCs w:val="20"/>
          </w:rPr>
          <w:t>https://dialnet.unirioja.es/servlet/articulo?codigo=2239984</w:t>
        </w:r>
      </w:hyperlink>
    </w:p>
    <w:p>
      <w:pPr>
        <w:pStyle w:val="Normal"/>
        <w:spacing w:lineRule="auto" w:line="240" w:before="0" w:after="0"/>
        <w:ind w:left="720" w:hanging="720"/>
        <w:jc w:val="both"/>
        <w:rPr/>
      </w:pPr>
      <w:r>
        <w:rPr>
          <w:rFonts w:eastAsia="Times New Roman" w:cs="Times New Roman" w:ascii="Times New Roman" w:hAnsi="Times New Roman"/>
          <w:color w:val="000000" w:themeColor="text1"/>
          <w:sz w:val="20"/>
          <w:szCs w:val="20"/>
        </w:rPr>
        <w:t xml:space="preserve">García, M., Eguia, I., Etxeberia, P. &amp; Alberdi, E. (2019). Implementación y evaluación de actividades interdisciplinares mediante </w:t>
      </w:r>
      <w:r>
        <w:rPr>
          <w:rFonts w:eastAsia="Times New Roman" w:cs="Times New Roman" w:ascii="Times New Roman" w:hAnsi="Times New Roman"/>
          <w:i/>
          <w:iCs/>
          <w:color w:val="000000" w:themeColor="text1"/>
          <w:sz w:val="20"/>
          <w:szCs w:val="20"/>
        </w:rPr>
        <w:t>applets</w:t>
      </w:r>
      <w:r>
        <w:rPr>
          <w:rFonts w:eastAsia="Times New Roman" w:cs="Times New Roman" w:ascii="Times New Roman" w:hAnsi="Times New Roman"/>
          <w:color w:val="000000" w:themeColor="text1"/>
          <w:sz w:val="20"/>
          <w:szCs w:val="20"/>
        </w:rPr>
        <w:t xml:space="preserve"> dinámicas para el estudio de la geometría. </w:t>
      </w:r>
      <w:r>
        <w:rPr>
          <w:rFonts w:eastAsia="Times New Roman" w:cs="Times New Roman" w:ascii="Times New Roman" w:hAnsi="Times New Roman"/>
          <w:i/>
          <w:iCs/>
          <w:color w:val="000000" w:themeColor="text1"/>
          <w:sz w:val="20"/>
          <w:szCs w:val="20"/>
        </w:rPr>
        <w:t>Revista electrónica Formación universitaria, 13(1)</w:t>
      </w:r>
      <w:r>
        <w:rPr>
          <w:rFonts w:eastAsia="Times New Roman" w:cs="Times New Roman" w:ascii="Times New Roman" w:hAnsi="Times New Roman"/>
          <w:color w:val="000000" w:themeColor="text1"/>
          <w:sz w:val="20"/>
          <w:szCs w:val="20"/>
        </w:rPr>
        <w:t xml:space="preserve">, 63-70. Doi: </w:t>
      </w:r>
      <w:hyperlink r:id="rId25">
        <w:r>
          <w:rPr>
            <w:rStyle w:val="EnlacedeInternet"/>
            <w:rFonts w:eastAsia="Times New Roman" w:cs="Times New Roman" w:ascii="Times New Roman" w:hAnsi="Times New Roman"/>
            <w:sz w:val="20"/>
            <w:szCs w:val="20"/>
          </w:rPr>
          <w:t>http://dx.doi.org/10.4067/S0718-50062020000100063</w:t>
        </w:r>
      </w:hyperlink>
    </w:p>
    <w:p>
      <w:pPr>
        <w:pStyle w:val="Normal"/>
        <w:spacing w:lineRule="auto" w:line="240" w:before="0" w:after="0"/>
        <w:ind w:left="720" w:hanging="720"/>
        <w:jc w:val="both"/>
        <w:rPr/>
      </w:pPr>
      <w:r>
        <w:rPr>
          <w:rFonts w:eastAsia="Times New Roman" w:cs="Times New Roman" w:ascii="Times New Roman" w:hAnsi="Times New Roman"/>
          <w:color w:val="000000" w:themeColor="text1"/>
          <w:sz w:val="20"/>
          <w:szCs w:val="20"/>
        </w:rPr>
        <w:t xml:space="preserve">Farfán, L., Escamilla, H. &amp; Can, M. (2019). Portafolio de evidencias: una estrategia de enseñanza-aprendizaje en horas no presenciales mediante el uso de la plataforma académica virtual </w:t>
      </w:r>
      <w:r>
        <w:rPr>
          <w:rFonts w:eastAsia="Times New Roman" w:cs="Times New Roman" w:ascii="Times New Roman" w:hAnsi="Times New Roman"/>
          <w:i/>
          <w:iCs/>
          <w:color w:val="000000" w:themeColor="text1"/>
          <w:sz w:val="20"/>
          <w:szCs w:val="20"/>
        </w:rPr>
        <w:t>WeBWorK</w:t>
      </w:r>
      <w:r>
        <w:rPr>
          <w:rFonts w:eastAsia="Times New Roman" w:cs="Times New Roman" w:ascii="Times New Roman" w:hAnsi="Times New Roman"/>
          <w:color w:val="000000" w:themeColor="text1"/>
          <w:sz w:val="20"/>
          <w:szCs w:val="20"/>
        </w:rPr>
        <w:t xml:space="preserve"> en cursos de Cálculo univariado. </w:t>
      </w:r>
      <w:r>
        <w:rPr>
          <w:rFonts w:eastAsia="Times New Roman" w:cs="Times New Roman" w:ascii="Times New Roman" w:hAnsi="Times New Roman"/>
          <w:i/>
          <w:iCs/>
          <w:color w:val="000000" w:themeColor="text1"/>
          <w:sz w:val="20"/>
          <w:szCs w:val="20"/>
          <w:lang w:val="en-US"/>
        </w:rPr>
        <w:t xml:space="preserve">Advances in Engineering and Innovation, 4(8), </w:t>
      </w:r>
      <w:r>
        <w:rPr>
          <w:rFonts w:eastAsia="Times New Roman" w:cs="Times New Roman" w:ascii="Times New Roman" w:hAnsi="Times New Roman"/>
          <w:color w:val="000000" w:themeColor="text1"/>
          <w:sz w:val="20"/>
          <w:szCs w:val="20"/>
          <w:lang w:val="en-US"/>
        </w:rPr>
        <w:t>36-56</w:t>
      </w:r>
      <w:r>
        <w:rPr>
          <w:rFonts w:eastAsia="Times New Roman" w:cs="Times New Roman" w:ascii="Times New Roman" w:hAnsi="Times New Roman"/>
          <w:i/>
          <w:iCs/>
          <w:color w:val="000000" w:themeColor="text1"/>
          <w:sz w:val="20"/>
          <w:szCs w:val="20"/>
          <w:lang w:val="en-US"/>
        </w:rPr>
        <w:t xml:space="preserve">. </w:t>
      </w:r>
      <w:r>
        <w:rPr>
          <w:rFonts w:eastAsia="Times New Roman" w:cs="Times New Roman" w:ascii="Times New Roman" w:hAnsi="Times New Roman"/>
          <w:color w:val="000000" w:themeColor="text1"/>
          <w:sz w:val="20"/>
          <w:szCs w:val="20"/>
          <w:lang w:val="en-US"/>
        </w:rPr>
        <w:t xml:space="preserve">Disponible en: </w:t>
      </w:r>
      <w:hyperlink r:id="rId26">
        <w:r>
          <w:rPr>
            <w:rStyle w:val="EnlacedeInternet"/>
            <w:rFonts w:eastAsia="Times New Roman" w:cs="Times New Roman" w:ascii="Times New Roman" w:hAnsi="Times New Roman"/>
            <w:sz w:val="20"/>
            <w:szCs w:val="20"/>
            <w:lang w:val="en-US"/>
          </w:rPr>
          <w:t>http://www.progreso.tecnm.mx/revistaAEI/index.php/aei/article/view/37</w:t>
        </w:r>
      </w:hyperlink>
    </w:p>
    <w:p>
      <w:pPr>
        <w:pStyle w:val="Normal"/>
        <w:spacing w:lineRule="auto" w:line="240" w:before="0" w:after="0"/>
        <w:ind w:left="720" w:hanging="720"/>
        <w:jc w:val="both"/>
        <w:rPr/>
      </w:pPr>
      <w:r>
        <w:rPr>
          <w:rFonts w:eastAsia="Times New Roman" w:cs="Times New Roman" w:ascii="Times New Roman" w:hAnsi="Times New Roman"/>
          <w:sz w:val="20"/>
          <w:szCs w:val="20"/>
        </w:rPr>
        <w:t xml:space="preserve">Farfán, L. (2021). </w:t>
      </w:r>
      <w:r>
        <w:rPr>
          <w:rFonts w:eastAsia="Times New Roman" w:cs="Times New Roman" w:ascii="Times New Roman" w:hAnsi="Times New Roman"/>
          <w:i/>
          <w:iCs/>
          <w:sz w:val="20"/>
          <w:szCs w:val="20"/>
        </w:rPr>
        <w:t>Trazas y curvas de nivel</w:t>
      </w:r>
      <w:r>
        <w:rPr>
          <w:rFonts w:eastAsia="Times New Roman" w:cs="Times New Roman" w:ascii="Times New Roman" w:hAnsi="Times New Roman"/>
          <w:sz w:val="20"/>
          <w:szCs w:val="20"/>
        </w:rPr>
        <w:t xml:space="preserve">. </w:t>
      </w:r>
      <w:r>
        <w:rPr>
          <w:rFonts w:eastAsia="Times New Roman" w:cs="Times New Roman" w:ascii="Times New Roman" w:hAnsi="Times New Roman"/>
          <w:i/>
          <w:iCs/>
          <w:sz w:val="20"/>
          <w:szCs w:val="20"/>
          <w:lang w:val="en-US"/>
        </w:rPr>
        <w:t>Applet</w:t>
      </w:r>
      <w:r>
        <w:rPr>
          <w:rFonts w:eastAsia="Times New Roman" w:cs="Times New Roman" w:ascii="Times New Roman" w:hAnsi="Times New Roman"/>
          <w:sz w:val="20"/>
          <w:szCs w:val="20"/>
          <w:lang w:val="en-US"/>
        </w:rPr>
        <w:t xml:space="preserve"> GeoGebra: </w:t>
      </w:r>
      <w:hyperlink r:id="rId27">
        <w:r>
          <w:rPr>
            <w:rStyle w:val="EnlacedeInternet"/>
            <w:rFonts w:cs="Times New Roman" w:ascii="Times New Roman" w:hAnsi="Times New Roman"/>
            <w:sz w:val="20"/>
            <w:szCs w:val="20"/>
            <w:lang w:val="en-US"/>
          </w:rPr>
          <w:t>https://www.geogebra.org/m/zgdtv9gg</w:t>
        </w:r>
      </w:hyperlink>
    </w:p>
    <w:p>
      <w:pPr>
        <w:pStyle w:val="Normal"/>
        <w:spacing w:lineRule="auto" w:line="240" w:before="0" w:after="0"/>
        <w:ind w:left="720" w:hanging="720"/>
        <w:jc w:val="both"/>
        <w:rPr/>
      </w:pPr>
      <w:r>
        <w:rPr>
          <w:rFonts w:eastAsia="Times New Roman" w:cs="Times New Roman" w:ascii="Times New Roman" w:hAnsi="Times New Roman"/>
          <w:sz w:val="20"/>
          <w:szCs w:val="20"/>
        </w:rPr>
        <w:t xml:space="preserve">Innova Math (2018). </w:t>
      </w:r>
      <w:r>
        <w:rPr>
          <w:rFonts w:eastAsia="Times New Roman" w:cs="Times New Roman" w:ascii="Times New Roman" w:hAnsi="Times New Roman"/>
          <w:i/>
          <w:iCs/>
          <w:sz w:val="20"/>
          <w:szCs w:val="20"/>
        </w:rPr>
        <w:t>Planos, Superficies Cilíndricas y Cuádricas.</w:t>
      </w:r>
      <w:r>
        <w:rPr>
          <w:rFonts w:eastAsia="Times New Roman" w:cs="Times New Roman" w:ascii="Times New Roman" w:hAnsi="Times New Roman"/>
          <w:sz w:val="20"/>
          <w:szCs w:val="20"/>
        </w:rPr>
        <w:t xml:space="preserve"> </w:t>
      </w:r>
      <w:r>
        <w:rPr>
          <w:rFonts w:eastAsia="Times New Roman" w:cs="Times New Roman" w:ascii="Times New Roman" w:hAnsi="Times New Roman"/>
          <w:i/>
          <w:iCs/>
          <w:sz w:val="20"/>
          <w:szCs w:val="20"/>
          <w:lang w:val="en-US"/>
        </w:rPr>
        <w:t xml:space="preserve">Applet </w:t>
      </w:r>
      <w:r>
        <w:rPr>
          <w:rFonts w:eastAsia="Times New Roman" w:cs="Times New Roman" w:ascii="Times New Roman" w:hAnsi="Times New Roman"/>
          <w:sz w:val="20"/>
          <w:szCs w:val="20"/>
          <w:lang w:val="en-US"/>
        </w:rPr>
        <w:t xml:space="preserve">GeoGebra: </w:t>
      </w:r>
      <w:hyperlink r:id="rId28">
        <w:r>
          <w:rPr>
            <w:rStyle w:val="EnlacedeInternet"/>
            <w:rFonts w:cs="Times New Roman" w:ascii="Times New Roman" w:hAnsi="Times New Roman"/>
            <w:sz w:val="20"/>
            <w:szCs w:val="20"/>
            <w:lang w:val="en-US"/>
          </w:rPr>
          <w:t>https://www.geogebra.org/m/ybmp5tgx</w:t>
        </w:r>
      </w:hyperlink>
    </w:p>
    <w:p>
      <w:pPr>
        <w:pStyle w:val="Normal"/>
        <w:spacing w:lineRule="auto" w:line="240" w:before="0" w:after="0"/>
        <w:ind w:left="720" w:hanging="720"/>
        <w:jc w:val="both"/>
        <w:rPr/>
      </w:pPr>
      <w:r>
        <w:rPr>
          <w:rFonts w:eastAsia="Times New Roman" w:cs="Times New Roman" w:ascii="Times New Roman" w:hAnsi="Times New Roman"/>
          <w:sz w:val="20"/>
          <w:szCs w:val="20"/>
          <w:lang w:val="en-US"/>
        </w:rPr>
        <w:t xml:space="preserve">Landa, J. (2010). </w:t>
      </w:r>
      <w:r>
        <w:rPr>
          <w:rFonts w:eastAsia="Times New Roman" w:cs="Times New Roman" w:ascii="Times New Roman" w:hAnsi="Times New Roman"/>
          <w:sz w:val="20"/>
          <w:szCs w:val="20"/>
        </w:rPr>
        <w:t xml:space="preserve">Acercamiento a funciones de dos variables. </w:t>
      </w:r>
      <w:r>
        <w:rPr>
          <w:rFonts w:eastAsia="Times New Roman" w:cs="Times New Roman" w:ascii="Times New Roman" w:hAnsi="Times New Roman"/>
          <w:i/>
          <w:iCs/>
          <w:sz w:val="20"/>
          <w:szCs w:val="20"/>
        </w:rPr>
        <w:t>Revista Latinoamericana de Investigación en Matemáticas Educativa, RELIME,</w:t>
      </w:r>
      <w:r>
        <w:rPr>
          <w:rFonts w:eastAsia="Times New Roman" w:cs="Times New Roman" w:ascii="Times New Roman" w:hAnsi="Times New Roman"/>
          <w:sz w:val="20"/>
          <w:szCs w:val="20"/>
        </w:rPr>
        <w:t xml:space="preserve"> 13 (4-I), 129-145. Disponible en: </w:t>
      </w:r>
      <w:hyperlink r:id="rId29">
        <w:r>
          <w:rPr>
            <w:rStyle w:val="EnlacedeInternet"/>
            <w:rFonts w:eastAsia="Times New Roman" w:cs="Times New Roman" w:ascii="Times New Roman" w:hAnsi="Times New Roman"/>
            <w:sz w:val="20"/>
            <w:szCs w:val="20"/>
          </w:rPr>
          <w:t>https://www.redalyc.org/articulo.oa?id=33529137009</w:t>
        </w:r>
      </w:hyperlink>
    </w:p>
    <w:p>
      <w:pPr>
        <w:pStyle w:val="Normal"/>
        <w:spacing w:lineRule="auto" w:line="240" w:before="0" w:after="0"/>
        <w:ind w:left="720" w:hanging="720"/>
        <w:jc w:val="both"/>
        <w:rPr>
          <w:rFonts w:ascii="Times New Roman" w:hAnsi="Times New Roman"/>
          <w:sz w:val="20"/>
          <w:szCs w:val="20"/>
        </w:rPr>
      </w:pPr>
      <w:r>
        <w:rPr>
          <w:rFonts w:eastAsia="Times New Roman" w:cs="Times New Roman" w:ascii="Times New Roman" w:hAnsi="Times New Roman"/>
          <w:sz w:val="20"/>
          <w:szCs w:val="20"/>
        </w:rPr>
        <w:t xml:space="preserve">Rojas, L. &amp; Esteban, P. (13-16 noviembre 2012). GeoGebra y </w:t>
      </w:r>
      <w:r>
        <w:rPr>
          <w:rFonts w:eastAsia="Times New Roman" w:cs="Times New Roman" w:ascii="Times New Roman" w:hAnsi="Times New Roman"/>
          <w:i/>
          <w:iCs/>
          <w:sz w:val="20"/>
          <w:szCs w:val="20"/>
        </w:rPr>
        <w:t>Applets</w:t>
      </w:r>
      <w:r>
        <w:rPr>
          <w:rFonts w:eastAsia="Times New Roman" w:cs="Times New Roman" w:ascii="Times New Roman" w:hAnsi="Times New Roman"/>
          <w:sz w:val="20"/>
          <w:szCs w:val="20"/>
        </w:rPr>
        <w:t xml:space="preserve"> aplicados a la enseñanza y aprendizaje del cálculo. Simposio Ibero-Americano de</w:t>
      </w:r>
    </w:p>
    <w:p>
      <w:pPr>
        <w:pStyle w:val="Normal"/>
        <w:spacing w:lineRule="auto" w:line="240" w:before="0" w:after="0"/>
        <w:ind w:left="720" w:hanging="0"/>
        <w:jc w:val="both"/>
        <w:rPr/>
      </w:pPr>
      <w:r>
        <w:rPr>
          <w:rFonts w:eastAsia="Times New Roman" w:cs="Times New Roman" w:ascii="Times New Roman" w:hAnsi="Times New Roman"/>
          <w:sz w:val="20"/>
          <w:szCs w:val="20"/>
        </w:rPr>
        <w:t xml:space="preserve">Aplicaciones y Tecnologías de Información y Comunicaciones. Disponible en: </w:t>
      </w:r>
      <w:hyperlink r:id="rId30">
        <w:r>
          <w:rPr>
            <w:rStyle w:val="EnlacedeInternet"/>
            <w:rFonts w:eastAsia="Times New Roman" w:cs="Times New Roman" w:ascii="Times New Roman" w:hAnsi="Times New Roman"/>
            <w:sz w:val="20"/>
            <w:szCs w:val="20"/>
          </w:rPr>
          <w:t>https://www.iiis.org/CDs2012/CD2012ADII/ATIC_2012/index.asp?id=0&amp;area=10</w:t>
        </w:r>
      </w:hyperlink>
    </w:p>
    <w:p>
      <w:pPr>
        <w:pStyle w:val="Normal"/>
        <w:spacing w:lineRule="auto" w:line="240" w:before="0" w:after="0"/>
        <w:ind w:left="720" w:hanging="720"/>
        <w:jc w:val="both"/>
        <w:rPr>
          <w:rFonts w:ascii="Times New Roman" w:hAnsi="Times New Roman"/>
          <w:sz w:val="20"/>
          <w:szCs w:val="20"/>
        </w:rPr>
      </w:pPr>
      <w:r>
        <w:rPr>
          <w:rFonts w:eastAsia="Times New Roman" w:cs="Times New Roman" w:ascii="Times New Roman" w:hAnsi="Times New Roman"/>
          <w:sz w:val="20"/>
          <w:szCs w:val="20"/>
        </w:rPr>
        <w:t xml:space="preserve">Stewart, J. (2012). </w:t>
      </w:r>
      <w:r>
        <w:rPr>
          <w:rFonts w:eastAsia="Times New Roman" w:cs="Times New Roman" w:ascii="Times New Roman" w:hAnsi="Times New Roman"/>
          <w:i/>
          <w:iCs/>
          <w:sz w:val="20"/>
          <w:szCs w:val="20"/>
        </w:rPr>
        <w:t>Cálculo de varias variables. Trascendentes tempranas</w:t>
      </w:r>
      <w:r>
        <w:rPr>
          <w:rFonts w:eastAsia="Times New Roman" w:cs="Times New Roman" w:ascii="Times New Roman" w:hAnsi="Times New Roman"/>
          <w:sz w:val="20"/>
          <w:szCs w:val="20"/>
        </w:rPr>
        <w:t xml:space="preserve">. (7ma ed). Cengage Learning Editores, S.A de C.V. </w:t>
      </w:r>
    </w:p>
    <w:p>
      <w:pPr>
        <w:pStyle w:val="Default"/>
        <w:spacing w:before="0" w:after="0"/>
        <w:ind w:left="720" w:hanging="720"/>
        <w:jc w:val="both"/>
        <w:rPr/>
      </w:pPr>
      <w:r>
        <w:rPr>
          <w:rFonts w:eastAsia="Times New Roman" w:ascii="Times New Roman" w:hAnsi="Times New Roman"/>
          <w:sz w:val="20"/>
          <w:szCs w:val="20"/>
        </w:rPr>
        <w:t xml:space="preserve">Santander, O. (2019). Gráfica de una función de dos variables usando Matlab. </w:t>
      </w:r>
      <w:r>
        <w:rPr>
          <w:rFonts w:eastAsia="Times New Roman" w:ascii="Times New Roman" w:hAnsi="Times New Roman"/>
          <w:i/>
          <w:iCs/>
          <w:sz w:val="20"/>
          <w:szCs w:val="20"/>
        </w:rPr>
        <w:t>Revista Innova Educación, 1(2)</w:t>
      </w:r>
      <w:r>
        <w:rPr>
          <w:rFonts w:eastAsia="Times New Roman" w:ascii="Times New Roman" w:hAnsi="Times New Roman"/>
          <w:sz w:val="20"/>
          <w:szCs w:val="20"/>
        </w:rPr>
        <w:t xml:space="preserve">, 184-188. Doi: </w:t>
      </w:r>
      <w:hyperlink r:id="rId31">
        <w:r>
          <w:rPr>
            <w:rStyle w:val="EnlacedeInternet"/>
            <w:rFonts w:ascii="Times New Roman" w:hAnsi="Times New Roman"/>
            <w:sz w:val="20"/>
            <w:szCs w:val="20"/>
            <w:shd w:fill="FFFFFF" w:val="clear"/>
          </w:rPr>
          <w:t>https://doi.org/10.35622/j.rie.2019.02.004</w:t>
        </w:r>
      </w:hyperlink>
    </w:p>
    <w:p>
      <w:pPr>
        <w:sectPr>
          <w:type w:val="continuous"/>
          <w:pgSz w:w="12240" w:h="15840"/>
          <w:pgMar w:left="1417" w:right="1417" w:header="1417" w:top="1983" w:footer="1417" w:bottom="2092" w:gutter="0"/>
          <w:cols w:num="2" w:space="282" w:equalWidth="true" w:sep="false"/>
          <w:formProt w:val="false"/>
          <w:textDirection w:val="lrTb"/>
          <w:docGrid w:type="default" w:linePitch="299" w:charSpace="4096"/>
        </w:sectPr>
      </w:pPr>
    </w:p>
    <w:sectPr>
      <w:headerReference w:type="even" r:id="rId32"/>
      <w:headerReference w:type="default" r:id="rId33"/>
      <w:headerReference w:type="first" r:id="rId34"/>
      <w:footerReference w:type="even" r:id="rId35"/>
      <w:footerReference w:type="default" r:id="rId36"/>
      <w:footerReference w:type="first" r:id="rId37"/>
      <w:type w:val="continuous"/>
      <w:pgSz w:w="12240" w:h="15840"/>
      <w:pgMar w:left="1417" w:right="1417" w:header="1417" w:top="1983" w:footer="1417" w:bottom="2092" w:gutter="0"/>
      <w:pgNumType w:fmt="decimal"/>
      <w:formProt w:val="false"/>
      <w:titlePg/>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Georgia">
    <w:charset w:val="01"/>
    <w:family w:val="roman"/>
    <w:pitch w:val="variable"/>
  </w:font>
  <w:font w:name="Arial">
    <w:charset w:val="01"/>
    <w:family w:val="roman"/>
    <w:pitch w:val="variable"/>
  </w:font>
  <w:font w:name="Liberation Mono">
    <w:altName w:val="Courier New"/>
    <w:charset w:val="01"/>
    <w:family w:val="modern"/>
    <w:pitch w:val="fixed"/>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3"/>
      <w:gridCol w:w="4140"/>
      <w:gridCol w:w="2782"/>
    </w:tblGrid>
    <w:tr>
      <w:trPr/>
      <w:tc>
        <w:tcPr>
          <w:tcW w:w="2483"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27/Abril/2022</w:t>
          </w:r>
        </w:p>
        <w:p>
          <w:pPr>
            <w:pStyle w:val="Contenidodelatabla"/>
            <w:widowControl w:val="false"/>
            <w:bidi w:val="0"/>
            <w:spacing w:before="0" w:after="0"/>
            <w:ind w:hanging="0"/>
            <w:jc w:val="left"/>
            <w:rPr/>
          </w:pPr>
          <w:r>
            <w:rPr>
              <w:rFonts w:ascii="Times new roman" w:hAnsi="Times new roman"/>
              <w:sz w:val="16"/>
              <w:szCs w:val="16"/>
            </w:rPr>
            <w:t>Aceptado: 01/Junio/2022</w:t>
          </w:r>
        </w:p>
      </w:tc>
      <w:tc>
        <w:tcPr>
          <w:tcW w:w="4140" w:type="dxa"/>
          <w:tcBorders/>
          <w:shd w:fill="auto" w:val="clear"/>
        </w:tcPr>
        <w:p>
          <w:pPr>
            <w:pStyle w:val="Contenidodelatabla"/>
            <w:widowControl w:val="false"/>
            <w:spacing w:before="120" w:after="60"/>
            <w:ind w:hanging="0"/>
            <w:jc w:val="center"/>
            <w:rPr/>
          </w:pPr>
          <w:bookmarkStart w:id="1" w:name="__DdeLink__3403_881141052"/>
          <w:r>
            <w:rPr>
              <w:rFonts w:eastAsia="Arial" w:cs="Arial" w:ascii="Cantarell" w:hAnsi="Cantarell"/>
              <w:sz w:val="16"/>
              <w:szCs w:val="16"/>
            </w:rPr>
            <w:t xml:space="preserve">© </w:t>
          </w:r>
          <w:bookmarkEnd w:id="1"/>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3"/>
      <w:gridCol w:w="4140"/>
      <w:gridCol w:w="2782"/>
    </w:tblGrid>
    <w:tr>
      <w:trPr/>
      <w:tc>
        <w:tcPr>
          <w:tcW w:w="2483"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27/Abril/2022</w:t>
          </w:r>
        </w:p>
        <w:p>
          <w:pPr>
            <w:pStyle w:val="Contenidodelatabla"/>
            <w:widowControl w:val="false"/>
            <w:bidi w:val="0"/>
            <w:spacing w:before="0" w:after="0"/>
            <w:ind w:hanging="0"/>
            <w:jc w:val="left"/>
            <w:rPr/>
          </w:pPr>
          <w:r>
            <w:rPr>
              <w:rFonts w:ascii="Times new roman" w:hAnsi="Times new roman"/>
              <w:sz w:val="16"/>
              <w:szCs w:val="16"/>
            </w:rPr>
            <w:t>Aceptado: 01/Junio/2022</w:t>
          </w:r>
        </w:p>
      </w:tc>
      <w:tc>
        <w:tcPr>
          <w:tcW w:w="4140" w:type="dxa"/>
          <w:tcBorders/>
          <w:shd w:fill="auto" w:val="clear"/>
        </w:tcPr>
        <w:p>
          <w:pPr>
            <w:pStyle w:val="Contenidodelatabla"/>
            <w:widowControl w:val="false"/>
            <w:spacing w:before="120" w:after="60"/>
            <w:ind w:hanging="0"/>
            <w:jc w:val="center"/>
            <w:rPr/>
          </w:pPr>
          <w:bookmarkStart w:id="3" w:name="__DdeLink__3403_881141052"/>
          <w:r>
            <w:rPr>
              <w:rFonts w:eastAsia="Arial" w:cs="Arial" w:ascii="Cantarell" w:hAnsi="Cantarell"/>
              <w:sz w:val="16"/>
              <w:szCs w:val="16"/>
            </w:rPr>
            <w:t xml:space="preserve">© </w:t>
          </w:r>
          <w:bookmarkEnd w:id="3"/>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95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4, Julio - Diciembre 2022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95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4, Julio - Diciembre 2022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7"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7"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7, No. 15, pp. </w:t>
          </w:r>
          <w:r>
            <w:rPr>
              <w:rFonts w:eastAsia="Times New Roman" w:cs="Times New Roman" w:ascii="Times new roman" w:hAnsi="Times new roman"/>
              <w:sz w:val="20"/>
              <w:szCs w:val="20"/>
            </w:rPr>
            <w:t>95</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10</w:t>
          </w:r>
          <w:r>
            <w:rPr>
              <w:rFonts w:eastAsia="Times New Roman" w:cs="Times New Roman" w:ascii="Times new roman" w:hAnsi="Times new roman"/>
              <w:sz w:val="20"/>
              <w:szCs w:val="20"/>
            </w:rPr>
            <w:t>4</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2022</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95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4, Julio - Diciembre 2022</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7, No. 15, pp. </w:t>
    </w:r>
    <w:r>
      <w:rPr>
        <w:rFonts w:ascii="Times new roman" w:hAnsi="Times new roman"/>
        <w:b w:val="false"/>
        <w:i/>
        <w:iCs/>
        <w:caps w:val="false"/>
        <w:smallCaps w:val="false"/>
        <w:spacing w:val="0"/>
        <w:sz w:val="16"/>
        <w:szCs w:val="16"/>
      </w:rPr>
      <w:t>95</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10</w:t>
    </w:r>
    <w:r>
      <w:rPr>
        <w:rFonts w:ascii="Times new roman" w:hAnsi="Times new roman"/>
        <w:b w:val="false"/>
        <w:i/>
        <w:iCs/>
        <w:caps w:val="false"/>
        <w:smallCaps w:val="false"/>
        <w:spacing w:val="0"/>
        <w:sz w:val="16"/>
        <w:szCs w:val="16"/>
      </w:rPr>
      <w:t>4, Julio - Diciembre 2022</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5" name="Imagen7"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7, No. 15, pp. </w:t>
          </w:r>
          <w:r>
            <w:rPr>
              <w:rFonts w:eastAsia="Times New Roman" w:cs="Times New Roman" w:ascii="Times new roman" w:hAnsi="Times new roman"/>
              <w:sz w:val="20"/>
              <w:szCs w:val="20"/>
            </w:rPr>
            <w:t>95</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10</w:t>
          </w:r>
          <w:r>
            <w:rPr>
              <w:rFonts w:eastAsia="Times New Roman" w:cs="Times New Roman" w:ascii="Times new roman" w:hAnsi="Times new roman"/>
              <w:sz w:val="20"/>
              <w:szCs w:val="20"/>
            </w:rPr>
            <w:t>4</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2022</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semiHidden/>
    <w:qFormat/>
    <w:rsid w:val="00964497"/>
    <w:rPr/>
  </w:style>
  <w:style w:type="character" w:styleId="PiedepginaCar" w:customStyle="1">
    <w:name w:val="Pie de página Car"/>
    <w:basedOn w:val="DefaultParagraphFont"/>
    <w:link w:val="Piedepgina"/>
    <w:uiPriority w:val="99"/>
    <w:semiHidden/>
    <w:qFormat/>
    <w:rsid w:val="00964497"/>
    <w:rPr/>
  </w:style>
  <w:style w:type="character" w:styleId="PlaceholderText">
    <w:name w:val="Placeholder Text"/>
    <w:basedOn w:val="DefaultParagraphFont"/>
    <w:uiPriority w:val="99"/>
    <w:semiHidden/>
    <w:qFormat/>
    <w:rsid w:val="00434b4b"/>
    <w:rPr>
      <w:color w:val="808080"/>
    </w:rPr>
  </w:style>
  <w:style w:type="character" w:styleId="EnlacedeInternet">
    <w:name w:val="Enlace de Internet"/>
    <w:basedOn w:val="DefaultParagraphFont"/>
    <w:uiPriority w:val="99"/>
    <w:unhideWhenUsed/>
    <w:rsid w:val="00eb3e59"/>
    <w:rPr>
      <w:color w:val="0000FF" w:themeColor="hyperlink"/>
      <w:u w:val="single"/>
    </w:rPr>
  </w:style>
  <w:style w:type="character" w:styleId="UnresolvedMention">
    <w:name w:val="Unresolved Mention"/>
    <w:basedOn w:val="DefaultParagraphFont"/>
    <w:uiPriority w:val="99"/>
    <w:semiHidden/>
    <w:unhideWhenUsed/>
    <w:qFormat/>
    <w:rsid w:val="005e4ef4"/>
    <w:rPr>
      <w:color w:val="605E5C"/>
      <w:shd w:fill="E1DFDD" w:val="clear"/>
    </w:rPr>
  </w:style>
  <w:style w:type="character" w:styleId="EnlacedeInternetvisitado">
    <w:name w:val="Enlace de Internet visitado"/>
    <w:basedOn w:val="DefaultParagraphFont"/>
    <w:uiPriority w:val="99"/>
    <w:semiHidden/>
    <w:unhideWhenUsed/>
    <w:rsid w:val="009b00fb"/>
    <w:rPr>
      <w:color w:val="800080" w:themeColor="followedHyperlink"/>
      <w:u w:val="single"/>
    </w:rPr>
  </w:style>
  <w:style w:type="character" w:styleId="Annotationreference">
    <w:name w:val="annotation reference"/>
    <w:basedOn w:val="DefaultParagraphFont"/>
    <w:uiPriority w:val="99"/>
    <w:semiHidden/>
    <w:unhideWhenUsed/>
    <w:qFormat/>
    <w:rsid w:val="00c42fce"/>
    <w:rPr>
      <w:sz w:val="16"/>
      <w:szCs w:val="16"/>
    </w:rPr>
  </w:style>
  <w:style w:type="character" w:styleId="TextocomentarioCar" w:customStyle="1">
    <w:name w:val="Texto comentario Car"/>
    <w:basedOn w:val="DefaultParagraphFont"/>
    <w:link w:val="Textocomentario"/>
    <w:uiPriority w:val="99"/>
    <w:semiHidden/>
    <w:qFormat/>
    <w:rsid w:val="00c42fce"/>
    <w:rPr>
      <w:sz w:val="20"/>
      <w:szCs w:val="20"/>
    </w:rPr>
  </w:style>
  <w:style w:type="character" w:styleId="AsuntodelcomentarioCar" w:customStyle="1">
    <w:name w:val="Asunto del comentario Car"/>
    <w:basedOn w:val="TextocomentarioCar"/>
    <w:link w:val="Asuntodelcomentario"/>
    <w:uiPriority w:val="99"/>
    <w:semiHidden/>
    <w:qFormat/>
    <w:rsid w:val="00c42fce"/>
    <w:rPr>
      <w:b/>
      <w:bCs/>
      <w:sz w:val="20"/>
      <w:szCs w:val="20"/>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dc6653"/>
    <w:pPr>
      <w:spacing w:before="0" w:after="160"/>
      <w:ind w:left="720" w:hanging="0"/>
      <w:contextualSpacing/>
    </w:pPr>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beceraypie">
    <w:name w:val="Cabecera y pie"/>
    <w:basedOn w:val="Normal"/>
    <w:qFormat/>
    <w:pPr/>
    <w:rPr/>
  </w:style>
  <w:style w:type="paragraph" w:styleId="Cabecera">
    <w:name w:val="Header"/>
    <w:basedOn w:val="Normal"/>
    <w:link w:val="EncabezadoCar"/>
    <w:uiPriority w:val="99"/>
    <w:semiHidden/>
    <w:unhideWhenUsed/>
    <w:rsid w:val="00964497"/>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semiHidden/>
    <w:unhideWhenUsed/>
    <w:rsid w:val="00964497"/>
    <w:pPr>
      <w:tabs>
        <w:tab w:val="clear" w:pos="720"/>
        <w:tab w:val="center" w:pos="4419" w:leader="none"/>
        <w:tab w:val="right" w:pos="8838" w:leader="none"/>
      </w:tabs>
      <w:spacing w:lineRule="auto" w:line="240" w:before="0" w:after="0"/>
    </w:pPr>
    <w:rPr/>
  </w:style>
  <w:style w:type="paragraph" w:styleId="LOnormal" w:customStyle="1">
    <w:name w:val="LO-normal"/>
    <w:qFormat/>
    <w:rsid w:val="00d512c5"/>
    <w:pPr>
      <w:widowControl/>
      <w:suppressAutoHyphens w:val="true"/>
      <w:bidi w:val="0"/>
      <w:spacing w:lineRule="auto" w:line="360" w:before="0" w:after="0"/>
      <w:ind w:left="720" w:hanging="360"/>
      <w:jc w:val="both"/>
    </w:pPr>
    <w:rPr>
      <w:rFonts w:ascii="Arial" w:hAnsi="Arial" w:eastAsia="Arial" w:cs="Arial"/>
      <w:color w:val="auto"/>
      <w:kern w:val="0"/>
      <w:sz w:val="24"/>
      <w:szCs w:val="24"/>
      <w:lang w:val="es" w:eastAsia="zh-CN" w:bidi="hi-IN"/>
    </w:rPr>
  </w:style>
  <w:style w:type="paragraph" w:styleId="Novalegacyelistitem" w:customStyle="1">
    <w:name w:val="nova-legacy-e-list__item"/>
    <w:basedOn w:val="Normal"/>
    <w:qFormat/>
    <w:rsid w:val="009b00fb"/>
    <w:pPr>
      <w:spacing w:lineRule="auto" w:line="240" w:beforeAutospacing="1" w:afterAutospacing="1"/>
    </w:pPr>
    <w:rPr>
      <w:rFonts w:ascii="Times New Roman" w:hAnsi="Times New Roman" w:eastAsia="Times New Roman" w:cs="Times New Roman"/>
      <w:sz w:val="24"/>
      <w:szCs w:val="24"/>
    </w:rPr>
  </w:style>
  <w:style w:type="paragraph" w:styleId="Default" w:customStyle="1">
    <w:name w:val="Default"/>
    <w:qFormat/>
    <w:rsid w:val="00c831d0"/>
    <w:pPr>
      <w:widowControl/>
      <w:bidi w:val="0"/>
      <w:spacing w:lineRule="auto" w:line="240" w:before="0" w:after="0"/>
      <w:jc w:val="left"/>
    </w:pPr>
    <w:rPr>
      <w:rFonts w:ascii="Times New Roman" w:hAnsi="Times New Roman" w:cs="Times New Roman" w:eastAsia="Calibri"/>
      <w:color w:val="000000"/>
      <w:kern w:val="0"/>
      <w:sz w:val="24"/>
      <w:szCs w:val="24"/>
      <w:lang w:val="es-MX" w:eastAsia="es-MX" w:bidi="ar-SA"/>
    </w:rPr>
  </w:style>
  <w:style w:type="paragraph" w:styleId="Annotationtext">
    <w:name w:val="annotation text"/>
    <w:basedOn w:val="Normal"/>
    <w:link w:val="TextocomentarioCar"/>
    <w:uiPriority w:val="99"/>
    <w:semiHidden/>
    <w:unhideWhenUsed/>
    <w:qFormat/>
    <w:rsid w:val="00c42fce"/>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c42fce"/>
    <w:pPr/>
    <w:rPr>
      <w:b/>
      <w:bCs/>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Contenidodelatabla">
    <w:name w:val="Contenido de la tabla"/>
    <w:basedOn w:val="Normal"/>
    <w:qFormat/>
    <w:pPr/>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1">
    <w:name w:val="Table Normal1"/>
    <w:rsid w:val="00964497"/>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hyperlink" Target="https://gaceta.rsme.es/vernumero.php?id=61" TargetMode="External"/><Relationship Id="rId22" Type="http://schemas.openxmlformats.org/officeDocument/2006/relationships/hyperlink" Target="https://doi.org/10.18845/rdmei.v17i1.2739" TargetMode="External"/><Relationship Id="rId23" Type="http://schemas.openxmlformats.org/officeDocument/2006/relationships/hyperlink" Target="https://www.researchgate.net/publication/344526828" TargetMode="External"/><Relationship Id="rId24" Type="http://schemas.openxmlformats.org/officeDocument/2006/relationships/hyperlink" Target="https://dialnet.unirioja.es/servlet/articulo?codigo=2239984" TargetMode="External"/><Relationship Id="rId25" Type="http://schemas.openxmlformats.org/officeDocument/2006/relationships/hyperlink" Target="http://dx.doi.org/10.4067/S0718-50062020000100063" TargetMode="External"/><Relationship Id="rId26" Type="http://schemas.openxmlformats.org/officeDocument/2006/relationships/hyperlink" Target="http://www.progreso.tecnm.mx/revistaAEI/index.php/aei/article/view/37" TargetMode="External"/><Relationship Id="rId27" Type="http://schemas.openxmlformats.org/officeDocument/2006/relationships/hyperlink" Target="https://www.geogebra.org/m/zgdtv9gg" TargetMode="External"/><Relationship Id="rId28" Type="http://schemas.openxmlformats.org/officeDocument/2006/relationships/hyperlink" Target="https://www.geogebra.org/m/ybmp5tgx" TargetMode="External"/><Relationship Id="rId29" Type="http://schemas.openxmlformats.org/officeDocument/2006/relationships/hyperlink" Target="https://www.redalyc.org/articulo.oa?id=33529137009" TargetMode="External"/><Relationship Id="rId30" Type="http://schemas.openxmlformats.org/officeDocument/2006/relationships/hyperlink" Target="https://www.iiis.org/CDs2012/CD2012ADII/ATIC_2012/index.asp?id=0&amp;area=10" TargetMode="External"/><Relationship Id="rId31" Type="http://schemas.openxmlformats.org/officeDocument/2006/relationships/hyperlink" Target="https://doi.org/10.35622/j.rie.2019.02.004" TargetMode="External"/><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2CA7B-6418-43F8-87F3-90759F566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Application>LibreOffice/7.0.4.2$Linux_X86_64 LibreOffice_project/00$Build-2</Application>
  <AppVersion>15.0000</AppVersion>
  <Pages>10</Pages>
  <Words>4684</Words>
  <Characters>25741</Characters>
  <CharactersWithSpaces>30307</CharactersWithSpaces>
  <Paragraphs>142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2022-03-23T21:42:00Z</dcterms:created>
  <dc:creator>Miguel Ángel Can Ek</dc:creator>
  <dc:description/>
  <dc:language>es-MX</dc:language>
  <cp:lastModifiedBy/>
  <dcterms:modified xsi:type="dcterms:W3CDTF">2022-07-19T12:07:52Z</dcterms:modified>
  <cp:revision>1876</cp:revision>
  <dc:subject/>
  <dc:title/>
</cp:coreProperties>
</file>

<file path=docProps/custom.xml><?xml version="1.0" encoding="utf-8"?>
<Properties xmlns="http://schemas.openxmlformats.org/officeDocument/2006/custom-properties" xmlns:vt="http://schemas.openxmlformats.org/officeDocument/2006/docPropsVTypes"/>
</file>