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fontTable.xml" ContentType="application/vnd.openxmlformats-officedocument.wordprocessingml.fontTable+xml"/>
  <Override PartName="/word/header3.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rFonts w:ascii="Times New Roman" w:hAnsi="Times New Roman"/>
          <w:b w:val="false"/>
          <w:b w:val="false"/>
          <w:bCs w:val="false"/>
          <w:color w:val="000000"/>
          <w:sz w:val="44"/>
          <w:szCs w:val="44"/>
        </w:rPr>
      </w:pPr>
      <w:r>
        <w:rPr>
          <w:rFonts w:cs="Times New Roman" w:ascii="Times New Roman" w:hAnsi="Times New Roman"/>
          <w:b w:val="false"/>
          <w:bCs w:val="false"/>
          <w:color w:val="000000"/>
          <w:sz w:val="44"/>
          <w:szCs w:val="44"/>
          <w:shd w:fill="FFFFFF" w:val="clear"/>
          <w:lang w:val="es"/>
        </w:rPr>
        <w:t xml:space="preserve">El aprendizaje desde la perspectiva estudiantil en un curso a distancia de ecuaciones diferenciales durante la pandemia de </w:t>
      </w:r>
      <w:r>
        <w:rPr>
          <w:rFonts w:cs="Times New Roman" w:ascii="Times New Roman" w:hAnsi="Times New Roman"/>
          <w:b w:val="false"/>
          <w:bCs w:val="false"/>
          <w:color w:val="000000"/>
          <w:sz w:val="44"/>
          <w:szCs w:val="44"/>
          <w:shd w:fill="FFFFFF" w:val="clear"/>
          <w:lang w:val="es"/>
        </w:rPr>
        <w:t>C</w:t>
      </w:r>
      <w:r>
        <w:rPr>
          <w:rFonts w:cs="Times New Roman" w:ascii="Times New Roman" w:hAnsi="Times New Roman"/>
          <w:b w:val="false"/>
          <w:bCs w:val="false"/>
          <w:color w:val="000000"/>
          <w:sz w:val="44"/>
          <w:szCs w:val="44"/>
          <w:shd w:fill="FFFFFF" w:val="clear"/>
          <w:lang w:val="es"/>
        </w:rPr>
        <w:t>ovid-19</w:t>
      </w:r>
    </w:p>
    <w:p>
      <w:pPr>
        <w:pStyle w:val="Normal"/>
        <w:spacing w:lineRule="auto" w:line="240" w:before="0" w:after="0"/>
        <w:ind w:left="0" w:right="0" w:hanging="0"/>
        <w:jc w:val="both"/>
        <w:rPr>
          <w:rFonts w:ascii="Times New Roman" w:hAnsi="Times New Roman" w:cs="Times New Roman"/>
          <w:b w:val="false"/>
          <w:b w:val="false"/>
          <w:bCs w:val="false"/>
          <w:color w:val="000000"/>
          <w:sz w:val="20"/>
          <w:szCs w:val="20"/>
          <w:shd w:fill="FFFFFF" w:val="clear"/>
          <w:lang w:val="es"/>
        </w:rPr>
      </w:pPr>
      <w:r>
        <w:rPr>
          <w:rFonts w:cs="Times New Roman" w:ascii="Times New Roman" w:hAnsi="Times New Roman"/>
          <w:b w:val="false"/>
          <w:bCs w:val="false"/>
          <w:color w:val="000000"/>
          <w:sz w:val="20"/>
          <w:szCs w:val="20"/>
          <w:shd w:fill="FFFFFF" w:val="clear"/>
          <w:lang w:val="es"/>
        </w:rPr>
      </w:r>
    </w:p>
    <w:p>
      <w:pPr>
        <w:pStyle w:val="Normal"/>
        <w:spacing w:lineRule="auto" w:line="240" w:before="0" w:after="0"/>
        <w:ind w:left="0" w:right="0" w:hanging="0"/>
        <w:jc w:val="center"/>
        <w:rPr>
          <w:rFonts w:ascii="Times New Roman" w:hAnsi="Times New Roman"/>
          <w:b w:val="false"/>
          <w:b w:val="false"/>
          <w:bCs w:val="false"/>
          <w:color w:val="000000"/>
          <w:sz w:val="36"/>
          <w:szCs w:val="36"/>
        </w:rPr>
      </w:pPr>
      <w:r>
        <w:rPr>
          <w:rFonts w:cs="Times New Roman" w:ascii="Times New Roman" w:hAnsi="Times New Roman"/>
          <w:b w:val="false"/>
          <w:bCs w:val="false"/>
          <w:color w:val="000000"/>
          <w:sz w:val="36"/>
          <w:szCs w:val="36"/>
          <w:shd w:fill="FFFFFF" w:val="clear"/>
          <w:lang w:val="en"/>
        </w:rPr>
        <w:t>Learning from</w:t>
      </w:r>
      <w:r>
        <w:rPr>
          <w:rFonts w:cs="Times New Roman" w:ascii="Times New Roman" w:hAnsi="Times New Roman"/>
          <w:b w:val="false"/>
          <w:bCs w:val="false"/>
          <w:color w:val="000000"/>
          <w:sz w:val="36"/>
          <w:szCs w:val="36"/>
          <w:lang w:val="en"/>
        </w:rPr>
        <w:t xml:space="preserve"> </w:t>
      </w:r>
      <w:r>
        <w:rPr>
          <w:rFonts w:cs="Times New Roman" w:ascii="Times New Roman" w:hAnsi="Times New Roman"/>
          <w:b w:val="false"/>
          <w:bCs w:val="false"/>
          <w:color w:val="000000"/>
          <w:sz w:val="36"/>
          <w:szCs w:val="36"/>
          <w:shd w:fill="FFFFFF" w:val="clear"/>
          <w:lang w:val="en"/>
        </w:rPr>
        <w:t>the</w:t>
      </w:r>
      <w:r>
        <w:rPr>
          <w:rFonts w:cs="Times New Roman" w:ascii="Times New Roman" w:hAnsi="Times New Roman"/>
          <w:b w:val="false"/>
          <w:bCs w:val="false"/>
          <w:color w:val="000000"/>
          <w:sz w:val="36"/>
          <w:szCs w:val="36"/>
          <w:lang w:val="en"/>
        </w:rPr>
        <w:t xml:space="preserve"> student </w:t>
      </w:r>
      <w:r>
        <w:rPr>
          <w:rFonts w:cs="Times New Roman" w:ascii="Times New Roman" w:hAnsi="Times New Roman"/>
          <w:b w:val="false"/>
          <w:bCs w:val="false"/>
          <w:color w:val="000000"/>
          <w:sz w:val="36"/>
          <w:szCs w:val="36"/>
          <w:shd w:fill="FFFFFF" w:val="clear"/>
          <w:lang w:val="en"/>
        </w:rPr>
        <w:t>perspective</w:t>
      </w:r>
      <w:r>
        <w:rPr>
          <w:rFonts w:cs="Times New Roman" w:ascii="Times New Roman" w:hAnsi="Times New Roman"/>
          <w:b w:val="false"/>
          <w:bCs w:val="false"/>
          <w:color w:val="000000"/>
          <w:sz w:val="36"/>
          <w:szCs w:val="36"/>
          <w:lang w:val="en"/>
        </w:rPr>
        <w:t xml:space="preserve"> </w:t>
      </w:r>
      <w:r>
        <w:rPr>
          <w:rFonts w:cs="Times New Roman" w:ascii="Times New Roman" w:hAnsi="Times New Roman"/>
          <w:b w:val="false"/>
          <w:bCs w:val="false"/>
          <w:color w:val="000000"/>
          <w:sz w:val="36"/>
          <w:szCs w:val="36"/>
          <w:shd w:fill="FFFFFF" w:val="clear"/>
          <w:lang w:val="en"/>
        </w:rPr>
        <w:t xml:space="preserve">in a distance course of differential equations during the </w:t>
      </w:r>
      <w:r>
        <w:rPr>
          <w:rFonts w:cs="Times New Roman" w:ascii="Times New Roman" w:hAnsi="Times New Roman"/>
          <w:b w:val="false"/>
          <w:bCs w:val="false"/>
          <w:color w:val="000000"/>
          <w:sz w:val="36"/>
          <w:szCs w:val="36"/>
          <w:shd w:fill="FFFFFF" w:val="clear"/>
          <w:lang w:val="en"/>
        </w:rPr>
        <w:t>C</w:t>
      </w:r>
      <w:r>
        <w:rPr>
          <w:rFonts w:cs="Times New Roman" w:ascii="Times New Roman" w:hAnsi="Times New Roman"/>
          <w:b w:val="false"/>
          <w:bCs w:val="false"/>
          <w:color w:val="000000"/>
          <w:sz w:val="36"/>
          <w:szCs w:val="36"/>
          <w:shd w:fill="FFFFFF" w:val="clear"/>
          <w:lang w:val="en"/>
        </w:rPr>
        <w:t>ovid-19 pandemic</w:t>
      </w:r>
    </w:p>
    <w:p>
      <w:pPr>
        <w:pStyle w:val="Normal"/>
        <w:spacing w:lineRule="auto" w:line="240" w:before="0" w:after="0"/>
        <w:ind w:left="0" w:right="0" w:hanging="0"/>
        <w:jc w:val="both"/>
        <w:rPr>
          <w:rFonts w:cs="Times New Roman"/>
          <w:shd w:fill="FFFFFF" w:val="clear"/>
          <w:lang w:val="en"/>
        </w:rPr>
      </w:pPr>
      <w:r>
        <w:rPr>
          <w:rFonts w:ascii="Times New Roman" w:hAnsi="Times New Roman"/>
          <w:b w:val="false"/>
          <w:bCs w:val="false"/>
          <w:color w:val="000000"/>
          <w:sz w:val="20"/>
          <w:szCs w:val="20"/>
        </w:rPr>
      </w:r>
    </w:p>
    <w:p>
      <w:pPr>
        <w:pStyle w:val="Normal"/>
        <w:spacing w:lineRule="auto" w:line="240" w:before="0" w:after="0"/>
        <w:ind w:left="0" w:right="0" w:hanging="0"/>
        <w:jc w:val="center"/>
        <w:rPr>
          <w:rFonts w:ascii="Times New Roman" w:hAnsi="Times New Roman"/>
          <w:b w:val="false"/>
          <w:b w:val="false"/>
          <w:bCs w:val="false"/>
          <w:color w:val="000000"/>
          <w:sz w:val="24"/>
          <w:szCs w:val="24"/>
        </w:rPr>
      </w:pPr>
      <w:r>
        <w:rPr>
          <w:rFonts w:cs="Times New Roman" w:ascii="Times New Roman" w:hAnsi="Times New Roman"/>
          <w:b w:val="false"/>
          <w:bCs w:val="false"/>
          <w:color w:val="000000"/>
          <w:sz w:val="24"/>
          <w:szCs w:val="24"/>
          <w:shd w:fill="FFFFFF" w:val="clear"/>
          <w:lang w:val="en"/>
        </w:rPr>
        <w:t>Delta María Sosa Cordero</w:t>
      </w:r>
      <w:r>
        <w:rPr>
          <w:rFonts w:cs="Times New Roman" w:ascii="Times New Roman" w:hAnsi="Times New Roman"/>
          <w:b w:val="false"/>
          <w:bCs w:val="false"/>
          <w:color w:val="000000"/>
          <w:sz w:val="24"/>
          <w:szCs w:val="24"/>
          <w:shd w:fill="FFFFFF" w:val="clear"/>
          <w:vertAlign w:val="superscript"/>
          <w:lang w:val="en"/>
        </w:rPr>
        <w:t>1*</w:t>
      </w:r>
    </w:p>
    <w:p>
      <w:pPr>
        <w:pStyle w:val="Normal"/>
        <w:spacing w:lineRule="auto" w:line="240" w:before="0" w:after="0"/>
        <w:ind w:left="0" w:right="0" w:hanging="0"/>
        <w:jc w:val="both"/>
        <w:rPr>
          <w:rFonts w:cs="Times New Roman"/>
          <w:shd w:fill="FFFFFF" w:val="clear"/>
          <w:lang w:val="en"/>
        </w:rPr>
      </w:pPr>
      <w:r>
        <w:rPr>
          <w:rFonts w:ascii="Times New Roman" w:hAnsi="Times New Roman"/>
          <w:b w:val="false"/>
          <w:bCs w:val="false"/>
          <w:color w:val="000000"/>
          <w:sz w:val="20"/>
          <w:szCs w:val="20"/>
        </w:rPr>
      </w:r>
    </w:p>
    <w:p>
      <w:pPr>
        <w:pStyle w:val="Normal"/>
        <w:spacing w:lineRule="auto" w:line="240" w:before="0" w:after="0"/>
        <w:ind w:left="0" w:right="0" w:hanging="0"/>
        <w:jc w:val="center"/>
        <w:rPr>
          <w:rFonts w:ascii="Times New Roman" w:hAnsi="Times New Roman"/>
          <w:i/>
          <w:i/>
          <w:iCs/>
          <w:color w:val="000000"/>
          <w:sz w:val="24"/>
          <w:szCs w:val="24"/>
        </w:rPr>
      </w:pPr>
      <w:r>
        <w:rPr>
          <w:rFonts w:cs="Times New Roman" w:ascii="Times New Roman" w:hAnsi="Times New Roman"/>
          <w:b w:val="false"/>
          <w:bCs w:val="false"/>
          <w:i/>
          <w:iCs/>
          <w:color w:val="000000"/>
          <w:sz w:val="24"/>
          <w:szCs w:val="24"/>
          <w:shd w:fill="FFFFFF" w:val="clear"/>
          <w:vertAlign w:val="superscript"/>
          <w:lang w:val="en"/>
        </w:rPr>
        <w:t>1</w:t>
      </w:r>
      <w:r>
        <w:rPr>
          <w:rFonts w:cs="Times New Roman" w:ascii="Times New Roman" w:hAnsi="Times New Roman"/>
          <w:b w:val="false"/>
          <w:bCs w:val="false"/>
          <w:i/>
          <w:iCs/>
          <w:color w:val="000000"/>
          <w:sz w:val="24"/>
          <w:szCs w:val="24"/>
          <w:shd w:fill="FFFFFF" w:val="clear"/>
          <w:lang w:val="en"/>
        </w:rPr>
        <w:t>Universidad Autónoma de Yucatán, Falcultad de Ingeniería Química, p</w:t>
      </w:r>
      <w:r>
        <w:rPr>
          <w:rFonts w:cs="Times New Roman" w:ascii="Times New Roman" w:hAnsi="Times New Roman"/>
          <w:i/>
          <w:iCs/>
          <w:color w:val="000000"/>
          <w:sz w:val="24"/>
          <w:szCs w:val="24"/>
          <w:shd w:fill="FFFFFF" w:val="clear"/>
          <w:lang w:val="en"/>
        </w:rPr>
        <w:t>erifé</w:t>
      </w:r>
      <w:r>
        <w:rPr>
          <w:rFonts w:cs="Times New Roman" w:ascii="Times New Roman" w:hAnsi="Times New Roman"/>
          <w:i/>
          <w:iCs/>
          <w:color w:val="000000"/>
          <w:sz w:val="24"/>
          <w:szCs w:val="24"/>
          <w:shd w:fill="FFFFFF" w:val="clear"/>
          <w:lang w:val="en"/>
        </w:rPr>
        <w:t>rico</w:t>
      </w:r>
      <w:r>
        <w:rPr>
          <w:rFonts w:cs="Times New Roman" w:ascii="Times New Roman" w:hAnsi="Times New Roman"/>
          <w:i/>
          <w:iCs/>
          <w:color w:val="000000"/>
          <w:sz w:val="24"/>
          <w:szCs w:val="24"/>
          <w:shd w:fill="FFFFFF" w:val="clear"/>
          <w:lang w:val="en"/>
        </w:rPr>
        <w:t xml:space="preserve"> de Mérida Lic</w:t>
      </w:r>
      <w:r>
        <w:rPr>
          <w:rFonts w:cs="Times New Roman" w:ascii="Times New Roman" w:hAnsi="Times New Roman"/>
          <w:i/>
          <w:iCs/>
          <w:color w:val="000000"/>
          <w:sz w:val="24"/>
          <w:szCs w:val="24"/>
          <w:shd w:fill="FFFFFF" w:val="clear"/>
          <w:lang w:val="en"/>
        </w:rPr>
        <w:t>enciado</w:t>
      </w:r>
      <w:r>
        <w:rPr>
          <w:rFonts w:cs="Times New Roman" w:ascii="Times New Roman" w:hAnsi="Times New Roman"/>
          <w:i/>
          <w:iCs/>
          <w:color w:val="000000"/>
          <w:sz w:val="24"/>
          <w:szCs w:val="24"/>
          <w:shd w:fill="FFFFFF" w:val="clear"/>
          <w:lang w:val="en"/>
        </w:rPr>
        <w:t xml:space="preserve"> Manuel Berzunza 13615, Chuburná de Hidalgo, </w:t>
      </w:r>
      <w:r>
        <w:rPr>
          <w:rFonts w:cs="Times New Roman" w:ascii="Times New Roman" w:hAnsi="Times New Roman"/>
          <w:i/>
          <w:iCs/>
          <w:color w:val="000000"/>
          <w:sz w:val="24"/>
          <w:szCs w:val="24"/>
          <w:shd w:fill="FFFFFF" w:val="clear"/>
          <w:lang w:val="en"/>
        </w:rPr>
        <w:t xml:space="preserve">CP </w:t>
      </w:r>
      <w:r>
        <w:rPr>
          <w:rFonts w:cs="Times New Roman" w:ascii="Times New Roman" w:hAnsi="Times New Roman"/>
          <w:i/>
          <w:iCs/>
          <w:color w:val="000000"/>
          <w:sz w:val="24"/>
          <w:szCs w:val="24"/>
          <w:shd w:fill="FFFFFF" w:val="clear"/>
          <w:lang w:val="en"/>
        </w:rPr>
        <w:t>97203 Mérida, Yuc</w:t>
      </w:r>
      <w:r>
        <w:rPr>
          <w:rFonts w:cs="Times New Roman" w:ascii="Times New Roman" w:hAnsi="Times New Roman"/>
          <w:i/>
          <w:iCs/>
          <w:color w:val="000000"/>
          <w:sz w:val="24"/>
          <w:szCs w:val="24"/>
          <w:shd w:fill="FFFFFF" w:val="clear"/>
          <w:lang w:val="en"/>
        </w:rPr>
        <w:t>atán, México</w:t>
      </w:r>
      <w:r>
        <w:rPr>
          <w:rFonts w:cs="Times New Roman" w:ascii="Times New Roman" w:hAnsi="Times New Roman"/>
          <w:i/>
          <w:iCs/>
          <w:color w:val="000000"/>
          <w:sz w:val="24"/>
          <w:szCs w:val="24"/>
          <w:shd w:fill="FFFFFF" w:val="clear"/>
          <w:lang w:val="en"/>
        </w:rPr>
        <w:t>.</w:t>
      </w:r>
    </w:p>
    <w:p>
      <w:pPr>
        <w:pStyle w:val="Normal"/>
        <w:spacing w:lineRule="auto" w:line="240" w:before="0" w:after="0"/>
        <w:ind w:left="0" w:right="0" w:hanging="0"/>
        <w:jc w:val="both"/>
        <w:rPr>
          <w:rFonts w:cs="Times New Roman"/>
          <w:shd w:fill="FFFFFF" w:val="clear"/>
          <w:lang w:val="en"/>
        </w:rPr>
      </w:pPr>
      <w:r>
        <w:rPr>
          <w:rFonts w:ascii="Times New Roman" w:hAnsi="Times New Roman"/>
          <w:b w:val="false"/>
          <w:bCs w:val="false"/>
          <w:color w:val="000000"/>
          <w:sz w:val="20"/>
          <w:szCs w:val="20"/>
        </w:rPr>
      </w:r>
    </w:p>
    <w:p>
      <w:pPr>
        <w:pStyle w:val="Normal"/>
        <w:spacing w:lineRule="auto" w:line="240" w:before="0" w:after="0"/>
        <w:ind w:left="0" w:right="0" w:hanging="0"/>
        <w:jc w:val="center"/>
        <w:rPr>
          <w:rFonts w:ascii="Times New Roman" w:hAnsi="Times New Roman"/>
          <w:b w:val="false"/>
          <w:b w:val="false"/>
          <w:bCs w:val="false"/>
          <w:i/>
          <w:i/>
          <w:iCs/>
          <w:color w:val="000000"/>
          <w:sz w:val="20"/>
          <w:szCs w:val="20"/>
        </w:rPr>
      </w:pPr>
      <w:r>
        <w:rPr>
          <w:rFonts w:cs="Times New Roman" w:ascii="Times New Roman" w:hAnsi="Times New Roman"/>
          <w:b w:val="false"/>
          <w:bCs w:val="false"/>
          <w:i/>
          <w:iCs/>
          <w:color w:val="000000"/>
          <w:sz w:val="20"/>
          <w:szCs w:val="20"/>
          <w:shd w:fill="FFFFFF" w:val="clear"/>
          <w:lang w:val="en"/>
        </w:rPr>
        <w:t>*Corresponding author:</w:t>
      </w:r>
    </w:p>
    <w:p>
      <w:pPr>
        <w:pStyle w:val="Normal"/>
        <w:spacing w:lineRule="auto" w:line="240" w:before="0" w:after="0"/>
        <w:ind w:left="0" w:right="0" w:hanging="0"/>
        <w:jc w:val="center"/>
        <w:rPr>
          <w:rFonts w:ascii="Times New Roman" w:hAnsi="Times New Roman"/>
          <w:b w:val="false"/>
          <w:b w:val="false"/>
          <w:bCs w:val="false"/>
          <w:i/>
          <w:i/>
          <w:iCs/>
          <w:color w:val="000000"/>
          <w:sz w:val="20"/>
          <w:szCs w:val="20"/>
        </w:rPr>
      </w:pPr>
      <w:r>
        <w:rPr>
          <w:rFonts w:cs="Times New Roman" w:ascii="Times New Roman" w:hAnsi="Times New Roman"/>
          <w:b w:val="false"/>
          <w:bCs w:val="false"/>
          <w:i/>
          <w:iCs/>
          <w:color w:val="000000"/>
          <w:sz w:val="20"/>
          <w:szCs w:val="20"/>
          <w:shd w:fill="FFFFFF" w:val="clear"/>
          <w:lang w:val="en"/>
        </w:rPr>
        <w:t>scordero@correo.uady.mx</w:t>
      </w:r>
    </w:p>
    <w:p>
      <w:pPr>
        <w:pStyle w:val="Normal"/>
        <w:spacing w:lineRule="auto" w:line="240" w:before="0" w:after="0"/>
        <w:ind w:left="0" w:right="0" w:hanging="0"/>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2044" w:footer="1417" w:bottom="2109" w:gutter="0"/>
          <w:pgNumType w:fmt="decimal"/>
          <w:formProt w:val="false"/>
          <w:titlePg/>
          <w:textDirection w:val="lrTb"/>
          <w:docGrid w:type="default" w:linePitch="360" w:charSpace="4096"/>
        </w:sectPr>
      </w:pPr>
    </w:p>
    <w:p>
      <w:pPr>
        <w:pStyle w:val="Normal"/>
        <w:spacing w:lineRule="auto" w:line="240" w:before="0" w:after="0"/>
        <w:ind w:left="0" w:right="0" w:hanging="0"/>
        <w:jc w:val="both"/>
        <w:rPr>
          <w:rFonts w:ascii="Times New Roman" w:hAnsi="Times New Roman"/>
          <w:b/>
          <w:b/>
          <w:bCs/>
          <w:color w:val="000000"/>
          <w:sz w:val="20"/>
          <w:szCs w:val="20"/>
        </w:rPr>
      </w:pPr>
      <w:r>
        <w:rPr>
          <w:rFonts w:cs="Times New Roman" w:ascii="Times New Roman" w:hAnsi="Times New Roman"/>
          <w:b/>
          <w:bCs/>
          <w:color w:val="000000"/>
          <w:sz w:val="20"/>
          <w:szCs w:val="20"/>
          <w:lang w:val="en-GB"/>
        </w:rPr>
        <w:t>Resumen: En un contexto de un largo confinamiento desde marzo de 2020, por la pandemia de COVID-19, se aplica una encuesta voluntaria para recolectar las opiniones de los estudiantes acerca del nivel de utilidad para su aprendizaje, de los principales recursos usados y actividades realizadas durante el curso a distancia de ecuaciones diferenciales, impartido de agosto a diciembre de 2021 en la Licenciatura Institucional en Química Aplicada. El objetivo de este trabajo es compartir la experiencia docente, en especial las opiniones de los estudiantes participantes para conocer las características de las actuales generaciones de estudiantes que requieren estudiar matemáticas y mejorar los procesos de enseñanza y aprendizaje en modalidad a distancia.</w:t>
      </w:r>
    </w:p>
    <w:p>
      <w:pPr>
        <w:pStyle w:val="Normal"/>
        <w:spacing w:lineRule="auto" w:line="240" w:before="0" w:after="0"/>
        <w:ind w:left="0" w:right="0" w:hanging="0"/>
        <w:jc w:val="both"/>
        <w:rPr>
          <w:rFonts w:ascii="Times New Roman" w:hAnsi="Times New Roman"/>
          <w:b/>
          <w:b/>
          <w:bCs/>
          <w:color w:val="000000"/>
          <w:sz w:val="20"/>
          <w:szCs w:val="20"/>
        </w:rPr>
      </w:pPr>
      <w:r>
        <w:rPr>
          <w:rFonts w:cs="Times New Roman" w:ascii="Times New Roman" w:hAnsi="Times New Roman"/>
          <w:b/>
          <w:bCs/>
          <w:color w:val="000000"/>
          <w:sz w:val="20"/>
          <w:szCs w:val="20"/>
          <w:lang w:val="en-GB"/>
        </w:rPr>
        <w:t>Es importante mencionar que los estudiantes participantes opinaron con un porcentaje mayor que, lo más útil para su aprendizaje fueron las clases por videoconferencias y ver la solución de ejemplos en el pizarrón digital o en la grabación.</w:t>
      </w:r>
    </w:p>
    <w:p>
      <w:pPr>
        <w:pStyle w:val="Normal"/>
        <w:spacing w:lineRule="auto" w:line="240" w:before="0" w:after="0"/>
        <w:ind w:left="0" w:right="0" w:hanging="0"/>
        <w:jc w:val="both"/>
        <w:rPr>
          <w:rFonts w:cs="Times New Roman"/>
          <w:lang w:val="en"/>
        </w:rPr>
      </w:pPr>
      <w:r>
        <w:rPr>
          <w:rFonts w:ascii="Times New Roman" w:hAnsi="Times New Roman"/>
          <w:b/>
          <w:bCs/>
          <w:color w:val="000000"/>
          <w:sz w:val="20"/>
          <w:szCs w:val="20"/>
        </w:rPr>
      </w:r>
    </w:p>
    <w:p>
      <w:pPr>
        <w:pStyle w:val="Normal"/>
        <w:spacing w:lineRule="auto" w:line="240" w:before="0" w:after="0"/>
        <w:ind w:left="0" w:right="0" w:hanging="0"/>
        <w:jc w:val="both"/>
        <w:rPr>
          <w:rFonts w:ascii="Times New Roman" w:hAnsi="Times New Roman"/>
          <w:b/>
          <w:b/>
          <w:bCs/>
          <w:color w:val="000000"/>
          <w:sz w:val="20"/>
          <w:szCs w:val="20"/>
        </w:rPr>
      </w:pPr>
      <w:r>
        <w:rPr>
          <w:rFonts w:cs="Times New Roman" w:ascii="Times New Roman" w:hAnsi="Times New Roman"/>
          <w:b/>
          <w:bCs/>
          <w:color w:val="000000"/>
          <w:sz w:val="20"/>
          <w:szCs w:val="20"/>
          <w:lang w:val="es"/>
        </w:rPr>
        <w:t>Palabras clave: aprendizaje, recursos, reflexión, autonomía, evaluación.</w:t>
      </w:r>
    </w:p>
    <w:p>
      <w:pPr>
        <w:pStyle w:val="Normal"/>
        <w:spacing w:lineRule="auto" w:line="240" w:before="0" w:after="0"/>
        <w:ind w:left="0" w:right="0" w:hanging="0"/>
        <w:jc w:val="both"/>
        <w:rPr>
          <w:rFonts w:cs="Times New Roman"/>
          <w:lang w:val="es"/>
        </w:rPr>
      </w:pPr>
      <w:r>
        <w:rPr>
          <w:rFonts w:ascii="Times New Roman" w:hAnsi="Times New Roman"/>
          <w:b/>
          <w:bCs/>
          <w:color w:val="000000"/>
          <w:sz w:val="20"/>
          <w:szCs w:val="20"/>
        </w:rPr>
      </w:r>
    </w:p>
    <w:p>
      <w:pPr>
        <w:pStyle w:val="Normal"/>
        <w:spacing w:lineRule="auto" w:line="240" w:before="0" w:after="0"/>
        <w:ind w:left="0" w:right="0" w:hanging="0"/>
        <w:jc w:val="both"/>
        <w:rPr>
          <w:rFonts w:ascii="Times New Roman" w:hAnsi="Times New Roman"/>
          <w:b/>
          <w:b/>
          <w:bCs/>
          <w:color w:val="000000"/>
          <w:sz w:val="20"/>
          <w:szCs w:val="20"/>
        </w:rPr>
      </w:pPr>
      <w:r>
        <w:rPr>
          <w:rFonts w:cs="Times New Roman" w:ascii="Times New Roman" w:hAnsi="Times New Roman"/>
          <w:b/>
          <w:bCs/>
          <w:color w:val="000000"/>
          <w:sz w:val="20"/>
          <w:szCs w:val="20"/>
          <w:lang w:val="en"/>
        </w:rPr>
        <w:t xml:space="preserve">Abstract: </w:t>
      </w:r>
      <w:r>
        <w:rPr>
          <w:rFonts w:cs="Times New Roman" w:ascii="Times New Roman" w:hAnsi="Times New Roman"/>
          <w:b/>
          <w:bCs/>
          <w:color w:val="000000"/>
          <w:sz w:val="20"/>
          <w:szCs w:val="20"/>
          <w:lang w:val="en"/>
        </w:rPr>
        <w:t xml:space="preserve">In a context of a long confinement since March 2020, due to the COVID-19 pandemic, a voluntary survey is applied to collect the opinions of students about the level of usefulness for their learning, the main resources used and activities carried out during the distance course of differential equations, taught from August to December 2021 in the Institutional Degree in Applied Chemistry. The objective of this work is to share the teaching experience, especially the opinions of the participating students to know the characteristics of the current generations of students who need to study mathematics and improve the teaching and learning processes in distance mode. </w:t>
      </w:r>
      <w:r>
        <w:rPr>
          <w:rFonts w:eastAsia="Times New Roman" w:cs="Times New Roman" w:ascii="Times New Roman" w:hAnsi="Times New Roman"/>
          <w:b/>
          <w:bCs/>
          <w:color w:val="000000"/>
          <w:sz w:val="20"/>
          <w:szCs w:val="20"/>
          <w:lang w:val="en" w:eastAsia="es-MX"/>
        </w:rPr>
        <w:t>It is important to mention that the participating students gave a higher percentage that, the most useful for their learning were the classes by videoconferences and see the solution of examples on the digital board or in the recording.</w:t>
      </w:r>
    </w:p>
    <w:p>
      <w:pPr>
        <w:pStyle w:val="Normal"/>
        <w:spacing w:lineRule="auto" w:line="240" w:before="0" w:after="0"/>
        <w:ind w:left="0" w:right="0" w:hanging="0"/>
        <w:jc w:val="both"/>
        <w:rPr>
          <w:rFonts w:cs="Times New Roman"/>
          <w:lang w:val="es"/>
        </w:rPr>
      </w:pPr>
      <w:r>
        <w:rPr>
          <w:rFonts w:ascii="Times New Roman" w:hAnsi="Times New Roman"/>
          <w:b/>
          <w:bCs/>
          <w:color w:val="000000"/>
          <w:sz w:val="20"/>
          <w:szCs w:val="20"/>
        </w:rPr>
      </w:r>
    </w:p>
    <w:p>
      <w:pPr>
        <w:pStyle w:val="Normal"/>
        <w:spacing w:lineRule="auto" w:line="240" w:before="0" w:after="0"/>
        <w:ind w:left="0" w:right="0" w:hanging="0"/>
        <w:jc w:val="both"/>
        <w:rPr>
          <w:rFonts w:ascii="Times New Roman" w:hAnsi="Times New Roman"/>
          <w:b/>
          <w:b/>
          <w:bCs/>
          <w:color w:val="000000"/>
          <w:sz w:val="20"/>
          <w:szCs w:val="20"/>
        </w:rPr>
      </w:pPr>
      <w:r>
        <w:rPr>
          <w:rFonts w:ascii="Times New Roman" w:hAnsi="Times New Roman"/>
          <w:b/>
          <w:bCs/>
          <w:color w:val="000000"/>
          <w:sz w:val="20"/>
          <w:szCs w:val="20"/>
          <w:lang w:val="en"/>
        </w:rPr>
        <w:t xml:space="preserve">Keywords: </w:t>
      </w:r>
      <w:r>
        <w:rPr>
          <w:rFonts w:cs="Times New Roman" w:ascii="Times New Roman" w:hAnsi="Times New Roman"/>
          <w:b/>
          <w:bCs/>
          <w:color w:val="000000"/>
          <w:sz w:val="20"/>
          <w:szCs w:val="20"/>
          <w:lang w:val="en"/>
        </w:rPr>
        <w:t>learning, resources, reflection, autonomy, evaluation.</w:t>
      </w:r>
    </w:p>
    <w:p>
      <w:pPr>
        <w:pStyle w:val="Normal"/>
        <w:spacing w:lineRule="auto" w:line="240" w:before="0" w:after="0"/>
        <w:ind w:left="0" w:right="0" w:hanging="0"/>
        <w:jc w:val="both"/>
        <w:rPr>
          <w:rFonts w:ascii="Times New Roman" w:hAnsi="Times New Roman" w:cs="Times New Roman"/>
          <w:color w:val="000000"/>
          <w:sz w:val="20"/>
          <w:szCs w:val="20"/>
          <w:lang w:val="en-GB"/>
        </w:rPr>
      </w:pPr>
      <w:r>
        <w:rPr>
          <w:rFonts w:cs="Times New Roman" w:ascii="Times New Roman" w:hAnsi="Times New Roman"/>
          <w:color w:val="000000"/>
          <w:sz w:val="20"/>
          <w:szCs w:val="20"/>
          <w:lang w:val="en-GB"/>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
          <w:color w:val="000000"/>
          <w:sz w:val="20"/>
          <w:szCs w:val="20"/>
          <w:lang w:val="es"/>
        </w:rPr>
        <w:t xml:space="preserve">I. </w:t>
      </w:r>
      <w:r>
        <w:rPr>
          <w:rFonts w:cs="Times New Roman" w:ascii="Times New Roman" w:hAnsi="Times New Roman"/>
          <w:b/>
          <w:color w:val="000000"/>
          <w:sz w:val="20"/>
          <w:szCs w:val="20"/>
          <w:lang w:val="es"/>
        </w:rPr>
        <w:t>INTRODUCCIÓN</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Debido a la pandemia del COVID-19, desde marzo de 2020 se establece una cuarentena voluntaria en México para la prevención del contagio y en todo el sector educativo, en los diferentes niveles educativos, se presenta el importante reto de impartir todos los cursos en la modalidad a distancia.</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Cs/>
          <w:color w:val="000000"/>
          <w:sz w:val="20"/>
          <w:szCs w:val="20"/>
        </w:rPr>
        <w:t xml:space="preserve">En </w:t>
      </w:r>
      <w:r>
        <w:rPr>
          <w:rFonts w:cs="Times New Roman" w:ascii="Times New Roman" w:hAnsi="Times New Roman"/>
          <w:color w:val="000000"/>
          <w:sz w:val="20"/>
          <w:szCs w:val="20"/>
        </w:rPr>
        <w:t>la Facultad de Ingeniería Química (FIQ) de la Universidad Autónoma de Yucatán (UADY) se ofrecen cuatro programas de ingeniería: Ingeniería Química Industrial (IQI), Ingeniería Industrial Logística (IIL), Ingeniería en Biotecnología (IB), Ingeniería en Alimentos (IA) con acreditación vigente ante el Consejo de Acreditación para la Enseñanza de la Ingeniería (CACEI) y además, se imparte la Licenciatura Institucional en Química Aplicada (LIQA) compartida con la Facultad de Química (FQ), actualmente acreditada por el Consejo Nacional para la Evaluación de Programas de Ciencias Químicas (CONAECQ).</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El ámbito de este trabajo corresponde a los retos asociados a las dificultades pedagógicas y tecnológicas generales de un curso de matemáticas a distancia, que enfrentan los estudiantes de LIQA.</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cada uno de los programas mencionados, se incluyen asignaturas de matemáticas para que los estudiantes adquieran conocimientos y procesos lógico-matemáticos necesarios para resolver problemas en las áreas específicas correspondientes.</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El alcance de este trabajo corresponde a los desafíos que enfrentan los estudiantes de LIQA, asociados con las dificultades pedagógicas y tecnológicas generales de un curso de matemáticas a distancia.</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El objetivo principal de este trabajo es compartir y reflexionar sobre la opinión de los estudiantes de LIQA acerca de las estrategias de enseñanza y aprendizaje utilizadas en el curso a distancia de ED, impartido en el período agosto diciembre 2021.</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Como mencionan Garza y Leventhal (2002), en el proceso de enseñanza y aprendizaje es importante que cada persona construya un ambiente educativo personal en el que se motive y logre comprometer con su propio proceso de aprendizaje. Desde el inicio de la asignatura los estudiantes cuentan con un documento con la descripción de tres secciones: la organización del curso, los recursos disponibles para la asignatura y el sistema de evaluación; también incluye fechas de finalización de actividades y presentación de trabajos.</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Una de las principales características de la planificación de la organización del curso en modalidad a distancia, es presentar todo el contenido de la planeación original en tres unidades y dividir cada una de ellas en temas.</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Se</w:t>
      </w:r>
      <w:r>
        <w:rPr>
          <w:rFonts w:cs="Times New Roman" w:ascii="Times New Roman" w:hAnsi="Times New Roman"/>
          <w:color w:val="000000"/>
          <w:sz w:val="20"/>
          <w:szCs w:val="20"/>
          <w:lang w:val="es"/>
        </w:rPr>
        <w:t xml:space="preserve"> proporciona al estudiante un material que contiene información concreta en cada tema de los conceptos básicos, los principales resultados que se utilizarán en la resolución de una tarea que complementa el aprendizaje del estudiante y corresponde a una actividad de aprendizaje síncrona, una importante sugerencia a los estudiantes es completar el material al participar en las clases virtuales síncronas, o videoconferencias por parte de Microsoft Teams.</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Gómez (2013) menciona que reflexionar es tomar conciencia de las cosas, crear conceptualización y atributos al rol del docente para crear espacios de reflexión. Al final de cada tarea, el alumno debe realizar su autoevaluación y redactar una breve reflexión de aprendizaje, que promueva su autonomía en el proceso de aprendizaje.</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Garza y Leventhal (2002) afirman que "muchos estudiantes a menudo siguen instrucciones o tareas sin preguntarse por qué están haciendo lo que están haciendo".  y, señala que los estudiantes que poseen habilidades reflexivas son aquellos que perseveran en la resolución de problemas, tienen pensamiento crítico y aplican conscientemente sus habilidades intelectuales.</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Las tareas se envían a través de la plataforma UadyVirtual y conforman la Carpeta de Evidencias de Aprendizaje (CEA), que corresponde a la evaluación formativa de la unidad.</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La evaluación sumativa es llamada Actividad de Evaluación (EA), en modalidad individual y corresponde a una actividad integradora de cada unidad.</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La evaluación final del curso es la media de las tres notas parciales de las unidades.</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Los resultados obtenidos y las conclusiones de este trabajo serán muy útiles para mejorar la planificación de los cursos en modalidad a distancia o en su momento, en modalidad híbrida del curso de ecuaciones diferenciales y, también para promover la participación de los alumnos en el proceso de enseñanza y aprendizaje en el área de matemáticas de LIQA.</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El aprendizaje de las ecuaciones diferenciales requiere como requisito académico previo, cursar la asignatura de Cálculo Diferencial e Integral. Es una razón por la que los estudiantes del área de química, en algunas ocasiones le asignan de antemano un elevado grado de dificultad.</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un ambiente de confinamiento por el COVID-19 y en modalidad virtual, se han utilizado principalmente recursos disponibles en las plataformas mencionadas y otras actividades asincrónicas, para permitir de esta forma que los estudiantes con pocos recursos tecnológicos y el internet con baja estabilidad logren mantenerse durante la impartición del curso.</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Los libros de texto virtuales y los materiales elaborados específicamente para compartir en la plataforma de UADY-Virtual durante las sesiones por videoconferencia para lograr un mejor aprendizaje del curso.</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las sesiones mencionadas, se comparte en forma guiada dónde estudiar cada uno de los temas en el texto, cómo y para qué sirve en el área de química, y también se comparte la pizarra digital para el procedimiento de las técnicas o resolución de problemas contextualizados.</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Las actividades de práctica y estudio independiente, además de diversificar la presentación del tema, permite impulsar la autonomía del estudiante y fomentar su regulación en el aprendizaje, tal como se establece en UADY (2012), a través del Modelo Educativo de Formación Integral vigente, en el cual se declaran los lineamientos generales para impulsar la mejora continua del nivel de la calidad educativa, la innovación, la competitividad y se enfatiza también, la educación centrada en el aprendizaje que fomenta principalmente el aprender a aprender en forma autónoma y desde luego la promoción del desarrollo de las competencias del perfil de egreso que corresponden al programa educativo LIQA.</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Es importante mencionar que además se fomentan otras características de la formación integral entre otras, la responsabilidad por su propio aprendizaje, la comunicación oral y escrita y el trabajo en equipo.</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Cabe mencionar que los estudiantes tienen habilitados micrófono, cámara y chat durante las sesiones de clase para promover su participación durante las sesiones con preguntas, dudas y comentarios que faciliten el diálogo para promover la comprensión del tema.</w:t>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
          <w:color w:val="000000"/>
          <w:sz w:val="20"/>
          <w:szCs w:val="20"/>
          <w:lang w:val="es"/>
        </w:rPr>
        <w:t xml:space="preserve">II. </w:t>
      </w:r>
      <w:r>
        <w:rPr>
          <w:rFonts w:cs="Times New Roman" w:ascii="Times New Roman" w:hAnsi="Times New Roman"/>
          <w:b/>
          <w:color w:val="000000"/>
          <w:sz w:val="20"/>
          <w:szCs w:val="20"/>
          <w:lang w:val="es"/>
        </w:rPr>
        <w:t>METODOLOGÍA</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El referente conceptual en el que se inscribe la presente experiencia docente se sustenta esencialmente en el Modelo Educativo para la Formación Integral (MEFI) el cual es el modelo educativo vigente y sustenta todos los programas educativos del nivel superior de la UADY.</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Como se menciona en UADY (2012), entre las características principales del modelo se enfatiza que el estudiante es el actor principal y su formación integral se encuentra en el centro del modelo, el referente pedagógico es el constructivismo, se promueve la resolución de problemas en contexto o escenarios reales de aprendizaje.</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Es importante tener en cuenta que se menciona en forma explícita, la implementación entre los ejes principales: la innovación y la flexibilidad del aprendizaje así como, se promueve también la diversidad en las modalidades de estudio.</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En este trabajo</w:t>
      </w:r>
      <w:r>
        <w:rPr>
          <w:rFonts w:cs="Times New Roman" w:ascii="Times New Roman" w:hAnsi="Times New Roman"/>
          <w:color w:val="000000"/>
          <w:sz w:val="20"/>
          <w:szCs w:val="20"/>
          <w:lang w:val="es"/>
        </w:rPr>
        <w:t xml:space="preserve">, las opiniones de los estudiantes que participan en el curso a distancia de ED </w:t>
      </w:r>
      <w:r>
        <w:rPr>
          <w:rFonts w:cs="Times New Roman" w:ascii="Times New Roman" w:hAnsi="Times New Roman"/>
          <w:color w:val="000000"/>
          <w:sz w:val="20"/>
          <w:szCs w:val="20"/>
          <w:lang w:val="es"/>
        </w:rPr>
        <w:t>se recolectan</w:t>
      </w:r>
      <w:r>
        <w:rPr>
          <w:rFonts w:cs="Times New Roman" w:ascii="Times New Roman" w:hAnsi="Times New Roman"/>
          <w:color w:val="000000"/>
          <w:sz w:val="20"/>
          <w:szCs w:val="20"/>
          <w:lang w:val="es"/>
        </w:rPr>
        <w:t xml:space="preserve"> a través de </w:t>
      </w:r>
      <w:r>
        <w:rPr>
          <w:rFonts w:cs="Times New Roman" w:ascii="Times New Roman" w:hAnsi="Times New Roman"/>
          <w:color w:val="000000"/>
          <w:sz w:val="20"/>
          <w:szCs w:val="20"/>
          <w:lang w:val="es"/>
        </w:rPr>
        <w:t>una encuesta enviada a través de las plataformas institucionales Uady-Virtual</w:t>
      </w:r>
      <w:r>
        <w:rPr>
          <w:rFonts w:cs="Times New Roman" w:ascii="Times New Roman" w:hAnsi="Times New Roman"/>
          <w:color w:val="000000"/>
          <w:sz w:val="20"/>
          <w:szCs w:val="20"/>
          <w:lang w:val="es"/>
        </w:rPr>
        <w:t xml:space="preserve"> </w:t>
      </w:r>
      <w:r>
        <w:rPr>
          <w:rFonts w:cs="Times New Roman" w:ascii="Times New Roman" w:hAnsi="Times New Roman"/>
          <w:color w:val="000000"/>
          <w:sz w:val="20"/>
          <w:szCs w:val="20"/>
          <w:lang w:val="es"/>
        </w:rPr>
        <w:t>y Microsoft Teams.</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La población de estudio es el total de los 38 estudiantes de LIQA inscritos en el curso de ED</w:t>
      </w:r>
      <w:r>
        <w:rPr>
          <w:rFonts w:cs="Times New Roman" w:ascii="Times New Roman" w:hAnsi="Times New Roman"/>
          <w:color w:val="000000"/>
          <w:sz w:val="20"/>
          <w:szCs w:val="20"/>
          <w:lang w:val="es"/>
        </w:rPr>
        <w:t xml:space="preserve"> impartido en el período académico de agosto a diciembre de 2021.</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 xml:space="preserve">Dicho curso es de tipo obligatorio, modalidad mixta con ubicación en el tercer semestre. Se le asignan en total 64 horas presenciales, que corresponden a cuatro horas a la semana. </w:t>
      </w:r>
      <w:r>
        <w:rPr>
          <w:rFonts w:cs="Times New Roman" w:ascii="Times New Roman" w:hAnsi="Times New Roman"/>
          <w:color w:val="000000"/>
          <w:sz w:val="20"/>
          <w:szCs w:val="20"/>
        </w:rPr>
        <w:t>En apartado de resultados, se presenta la tabla 1 con la distribución de los resultados finales obtenidos, según los diferentes niveles de dominio.</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La muestra quedó conformada por el grupo de 34 estudiantes o sea aproximadamente el 89% de la población, los cuales respondieron de forma anónima y voluntaria a la</w:t>
      </w:r>
      <w:r>
        <w:rPr>
          <w:rFonts w:cs="Times New Roman" w:ascii="Times New Roman" w:hAnsi="Times New Roman"/>
          <w:color w:val="000000"/>
          <w:sz w:val="20"/>
          <w:szCs w:val="20"/>
          <w:lang w:val="es"/>
        </w:rPr>
        <w:t xml:space="preserve"> encuesta durante </w:t>
      </w:r>
      <w:r>
        <w:rPr>
          <w:rFonts w:cs="Times New Roman" w:ascii="Times New Roman" w:hAnsi="Times New Roman"/>
          <w:color w:val="000000"/>
          <w:sz w:val="20"/>
          <w:szCs w:val="20"/>
          <w:lang w:val="es"/>
        </w:rPr>
        <w:t>el período del 26 de enero al 2 de febrero de 2022. El</w:t>
      </w:r>
      <w:r>
        <w:rPr>
          <w:rFonts w:cs="Times New Roman" w:ascii="Times New Roman" w:hAnsi="Times New Roman"/>
          <w:color w:val="000000"/>
          <w:sz w:val="20"/>
          <w:szCs w:val="20"/>
          <w:lang w:val="es"/>
        </w:rPr>
        <w:t xml:space="preserve"> tiempo de respuesta promedio resultó ser de un minuto y cuarenta y seis segundos.</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Para finalizar el presente apartado, se presenta a continuación el contenido de</w:t>
      </w:r>
      <w:r>
        <w:rPr>
          <w:rFonts w:cs="Times New Roman" w:ascii="Times New Roman" w:hAnsi="Times New Roman"/>
          <w:bCs/>
          <w:color w:val="000000"/>
          <w:sz w:val="20"/>
          <w:szCs w:val="20"/>
        </w:rPr>
        <w:t xml:space="preserve"> la encuesta aplicada, en cual es idéntico al respondido por los estudiantes, aunque es necesario mencionar que se adaptó al formato que corresponde a</w:t>
      </w: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la aplicación Microsoft Forms</w:t>
      </w:r>
      <w:r>
        <w:rPr>
          <w:rFonts w:cs="Times New Roman" w:ascii="Times New Roman" w:hAnsi="Times New Roman"/>
          <w:color w:val="000000"/>
          <w:sz w:val="20"/>
          <w:szCs w:val="20"/>
        </w:rPr>
        <w:t>:</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El aprendizaje desde la perspectiva estudiantil en el curso de ecuaciones diferenciales.</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Objetivo: Conocer la opinión de los estudiantes acerca de su experiencia de aprendizaje en el curso virtual de ecuaciones diferenciales durante agosto-diciembre 2021</w:t>
      </w:r>
      <w:r>
        <w:rPr>
          <w:rFonts w:cs="Times New Roman" w:ascii="Times New Roman" w:hAnsi="Times New Roman"/>
          <w:i/>
          <w:iCs/>
          <w:color w:val="000000"/>
          <w:sz w:val="20"/>
          <w:szCs w:val="20"/>
        </w:rPr>
        <w:t>.</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Agradezco de antemano que dediquen unos minutos a contestar con sinceridad la siguiente encuesta. Los resultados serán muy valiosos para mejorar el curso virtual y conocer su opinión acerca de su experiencia virtual de aprendizaje, la cual es una modalidad requerida durante la actual pandemia de COVID-19.</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1.Indica el género al que perteneces:  </w:t>
      </w:r>
      <w:r>
        <w:rPr>
          <w:rFonts w:cs="Times New Roman" w:ascii="Times New Roman" w:hAnsi="Times New Roman"/>
          <w:b/>
          <w:bCs/>
          <w:color w:val="000000"/>
          <w:sz w:val="20"/>
          <w:szCs w:val="20"/>
        </w:rPr>
        <w:t>□</w:t>
      </w:r>
      <w:r>
        <w:rPr>
          <w:rFonts w:cs="Times New Roman" w:ascii="Times New Roman" w:hAnsi="Times New Roman"/>
          <w:color w:val="000000"/>
          <w:sz w:val="20"/>
          <w:szCs w:val="20"/>
        </w:rPr>
        <w:t xml:space="preserve">Femenino     </w:t>
      </w:r>
      <w:r>
        <w:rPr>
          <w:rFonts w:cs="Times New Roman" w:ascii="Times New Roman" w:hAnsi="Times New Roman"/>
          <w:b/>
          <w:bCs/>
          <w:color w:val="000000"/>
          <w:sz w:val="20"/>
          <w:szCs w:val="20"/>
        </w:rPr>
        <w:t>□</w:t>
      </w:r>
      <w:r>
        <w:rPr>
          <w:rFonts w:cs="Times New Roman" w:ascii="Times New Roman" w:hAnsi="Times New Roman"/>
          <w:color w:val="000000"/>
          <w:sz w:val="20"/>
          <w:szCs w:val="20"/>
        </w:rPr>
        <w:t>Masculino</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2.Indica cómo ayudó a tu aprendizaje, cada uno de los siguientes recursos usados en el curso virtual.</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Libros de texto del curso:</w:t>
      </w:r>
      <w:r>
        <w:rPr>
          <w:rFonts w:cs="Times New Roman" w:ascii="Times New Roman" w:hAnsi="Times New Roman"/>
          <w:color w:val="000000"/>
          <w:sz w:val="20"/>
          <w:szCs w:val="20"/>
        </w:rPr>
        <w:t xml:space="preserve"> </w:t>
      </w:r>
      <w:r>
        <w:rPr>
          <w:rFonts w:cs="Times New Roman" w:ascii="Times New Roman" w:hAnsi="Times New Roman"/>
          <w:b/>
          <w:bCs/>
          <w:color w:val="000000"/>
          <w:sz w:val="20"/>
          <w:szCs w:val="20"/>
        </w:rPr>
        <w:t>□</w:t>
      </w:r>
      <w:r>
        <w:rPr>
          <w:rFonts w:cs="Times New Roman" w:ascii="Times New Roman" w:hAnsi="Times New Roman"/>
          <w:color w:val="000000"/>
          <w:sz w:val="20"/>
          <w:szCs w:val="20"/>
        </w:rPr>
        <w:t xml:space="preserve">fue lo más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medianamente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fue menos útil</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Materiales de apoyo en UadyVirtual:</w:t>
      </w:r>
      <w:r>
        <w:rPr>
          <w:rFonts w:cs="Times New Roman" w:ascii="Times New Roman" w:hAnsi="Times New Roman"/>
          <w:color w:val="000000"/>
          <w:sz w:val="20"/>
          <w:szCs w:val="20"/>
        </w:rPr>
        <w:t xml:space="preserve"> </w:t>
      </w:r>
      <w:r>
        <w:rPr>
          <w:rFonts w:cs="Times New Roman" w:ascii="Times New Roman" w:hAnsi="Times New Roman"/>
          <w:b/>
          <w:bCs/>
          <w:color w:val="000000"/>
          <w:sz w:val="20"/>
          <w:szCs w:val="20"/>
        </w:rPr>
        <w:t>□</w:t>
      </w:r>
      <w:r>
        <w:rPr>
          <w:rFonts w:cs="Times New Roman" w:ascii="Times New Roman" w:hAnsi="Times New Roman"/>
          <w:color w:val="000000"/>
          <w:sz w:val="20"/>
          <w:szCs w:val="20"/>
        </w:rPr>
        <w:t xml:space="preserve">fue lo más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medianamente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fue menos útil</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Clases por videoconferencia:</w:t>
      </w:r>
      <w:r>
        <w:rPr>
          <w:rFonts w:cs="Times New Roman" w:ascii="Times New Roman" w:hAnsi="Times New Roman"/>
          <w:color w:val="000000"/>
          <w:sz w:val="20"/>
          <w:szCs w:val="20"/>
        </w:rPr>
        <w:t xml:space="preserve"> </w:t>
      </w:r>
      <w:r>
        <w:rPr>
          <w:rFonts w:cs="Times New Roman" w:ascii="Times New Roman" w:hAnsi="Times New Roman"/>
          <w:b/>
          <w:bCs/>
          <w:color w:val="000000"/>
          <w:sz w:val="20"/>
          <w:szCs w:val="20"/>
        </w:rPr>
        <w:t>□</w:t>
      </w:r>
      <w:r>
        <w:rPr>
          <w:rFonts w:cs="Times New Roman" w:ascii="Times New Roman" w:hAnsi="Times New Roman"/>
          <w:color w:val="000000"/>
          <w:sz w:val="20"/>
          <w:szCs w:val="20"/>
        </w:rPr>
        <w:t xml:space="preserve">fue lo más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medianamente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fue menos útil</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Recursos de Internet:</w:t>
      </w:r>
      <w:r>
        <w:rPr>
          <w:rFonts w:cs="Times New Roman" w:ascii="Times New Roman" w:hAnsi="Times New Roman"/>
          <w:color w:val="000000"/>
          <w:sz w:val="20"/>
          <w:szCs w:val="20"/>
        </w:rPr>
        <w:t xml:space="preserve"> </w:t>
      </w:r>
      <w:r>
        <w:rPr>
          <w:rFonts w:cs="Times New Roman" w:ascii="Times New Roman" w:hAnsi="Times New Roman"/>
          <w:b/>
          <w:bCs/>
          <w:color w:val="000000"/>
          <w:sz w:val="20"/>
          <w:szCs w:val="20"/>
        </w:rPr>
        <w:t>□</w:t>
      </w:r>
      <w:r>
        <w:rPr>
          <w:rFonts w:cs="Times New Roman" w:ascii="Times New Roman" w:hAnsi="Times New Roman"/>
          <w:color w:val="000000"/>
          <w:sz w:val="20"/>
          <w:szCs w:val="20"/>
        </w:rPr>
        <w:t xml:space="preserve">fue lo más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medianamente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fue menos útil</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3.Indica cómo ayudó a tu aprendizaje, cada una de las siguientes actividades de aprendizaje usadas en el curso virtual.</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Escribir la solución de los ejercicios de cada tema:</w:t>
      </w:r>
      <w:r>
        <w:rPr>
          <w:rFonts w:cs="Times New Roman" w:ascii="Times New Roman" w:hAnsi="Times New Roman"/>
          <w:color w:val="000000"/>
          <w:sz w:val="20"/>
          <w:szCs w:val="20"/>
        </w:rPr>
        <w:t xml:space="preserve"> </w:t>
      </w:r>
      <w:r>
        <w:rPr>
          <w:rFonts w:cs="Times New Roman" w:ascii="Times New Roman" w:hAnsi="Times New Roman"/>
          <w:b/>
          <w:bCs/>
          <w:color w:val="000000"/>
          <w:sz w:val="20"/>
          <w:szCs w:val="20"/>
        </w:rPr>
        <w:t>□</w:t>
      </w:r>
      <w:r>
        <w:rPr>
          <w:rFonts w:cs="Times New Roman" w:ascii="Times New Roman" w:hAnsi="Times New Roman"/>
          <w:color w:val="000000"/>
          <w:sz w:val="20"/>
          <w:szCs w:val="20"/>
        </w:rPr>
        <w:t xml:space="preserve">fue lo más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medianamente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fue menos útil</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Revisar videos externos en Youtube:</w:t>
      </w:r>
      <w:r>
        <w:rPr>
          <w:rFonts w:cs="Times New Roman" w:ascii="Times New Roman" w:hAnsi="Times New Roman"/>
          <w:color w:val="000000"/>
          <w:sz w:val="20"/>
          <w:szCs w:val="20"/>
        </w:rPr>
        <w:t xml:space="preserve"> </w:t>
      </w:r>
      <w:r>
        <w:rPr>
          <w:rFonts w:cs="Times New Roman" w:ascii="Times New Roman" w:hAnsi="Times New Roman"/>
          <w:b/>
          <w:bCs/>
          <w:color w:val="000000"/>
          <w:sz w:val="20"/>
          <w:szCs w:val="20"/>
        </w:rPr>
        <w:t>□</w:t>
      </w:r>
      <w:r>
        <w:rPr>
          <w:rFonts w:cs="Times New Roman" w:ascii="Times New Roman" w:hAnsi="Times New Roman"/>
          <w:color w:val="000000"/>
          <w:sz w:val="20"/>
          <w:szCs w:val="20"/>
        </w:rPr>
        <w:t xml:space="preserve">fue lo más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medianamente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fue menos útil</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Ver la solución de ejemplos en el pizarrón digital o en la grabación:</w:t>
      </w:r>
      <w:r>
        <w:rPr>
          <w:rFonts w:cs="Times New Roman" w:ascii="Times New Roman" w:hAnsi="Times New Roman"/>
          <w:color w:val="000000"/>
          <w:sz w:val="20"/>
          <w:szCs w:val="20"/>
        </w:rPr>
        <w:t xml:space="preserve"> </w:t>
      </w:r>
      <w:r>
        <w:rPr>
          <w:rFonts w:cs="Times New Roman" w:ascii="Times New Roman" w:hAnsi="Times New Roman"/>
          <w:b/>
          <w:bCs/>
          <w:color w:val="000000"/>
          <w:sz w:val="20"/>
          <w:szCs w:val="20"/>
        </w:rPr>
        <w:t>□</w:t>
      </w:r>
      <w:r>
        <w:rPr>
          <w:rFonts w:cs="Times New Roman" w:ascii="Times New Roman" w:hAnsi="Times New Roman"/>
          <w:color w:val="000000"/>
          <w:sz w:val="20"/>
          <w:szCs w:val="20"/>
        </w:rPr>
        <w:t xml:space="preserve">fue lo más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medianamente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fue menos útil</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Estudiar el tema en los libros de texto:</w:t>
      </w:r>
      <w:r>
        <w:rPr>
          <w:rFonts w:cs="Times New Roman" w:ascii="Times New Roman" w:hAnsi="Times New Roman"/>
          <w:color w:val="000000"/>
          <w:sz w:val="20"/>
          <w:szCs w:val="20"/>
        </w:rPr>
        <w:t xml:space="preserve"> </w:t>
      </w:r>
      <w:r>
        <w:rPr>
          <w:rFonts w:cs="Times New Roman" w:ascii="Times New Roman" w:hAnsi="Times New Roman"/>
          <w:b/>
          <w:bCs/>
          <w:color w:val="000000"/>
          <w:sz w:val="20"/>
          <w:szCs w:val="20"/>
        </w:rPr>
        <w:t>□</w:t>
      </w:r>
      <w:r>
        <w:rPr>
          <w:rFonts w:cs="Times New Roman" w:ascii="Times New Roman" w:hAnsi="Times New Roman"/>
          <w:color w:val="000000"/>
          <w:sz w:val="20"/>
          <w:szCs w:val="20"/>
        </w:rPr>
        <w:t xml:space="preserve">fue lo más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medianamente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fue menos útil</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4.Indica cómo ayudó a tu aprendizaje, cada una de las siguientes actividades de evaluación usadas en el curso virtual.</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Carpeta de Evidencia en cada unidad:</w:t>
      </w:r>
      <w:r>
        <w:rPr>
          <w:rFonts w:cs="Times New Roman" w:ascii="Times New Roman" w:hAnsi="Times New Roman"/>
          <w:color w:val="000000"/>
          <w:sz w:val="20"/>
          <w:szCs w:val="20"/>
        </w:rPr>
        <w:t xml:space="preserve"> </w:t>
      </w:r>
      <w:r>
        <w:rPr>
          <w:rFonts w:cs="Times New Roman" w:ascii="Times New Roman" w:hAnsi="Times New Roman"/>
          <w:b/>
          <w:bCs/>
          <w:color w:val="000000"/>
          <w:sz w:val="20"/>
          <w:szCs w:val="20"/>
        </w:rPr>
        <w:t>□</w:t>
      </w:r>
      <w:r>
        <w:rPr>
          <w:rFonts w:cs="Times New Roman" w:ascii="Times New Roman" w:hAnsi="Times New Roman"/>
          <w:color w:val="000000"/>
          <w:sz w:val="20"/>
          <w:szCs w:val="20"/>
        </w:rPr>
        <w:t xml:space="preserve">fue lo más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medianamente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fue menos útil</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Finalizar los ejercicios y revisarlos en la siguiente sesión:</w:t>
      </w:r>
      <w:r>
        <w:rPr>
          <w:rFonts w:cs="Times New Roman" w:ascii="Times New Roman" w:hAnsi="Times New Roman"/>
          <w:color w:val="000000"/>
          <w:sz w:val="20"/>
          <w:szCs w:val="20"/>
        </w:rPr>
        <w:t xml:space="preserve"> </w:t>
      </w:r>
      <w:r>
        <w:rPr>
          <w:rFonts w:cs="Times New Roman" w:ascii="Times New Roman" w:hAnsi="Times New Roman"/>
          <w:b/>
          <w:bCs/>
          <w:color w:val="000000"/>
          <w:sz w:val="20"/>
          <w:szCs w:val="20"/>
        </w:rPr>
        <w:t>□</w:t>
      </w:r>
      <w:r>
        <w:rPr>
          <w:rFonts w:cs="Times New Roman" w:ascii="Times New Roman" w:hAnsi="Times New Roman"/>
          <w:color w:val="000000"/>
          <w:sz w:val="20"/>
          <w:szCs w:val="20"/>
        </w:rPr>
        <w:t xml:space="preserve">fue lo más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medianamente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fue menos útil</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Elaborar tablas, resumen o trabajos independientes del examen:</w:t>
      </w:r>
      <w:r>
        <w:rPr>
          <w:rFonts w:cs="Times New Roman" w:ascii="Times New Roman" w:hAnsi="Times New Roman"/>
          <w:color w:val="000000"/>
          <w:sz w:val="20"/>
          <w:szCs w:val="20"/>
        </w:rPr>
        <w:t xml:space="preserve"> </w:t>
      </w:r>
      <w:r>
        <w:rPr>
          <w:rFonts w:cs="Times New Roman" w:ascii="Times New Roman" w:hAnsi="Times New Roman"/>
          <w:b/>
          <w:bCs/>
          <w:color w:val="000000"/>
          <w:sz w:val="20"/>
          <w:szCs w:val="20"/>
        </w:rPr>
        <w:t>□</w:t>
      </w:r>
      <w:r>
        <w:rPr>
          <w:rFonts w:cs="Times New Roman" w:ascii="Times New Roman" w:hAnsi="Times New Roman"/>
          <w:color w:val="000000"/>
          <w:sz w:val="20"/>
          <w:szCs w:val="20"/>
        </w:rPr>
        <w:t xml:space="preserve">fue lo más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medianamente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fue menos útil</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Actividad de Evaluación (examen) para cada unidad:</w:t>
      </w:r>
      <w:r>
        <w:rPr>
          <w:rFonts w:cs="Times New Roman" w:ascii="Times New Roman" w:hAnsi="Times New Roman"/>
          <w:color w:val="000000"/>
          <w:sz w:val="20"/>
          <w:szCs w:val="20"/>
        </w:rPr>
        <w:t xml:space="preserve"> </w:t>
      </w:r>
      <w:r>
        <w:rPr>
          <w:rFonts w:cs="Times New Roman" w:ascii="Times New Roman" w:hAnsi="Times New Roman"/>
          <w:b/>
          <w:bCs/>
          <w:color w:val="000000"/>
          <w:sz w:val="20"/>
          <w:szCs w:val="20"/>
        </w:rPr>
        <w:t>□</w:t>
      </w:r>
      <w:r>
        <w:rPr>
          <w:rFonts w:cs="Times New Roman" w:ascii="Times New Roman" w:hAnsi="Times New Roman"/>
          <w:color w:val="000000"/>
          <w:sz w:val="20"/>
          <w:szCs w:val="20"/>
        </w:rPr>
        <w:t xml:space="preserve">fue lo más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 xml:space="preserve">fue medianamente útil  </w:t>
      </w:r>
      <w:r>
        <w:rPr>
          <w:rFonts w:cs="Times New Roman" w:ascii="Times New Roman" w:hAnsi="Times New Roman"/>
          <w:b/>
          <w:bCs/>
          <w:color w:val="000000"/>
          <w:sz w:val="20"/>
          <w:szCs w:val="20"/>
        </w:rPr>
        <w:t>□</w:t>
      </w:r>
      <w:r>
        <w:rPr>
          <w:rFonts w:eastAsia="Times New Roman" w:cs="Times New Roman" w:ascii="Times New Roman" w:hAnsi="Times New Roman"/>
          <w:color w:val="000000"/>
          <w:sz w:val="20"/>
          <w:szCs w:val="20"/>
          <w:lang w:eastAsia="es-MX"/>
        </w:rPr>
        <w:t>fue menos útil</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 xml:space="preserve">5. </w:t>
      </w:r>
      <w:r>
        <w:rPr>
          <w:rFonts w:cs="Times New Roman" w:ascii="Times New Roman" w:hAnsi="Times New Roman"/>
          <w:color w:val="000000"/>
          <w:sz w:val="20"/>
          <w:szCs w:val="20"/>
          <w:shd w:fill="FFFFFF" w:val="clear"/>
        </w:rPr>
        <w:t>Agradecemos tu participación en la encuesta, y dejamos abierto este espacio para comentarios y sugerencias.</w:t>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
          <w:color w:val="000000"/>
          <w:sz w:val="20"/>
          <w:szCs w:val="20"/>
          <w:lang w:val="es"/>
        </w:rPr>
        <w:t xml:space="preserve">III. </w:t>
      </w:r>
      <w:r>
        <w:rPr>
          <w:rFonts w:cs="Times New Roman" w:ascii="Times New Roman" w:hAnsi="Times New Roman"/>
          <w:b/>
          <w:color w:val="000000"/>
          <w:sz w:val="20"/>
          <w:szCs w:val="20"/>
          <w:lang w:val="es"/>
        </w:rPr>
        <w:t>RESULTADOS</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La encuesta fue respondida por 16 (47%) de mujeres y 18 (53%) de hombres, lo que permite observar que la muestra contiene buena representación de opiniones de mujeres y hombres participantes. Este apartado se divide en dos partes.</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la primera parte, en particular en la tabla 1 se presentan los resultados obtenidos del desempeño académico de todo el grupo completo de Ecuaciones Diferenciales-LIQA.</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El porcentaje o tasa de acreditación es 92%, pues 35 estudiantes acreditaron del total de 38 estudiantes inscritos y se obtuvo 84.6 de promedio de las calificaciones finales o rendimiento académico.</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center"/>
        <w:rPr>
          <w:rFonts w:ascii="Times New Roman" w:hAnsi="Times New Roman"/>
          <w:b/>
          <w:b/>
          <w:bCs/>
          <w:color w:val="000000"/>
          <w:sz w:val="20"/>
          <w:szCs w:val="20"/>
        </w:rPr>
      </w:pPr>
      <w:r>
        <w:rPr>
          <w:rFonts w:cs="Times New Roman" w:ascii="Times New Roman" w:hAnsi="Times New Roman"/>
          <w:b/>
          <w:bCs/>
          <w:color w:val="000000"/>
          <w:sz w:val="20"/>
          <w:szCs w:val="20"/>
        </w:rPr>
        <w:t>Tabla 1 Estudiantes según Nivel de Dominio. Fuente: Elaboración propia.</w:t>
      </w:r>
    </w:p>
    <w:tbl>
      <w:tblPr>
        <w:tblStyle w:val="Tablaconcuadrcula"/>
        <w:tblW w:w="4564" w:type="dxa"/>
        <w:jc w:val="left"/>
        <w:tblInd w:w="1" w:type="dxa"/>
        <w:tblLayout w:type="fixed"/>
        <w:tblCellMar>
          <w:top w:w="0" w:type="dxa"/>
          <w:left w:w="108" w:type="dxa"/>
          <w:bottom w:w="0" w:type="dxa"/>
          <w:right w:w="108" w:type="dxa"/>
        </w:tblCellMar>
        <w:tblLook w:val="04a0" w:noHBand="0" w:noVBand="1" w:firstColumn="1" w:lastRow="0" w:lastColumn="0" w:firstRow="1"/>
      </w:tblPr>
      <w:tblGrid>
        <w:gridCol w:w="2282"/>
        <w:gridCol w:w="2281"/>
      </w:tblGrid>
      <w:tr>
        <w:trPr/>
        <w:tc>
          <w:tcPr>
            <w:tcW w:w="2282" w:type="dxa"/>
            <w:tcBorders/>
          </w:tcPr>
          <w:p>
            <w:pPr>
              <w:pStyle w:val="Normal"/>
              <w:widowControl/>
              <w:spacing w:lineRule="auto" w:line="240" w:before="0" w:after="0"/>
              <w:ind w:left="0" w:right="0" w:hanging="0"/>
              <w:jc w:val="center"/>
              <w:rPr>
                <w:rFonts w:ascii="Times New Roman" w:hAnsi="Times New Roman" w:eastAsia="Calibri" w:cs="Times New Roman"/>
                <w:b/>
                <w:b/>
                <w:bCs/>
                <w:color w:val="000000"/>
                <w:kern w:val="0"/>
                <w:sz w:val="12"/>
                <w:szCs w:val="12"/>
                <w:lang w:val="es-MX" w:eastAsia="en-US" w:bidi="ar-SA"/>
              </w:rPr>
            </w:pPr>
            <w:r>
              <w:rPr>
                <w:rFonts w:eastAsia="Calibri" w:cs="Times New Roman" w:ascii="Times New Roman" w:hAnsi="Times New Roman"/>
                <w:b/>
                <w:bCs/>
                <w:color w:val="000000"/>
                <w:kern w:val="0"/>
                <w:sz w:val="12"/>
                <w:szCs w:val="12"/>
                <w:lang w:val="es-MX" w:eastAsia="en-US" w:bidi="ar-SA"/>
              </w:rPr>
              <w:t>Nivel de Dominio</w:t>
            </w:r>
          </w:p>
        </w:tc>
        <w:tc>
          <w:tcPr>
            <w:tcW w:w="2281" w:type="dxa"/>
            <w:tcBorders/>
          </w:tcPr>
          <w:p>
            <w:pPr>
              <w:pStyle w:val="Normal"/>
              <w:widowControl/>
              <w:spacing w:lineRule="auto" w:line="240" w:before="0" w:after="0"/>
              <w:ind w:left="0" w:right="0" w:hanging="0"/>
              <w:jc w:val="center"/>
              <w:rPr>
                <w:rFonts w:ascii="Times New Roman" w:hAnsi="Times New Roman" w:eastAsia="Calibri" w:cs="Times New Roman"/>
                <w:b/>
                <w:b/>
                <w:bCs/>
                <w:color w:val="000000"/>
                <w:kern w:val="0"/>
                <w:sz w:val="12"/>
                <w:szCs w:val="12"/>
                <w:lang w:val="es-MX" w:eastAsia="en-US" w:bidi="ar-SA"/>
              </w:rPr>
            </w:pPr>
            <w:r>
              <w:rPr>
                <w:rFonts w:eastAsia="Calibri" w:cs="Times New Roman" w:ascii="Times New Roman" w:hAnsi="Times New Roman"/>
                <w:b/>
                <w:bCs/>
                <w:color w:val="000000"/>
                <w:kern w:val="0"/>
                <w:sz w:val="12"/>
                <w:szCs w:val="12"/>
                <w:lang w:val="es-MX" w:eastAsia="en-US" w:bidi="ar-SA"/>
              </w:rPr>
              <w:t>Número de estudiantes del grupo</w:t>
            </w:r>
          </w:p>
        </w:tc>
      </w:tr>
      <w:tr>
        <w:trPr/>
        <w:tc>
          <w:tcPr>
            <w:tcW w:w="2282" w:type="dxa"/>
            <w:tcBorders/>
          </w:tcPr>
          <w:p>
            <w:pPr>
              <w:pStyle w:val="Normal"/>
              <w:widowControl/>
              <w:spacing w:lineRule="auto" w:line="240" w:before="0" w:after="0"/>
              <w:ind w:left="0" w:right="0" w:hanging="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Sobresaliente (90-100)</w:t>
            </w:r>
          </w:p>
        </w:tc>
        <w:tc>
          <w:tcPr>
            <w:tcW w:w="2281" w:type="dxa"/>
            <w:tcBorders/>
          </w:tcPr>
          <w:p>
            <w:pPr>
              <w:pStyle w:val="Normal"/>
              <w:widowControl/>
              <w:spacing w:lineRule="auto" w:line="240" w:before="0" w:after="0"/>
              <w:ind w:left="0" w:right="0" w:hanging="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22 (58%)</w:t>
            </w:r>
          </w:p>
        </w:tc>
      </w:tr>
      <w:tr>
        <w:trPr/>
        <w:tc>
          <w:tcPr>
            <w:tcW w:w="2282" w:type="dxa"/>
            <w:tcBorders/>
          </w:tcPr>
          <w:p>
            <w:pPr>
              <w:pStyle w:val="Normal"/>
              <w:widowControl/>
              <w:spacing w:lineRule="auto" w:line="240" w:before="0" w:after="0"/>
              <w:ind w:left="0" w:right="0" w:hanging="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Satisfactorio (80-89</w:t>
            </w:r>
          </w:p>
        </w:tc>
        <w:tc>
          <w:tcPr>
            <w:tcW w:w="2281" w:type="dxa"/>
            <w:tcBorders/>
          </w:tcPr>
          <w:p>
            <w:pPr>
              <w:pStyle w:val="Normal"/>
              <w:widowControl/>
              <w:spacing w:lineRule="auto" w:line="240" w:before="0" w:after="0"/>
              <w:ind w:left="0" w:right="0" w:hanging="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10 (26%)</w:t>
            </w:r>
          </w:p>
        </w:tc>
      </w:tr>
      <w:tr>
        <w:trPr/>
        <w:tc>
          <w:tcPr>
            <w:tcW w:w="2282" w:type="dxa"/>
            <w:tcBorders/>
          </w:tcPr>
          <w:p>
            <w:pPr>
              <w:pStyle w:val="Normal"/>
              <w:widowControl/>
              <w:spacing w:lineRule="auto" w:line="240" w:before="0" w:after="0"/>
              <w:ind w:left="0" w:right="0" w:hanging="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Suficiente (70-79)</w:t>
            </w:r>
          </w:p>
        </w:tc>
        <w:tc>
          <w:tcPr>
            <w:tcW w:w="2281" w:type="dxa"/>
            <w:tcBorders/>
          </w:tcPr>
          <w:p>
            <w:pPr>
              <w:pStyle w:val="Normal"/>
              <w:widowControl/>
              <w:spacing w:lineRule="auto" w:line="240" w:before="0" w:after="0"/>
              <w:ind w:left="0" w:right="0" w:hanging="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3 (8%)</w:t>
            </w:r>
          </w:p>
        </w:tc>
      </w:tr>
      <w:tr>
        <w:trPr/>
        <w:tc>
          <w:tcPr>
            <w:tcW w:w="2282" w:type="dxa"/>
            <w:tcBorders/>
          </w:tcPr>
          <w:p>
            <w:pPr>
              <w:pStyle w:val="Normal"/>
              <w:widowControl/>
              <w:spacing w:lineRule="auto" w:line="240" w:before="0" w:after="0"/>
              <w:ind w:left="0" w:right="0" w:hanging="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No acreditado</w:t>
            </w:r>
          </w:p>
        </w:tc>
        <w:tc>
          <w:tcPr>
            <w:tcW w:w="2281" w:type="dxa"/>
            <w:tcBorders/>
          </w:tcPr>
          <w:p>
            <w:pPr>
              <w:pStyle w:val="Normal"/>
              <w:widowControl/>
              <w:spacing w:lineRule="auto" w:line="240" w:before="0" w:after="0"/>
              <w:ind w:left="0" w:right="0" w:hanging="0"/>
              <w:jc w:val="center"/>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3(8%)</w:t>
            </w:r>
          </w:p>
        </w:tc>
      </w:tr>
    </w:tbl>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la segunda parte, se presentan los resultados de las opiniones de los estudiantes que forman parte de la muestra. La encuesta fue respondida por 16 (47%) de mujeres y 18 (53%) de hombres, lo que permite observar que la muestra contiene buena representación de opiniones de mujeres y hombres participantes.</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la Tabla 2, se muestran las proporciones de los estudiantes según su opinión acerca de la utilidad de los recursos para su aprendizaje de ecuaciones diferenciales.</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center"/>
        <w:rPr>
          <w:rFonts w:ascii="Times New Roman" w:hAnsi="Times New Roman"/>
          <w:b/>
          <w:b/>
          <w:bCs/>
          <w:color w:val="000000"/>
          <w:sz w:val="20"/>
          <w:szCs w:val="20"/>
        </w:rPr>
      </w:pPr>
      <w:r>
        <w:rPr>
          <w:rFonts w:cs="Times New Roman" w:ascii="Times New Roman" w:hAnsi="Times New Roman"/>
          <w:b/>
          <w:bCs/>
          <w:color w:val="000000"/>
          <w:sz w:val="20"/>
          <w:szCs w:val="20"/>
        </w:rPr>
        <w:t>Tabla 2 Distribución según los recursos usados en ED-LIQA. Fuente: Elaboración propia.</w:t>
      </w:r>
    </w:p>
    <w:tbl>
      <w:tblPr>
        <w:tblStyle w:val="Tablaconcuadrcula"/>
        <w:tblW w:w="4564" w:type="dxa"/>
        <w:jc w:val="left"/>
        <w:tblInd w:w="1" w:type="dxa"/>
        <w:tblLayout w:type="fixed"/>
        <w:tblCellMar>
          <w:top w:w="0" w:type="dxa"/>
          <w:left w:w="108" w:type="dxa"/>
          <w:bottom w:w="0" w:type="dxa"/>
          <w:right w:w="108" w:type="dxa"/>
        </w:tblCellMar>
        <w:tblLook w:val="04a0" w:noHBand="0" w:noVBand="1" w:firstColumn="1" w:lastRow="0" w:lastColumn="0" w:firstRow="1"/>
      </w:tblPr>
      <w:tblGrid>
        <w:gridCol w:w="983"/>
        <w:gridCol w:w="951"/>
        <w:gridCol w:w="695"/>
        <w:gridCol w:w="1035"/>
        <w:gridCol w:w="900"/>
      </w:tblGrid>
      <w:tr>
        <w:trPr>
          <w:trHeight w:val="395" w:hRule="atLeast"/>
        </w:trPr>
        <w:tc>
          <w:tcPr>
            <w:tcW w:w="983" w:type="dxa"/>
            <w:tcBorders/>
            <w:vAlign w:val="center"/>
          </w:tcPr>
          <w:p>
            <w:pPr>
              <w:pStyle w:val="Normal"/>
              <w:widowControl/>
              <w:spacing w:lineRule="auto" w:line="240" w:before="0" w:after="0"/>
              <w:ind w:left="0" w:right="0" w:hanging="0"/>
              <w:jc w:val="both"/>
              <w:rPr>
                <w:rFonts w:ascii="Times New Roman" w:hAnsi="Times New Roman" w:eastAsia="Calibri" w:cs="Times New Roman"/>
                <w:b/>
                <w:b/>
                <w:bCs/>
                <w:color w:val="000000"/>
                <w:kern w:val="0"/>
                <w:sz w:val="12"/>
                <w:szCs w:val="12"/>
                <w:lang w:val="es-MX" w:eastAsia="en-US" w:bidi="ar-SA"/>
              </w:rPr>
            </w:pPr>
            <w:r>
              <w:rPr>
                <w:rFonts w:eastAsia="Calibri" w:cs="Times New Roman" w:ascii="Times New Roman" w:hAnsi="Times New Roman"/>
                <w:b/>
                <w:bCs/>
                <w:color w:val="000000"/>
                <w:kern w:val="0"/>
                <w:sz w:val="12"/>
                <w:szCs w:val="12"/>
                <w:lang w:val="es-MX" w:eastAsia="en-US" w:bidi="ar-SA"/>
              </w:rPr>
              <w:t>Recursos</w:t>
            </w:r>
          </w:p>
        </w:tc>
        <w:tc>
          <w:tcPr>
            <w:tcW w:w="951" w:type="dxa"/>
            <w:tcBorders/>
            <w:vAlign w:val="center"/>
          </w:tcPr>
          <w:p>
            <w:pPr>
              <w:pStyle w:val="Normal"/>
              <w:widowControl/>
              <w:spacing w:lineRule="auto" w:line="240" w:before="0" w:after="0"/>
              <w:ind w:left="0" w:right="0" w:hanging="0"/>
              <w:jc w:val="both"/>
              <w:rPr>
                <w:rFonts w:ascii="Times New Roman" w:hAnsi="Times New Roman" w:eastAsia="Calibri" w:cs="Times New Roman"/>
                <w:b/>
                <w:b/>
                <w:bCs/>
                <w:color w:val="000000"/>
                <w:kern w:val="0"/>
                <w:sz w:val="12"/>
                <w:szCs w:val="12"/>
                <w:lang w:val="es-MX" w:eastAsia="en-US" w:bidi="ar-SA"/>
              </w:rPr>
            </w:pPr>
            <w:r>
              <w:rPr>
                <w:rFonts w:eastAsia="Calibri" w:cs="Times New Roman" w:ascii="Times New Roman" w:hAnsi="Times New Roman"/>
                <w:b/>
                <w:bCs/>
                <w:color w:val="000000"/>
                <w:kern w:val="0"/>
                <w:sz w:val="12"/>
                <w:szCs w:val="12"/>
                <w:lang w:val="es-MX" w:eastAsia="en-US" w:bidi="ar-SA"/>
              </w:rPr>
              <w:t>Fue lo más útil</w:t>
            </w:r>
          </w:p>
        </w:tc>
        <w:tc>
          <w:tcPr>
            <w:tcW w:w="695" w:type="dxa"/>
            <w:tcBorders/>
            <w:vAlign w:val="center"/>
          </w:tcPr>
          <w:p>
            <w:pPr>
              <w:pStyle w:val="Normal"/>
              <w:widowControl/>
              <w:spacing w:lineRule="auto" w:line="240" w:before="0" w:after="0"/>
              <w:ind w:left="0" w:right="0" w:hanging="0"/>
              <w:jc w:val="both"/>
              <w:rPr>
                <w:rFonts w:ascii="Times New Roman" w:hAnsi="Times New Roman" w:eastAsia="Calibri" w:cs="Times New Roman"/>
                <w:b/>
                <w:b/>
                <w:bCs/>
                <w:color w:val="000000"/>
                <w:kern w:val="0"/>
                <w:sz w:val="12"/>
                <w:szCs w:val="12"/>
                <w:lang w:val="es-MX" w:eastAsia="en-US" w:bidi="ar-SA"/>
              </w:rPr>
            </w:pPr>
            <w:r>
              <w:rPr>
                <w:rFonts w:eastAsia="Calibri" w:cs="Times New Roman" w:ascii="Times New Roman" w:hAnsi="Times New Roman"/>
                <w:b/>
                <w:bCs/>
                <w:color w:val="000000"/>
                <w:kern w:val="0"/>
                <w:sz w:val="12"/>
                <w:szCs w:val="12"/>
                <w:lang w:val="es-MX" w:eastAsia="en-US" w:bidi="ar-SA"/>
              </w:rPr>
              <w:t>Fue útil</w:t>
            </w:r>
          </w:p>
        </w:tc>
        <w:tc>
          <w:tcPr>
            <w:tcW w:w="1035" w:type="dxa"/>
            <w:tcBorders/>
            <w:vAlign w:val="center"/>
          </w:tcPr>
          <w:p>
            <w:pPr>
              <w:pStyle w:val="Normal"/>
              <w:widowControl/>
              <w:spacing w:lineRule="auto" w:line="240" w:before="0" w:after="0"/>
              <w:ind w:left="0" w:right="0" w:hanging="0"/>
              <w:jc w:val="both"/>
              <w:rPr>
                <w:rFonts w:ascii="Times New Roman" w:hAnsi="Times New Roman" w:eastAsia="Calibri" w:cs="Times New Roman"/>
                <w:b/>
                <w:b/>
                <w:bCs/>
                <w:color w:val="000000"/>
                <w:kern w:val="0"/>
                <w:sz w:val="12"/>
                <w:szCs w:val="12"/>
                <w:lang w:val="es-MX" w:eastAsia="en-US" w:bidi="ar-SA"/>
              </w:rPr>
            </w:pPr>
            <w:r>
              <w:rPr>
                <w:rFonts w:eastAsia="Calibri" w:cs="Times New Roman" w:ascii="Times New Roman" w:hAnsi="Times New Roman"/>
                <w:b/>
                <w:bCs/>
                <w:color w:val="000000"/>
                <w:kern w:val="0"/>
                <w:sz w:val="12"/>
                <w:szCs w:val="12"/>
                <w:lang w:val="es-MX" w:eastAsia="en-US" w:bidi="ar-SA"/>
              </w:rPr>
              <w:t>Fue medianamente util</w:t>
            </w:r>
          </w:p>
        </w:tc>
        <w:tc>
          <w:tcPr>
            <w:tcW w:w="900" w:type="dxa"/>
            <w:tcBorders/>
            <w:vAlign w:val="center"/>
          </w:tcPr>
          <w:p>
            <w:pPr>
              <w:pStyle w:val="Normal"/>
              <w:widowControl/>
              <w:spacing w:lineRule="auto" w:line="240" w:before="0" w:after="0"/>
              <w:ind w:left="0" w:right="0" w:hanging="0"/>
              <w:jc w:val="both"/>
              <w:rPr>
                <w:rFonts w:ascii="Times New Roman" w:hAnsi="Times New Roman" w:eastAsia="Calibri" w:cs="Times New Roman"/>
                <w:b/>
                <w:b/>
                <w:bCs/>
                <w:color w:val="000000"/>
                <w:kern w:val="0"/>
                <w:sz w:val="12"/>
                <w:szCs w:val="12"/>
                <w:lang w:val="es-MX" w:eastAsia="en-US" w:bidi="ar-SA"/>
              </w:rPr>
            </w:pPr>
            <w:r>
              <w:rPr>
                <w:rFonts w:eastAsia="Calibri" w:cs="Times New Roman" w:ascii="Times New Roman" w:hAnsi="Times New Roman"/>
                <w:b/>
                <w:bCs/>
                <w:color w:val="000000"/>
                <w:kern w:val="0"/>
                <w:sz w:val="12"/>
                <w:szCs w:val="12"/>
                <w:lang w:val="es-MX" w:eastAsia="en-US" w:bidi="ar-SA"/>
              </w:rPr>
              <w:t>Fue menos útil</w:t>
            </w:r>
          </w:p>
        </w:tc>
      </w:tr>
      <w:tr>
        <w:trPr>
          <w:trHeight w:val="393" w:hRule="atLeast"/>
        </w:trPr>
        <w:tc>
          <w:tcPr>
            <w:tcW w:w="983"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Libros de texto del curso</w:t>
            </w:r>
          </w:p>
        </w:tc>
        <w:tc>
          <w:tcPr>
            <w:tcW w:w="951"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38.2%</w:t>
            </w:r>
          </w:p>
        </w:tc>
        <w:tc>
          <w:tcPr>
            <w:tcW w:w="69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52.9%</w:t>
            </w:r>
          </w:p>
        </w:tc>
        <w:tc>
          <w:tcPr>
            <w:tcW w:w="103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5.9%</w:t>
            </w:r>
          </w:p>
        </w:tc>
        <w:tc>
          <w:tcPr>
            <w:tcW w:w="900"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2.9%</w:t>
            </w:r>
          </w:p>
        </w:tc>
      </w:tr>
      <w:tr>
        <w:trPr>
          <w:trHeight w:val="393" w:hRule="atLeast"/>
        </w:trPr>
        <w:tc>
          <w:tcPr>
            <w:tcW w:w="983"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Materiales de apoyo en UadyVirtual</w:t>
            </w:r>
          </w:p>
        </w:tc>
        <w:tc>
          <w:tcPr>
            <w:tcW w:w="951"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50%</w:t>
            </w:r>
          </w:p>
        </w:tc>
        <w:tc>
          <w:tcPr>
            <w:tcW w:w="69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44.1%</w:t>
            </w:r>
          </w:p>
        </w:tc>
        <w:tc>
          <w:tcPr>
            <w:tcW w:w="103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5.9%</w:t>
            </w:r>
          </w:p>
        </w:tc>
        <w:tc>
          <w:tcPr>
            <w:tcW w:w="900"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w:t>
            </w:r>
          </w:p>
        </w:tc>
      </w:tr>
      <w:tr>
        <w:trPr>
          <w:trHeight w:val="393" w:hRule="atLeast"/>
        </w:trPr>
        <w:tc>
          <w:tcPr>
            <w:tcW w:w="983"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Clases por videoconferencia</w:t>
            </w:r>
          </w:p>
        </w:tc>
        <w:tc>
          <w:tcPr>
            <w:tcW w:w="951"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88.2%</w:t>
            </w:r>
          </w:p>
        </w:tc>
        <w:tc>
          <w:tcPr>
            <w:tcW w:w="69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11.8%%</w:t>
            </w:r>
          </w:p>
        </w:tc>
        <w:tc>
          <w:tcPr>
            <w:tcW w:w="103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w:t>
            </w:r>
          </w:p>
        </w:tc>
        <w:tc>
          <w:tcPr>
            <w:tcW w:w="900"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w:t>
            </w:r>
          </w:p>
        </w:tc>
      </w:tr>
      <w:tr>
        <w:trPr>
          <w:trHeight w:val="393" w:hRule="atLeast"/>
        </w:trPr>
        <w:tc>
          <w:tcPr>
            <w:tcW w:w="983"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Recursos de Internet</w:t>
            </w:r>
          </w:p>
        </w:tc>
        <w:tc>
          <w:tcPr>
            <w:tcW w:w="951"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38.2%</w:t>
            </w:r>
          </w:p>
        </w:tc>
        <w:tc>
          <w:tcPr>
            <w:tcW w:w="69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41.2%</w:t>
            </w:r>
          </w:p>
        </w:tc>
        <w:tc>
          <w:tcPr>
            <w:tcW w:w="103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20.6%</w:t>
            </w:r>
          </w:p>
        </w:tc>
        <w:tc>
          <w:tcPr>
            <w:tcW w:w="900"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w:t>
            </w:r>
          </w:p>
        </w:tc>
      </w:tr>
    </w:tbl>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La Tabla 3 consiste en las proporciones de los estudiantes según el nivel de utilidad para su aprendizaje de ecuaciones diferenciales, en relación con algunas de las actividades realizadas durante el curso.</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center"/>
        <w:rPr>
          <w:rFonts w:ascii="Times New Roman" w:hAnsi="Times New Roman"/>
          <w:b/>
          <w:b/>
          <w:bCs/>
          <w:color w:val="000000"/>
          <w:sz w:val="20"/>
          <w:szCs w:val="20"/>
        </w:rPr>
      </w:pPr>
      <w:r>
        <w:rPr>
          <w:rFonts w:cs="Times New Roman" w:ascii="Times New Roman" w:hAnsi="Times New Roman"/>
          <w:b/>
          <w:bCs/>
          <w:color w:val="000000"/>
          <w:sz w:val="20"/>
          <w:szCs w:val="20"/>
        </w:rPr>
        <w:t>Tabla 3 Distribución según las actividades realizadas en ED-LIQA. Fuente: Elaboración propia.</w:t>
      </w:r>
    </w:p>
    <w:tbl>
      <w:tblPr>
        <w:tblStyle w:val="Tablaconcuadrcula"/>
        <w:tblW w:w="4564" w:type="dxa"/>
        <w:jc w:val="left"/>
        <w:tblInd w:w="1" w:type="dxa"/>
        <w:tblLayout w:type="fixed"/>
        <w:tblCellMar>
          <w:top w:w="0" w:type="dxa"/>
          <w:left w:w="108" w:type="dxa"/>
          <w:bottom w:w="0" w:type="dxa"/>
          <w:right w:w="108" w:type="dxa"/>
        </w:tblCellMar>
        <w:tblLook w:val="04a0" w:noHBand="0" w:noVBand="1" w:firstColumn="1" w:lastRow="0" w:lastColumn="0" w:firstRow="1"/>
      </w:tblPr>
      <w:tblGrid>
        <w:gridCol w:w="983"/>
        <w:gridCol w:w="951"/>
        <w:gridCol w:w="695"/>
        <w:gridCol w:w="1035"/>
        <w:gridCol w:w="900"/>
      </w:tblGrid>
      <w:tr>
        <w:trPr>
          <w:trHeight w:val="395" w:hRule="atLeast"/>
        </w:trPr>
        <w:tc>
          <w:tcPr>
            <w:tcW w:w="983" w:type="dxa"/>
            <w:tcBorders/>
            <w:vAlign w:val="center"/>
          </w:tcPr>
          <w:p>
            <w:pPr>
              <w:pStyle w:val="Normal"/>
              <w:widowControl/>
              <w:spacing w:lineRule="auto" w:line="240" w:before="0" w:after="0"/>
              <w:ind w:left="0" w:right="0" w:hanging="0"/>
              <w:jc w:val="both"/>
              <w:rPr>
                <w:rFonts w:ascii="Times New Roman" w:hAnsi="Times New Roman" w:eastAsia="Calibri" w:cs="Times New Roman"/>
                <w:b/>
                <w:b/>
                <w:bCs/>
                <w:color w:val="000000"/>
                <w:kern w:val="0"/>
                <w:sz w:val="12"/>
                <w:szCs w:val="12"/>
                <w:lang w:val="es-MX" w:eastAsia="en-US" w:bidi="ar-SA"/>
              </w:rPr>
            </w:pPr>
            <w:r>
              <w:rPr>
                <w:rFonts w:eastAsia="Calibri" w:cs="Times New Roman" w:ascii="Times New Roman" w:hAnsi="Times New Roman"/>
                <w:b/>
                <w:bCs/>
                <w:color w:val="000000"/>
                <w:kern w:val="0"/>
                <w:sz w:val="12"/>
                <w:szCs w:val="12"/>
                <w:lang w:val="es-MX" w:eastAsia="en-US" w:bidi="ar-SA"/>
              </w:rPr>
              <w:t>Actividades</w:t>
            </w:r>
          </w:p>
        </w:tc>
        <w:tc>
          <w:tcPr>
            <w:tcW w:w="951" w:type="dxa"/>
            <w:tcBorders/>
            <w:vAlign w:val="center"/>
          </w:tcPr>
          <w:p>
            <w:pPr>
              <w:pStyle w:val="Normal"/>
              <w:widowControl/>
              <w:spacing w:lineRule="auto" w:line="240" w:before="0" w:after="0"/>
              <w:ind w:left="0" w:right="0" w:hanging="0"/>
              <w:jc w:val="both"/>
              <w:rPr>
                <w:rFonts w:ascii="Times New Roman" w:hAnsi="Times New Roman" w:eastAsia="Calibri" w:cs="Times New Roman"/>
                <w:b/>
                <w:b/>
                <w:bCs/>
                <w:color w:val="000000"/>
                <w:kern w:val="0"/>
                <w:sz w:val="12"/>
                <w:szCs w:val="12"/>
                <w:lang w:val="es-MX" w:eastAsia="en-US" w:bidi="ar-SA"/>
              </w:rPr>
            </w:pPr>
            <w:r>
              <w:rPr>
                <w:rFonts w:eastAsia="Calibri" w:cs="Times New Roman" w:ascii="Times New Roman" w:hAnsi="Times New Roman"/>
                <w:b/>
                <w:bCs/>
                <w:color w:val="000000"/>
                <w:kern w:val="0"/>
                <w:sz w:val="12"/>
                <w:szCs w:val="12"/>
                <w:lang w:val="es-MX" w:eastAsia="en-US" w:bidi="ar-SA"/>
              </w:rPr>
              <w:t>Fue lo más útil</w:t>
            </w:r>
          </w:p>
        </w:tc>
        <w:tc>
          <w:tcPr>
            <w:tcW w:w="695" w:type="dxa"/>
            <w:tcBorders/>
            <w:vAlign w:val="center"/>
          </w:tcPr>
          <w:p>
            <w:pPr>
              <w:pStyle w:val="Normal"/>
              <w:widowControl/>
              <w:spacing w:lineRule="auto" w:line="240" w:before="0" w:after="0"/>
              <w:ind w:left="0" w:right="0" w:hanging="0"/>
              <w:jc w:val="both"/>
              <w:rPr>
                <w:rFonts w:ascii="Times New Roman" w:hAnsi="Times New Roman" w:eastAsia="Calibri" w:cs="Times New Roman"/>
                <w:b/>
                <w:b/>
                <w:bCs/>
                <w:color w:val="000000"/>
                <w:kern w:val="0"/>
                <w:sz w:val="12"/>
                <w:szCs w:val="12"/>
                <w:lang w:val="es-MX" w:eastAsia="en-US" w:bidi="ar-SA"/>
              </w:rPr>
            </w:pPr>
            <w:r>
              <w:rPr>
                <w:rFonts w:eastAsia="Calibri" w:cs="Times New Roman" w:ascii="Times New Roman" w:hAnsi="Times New Roman"/>
                <w:b/>
                <w:bCs/>
                <w:color w:val="000000"/>
                <w:kern w:val="0"/>
                <w:sz w:val="12"/>
                <w:szCs w:val="12"/>
                <w:lang w:val="es-MX" w:eastAsia="en-US" w:bidi="ar-SA"/>
              </w:rPr>
              <w:t>Fue útil</w:t>
            </w:r>
          </w:p>
        </w:tc>
        <w:tc>
          <w:tcPr>
            <w:tcW w:w="1035" w:type="dxa"/>
            <w:tcBorders/>
            <w:vAlign w:val="center"/>
          </w:tcPr>
          <w:p>
            <w:pPr>
              <w:pStyle w:val="Normal"/>
              <w:widowControl/>
              <w:spacing w:lineRule="auto" w:line="240" w:before="0" w:after="0"/>
              <w:ind w:left="0" w:right="0" w:hanging="0"/>
              <w:jc w:val="both"/>
              <w:rPr>
                <w:rFonts w:ascii="Times New Roman" w:hAnsi="Times New Roman" w:eastAsia="Calibri" w:cs="Times New Roman"/>
                <w:b/>
                <w:b/>
                <w:bCs/>
                <w:color w:val="000000"/>
                <w:kern w:val="0"/>
                <w:sz w:val="12"/>
                <w:szCs w:val="12"/>
                <w:lang w:val="es-MX" w:eastAsia="en-US" w:bidi="ar-SA"/>
              </w:rPr>
            </w:pPr>
            <w:r>
              <w:rPr>
                <w:rFonts w:eastAsia="Calibri" w:cs="Times New Roman" w:ascii="Times New Roman" w:hAnsi="Times New Roman"/>
                <w:b/>
                <w:bCs/>
                <w:color w:val="000000"/>
                <w:kern w:val="0"/>
                <w:sz w:val="12"/>
                <w:szCs w:val="12"/>
                <w:lang w:val="es-MX" w:eastAsia="en-US" w:bidi="ar-SA"/>
              </w:rPr>
              <w:t>Fue medianamente util</w:t>
            </w:r>
          </w:p>
        </w:tc>
        <w:tc>
          <w:tcPr>
            <w:tcW w:w="900" w:type="dxa"/>
            <w:tcBorders/>
            <w:vAlign w:val="center"/>
          </w:tcPr>
          <w:p>
            <w:pPr>
              <w:pStyle w:val="Normal"/>
              <w:widowControl/>
              <w:spacing w:lineRule="auto" w:line="240" w:before="0" w:after="0"/>
              <w:ind w:left="0" w:right="0" w:hanging="0"/>
              <w:jc w:val="both"/>
              <w:rPr>
                <w:rFonts w:ascii="Times New Roman" w:hAnsi="Times New Roman" w:eastAsia="Calibri" w:cs="Times New Roman"/>
                <w:b/>
                <w:b/>
                <w:bCs/>
                <w:color w:val="000000"/>
                <w:kern w:val="0"/>
                <w:sz w:val="12"/>
                <w:szCs w:val="12"/>
                <w:lang w:val="es-MX" w:eastAsia="en-US" w:bidi="ar-SA"/>
              </w:rPr>
            </w:pPr>
            <w:r>
              <w:rPr>
                <w:rFonts w:eastAsia="Calibri" w:cs="Times New Roman" w:ascii="Times New Roman" w:hAnsi="Times New Roman"/>
                <w:b/>
                <w:bCs/>
                <w:color w:val="000000"/>
                <w:kern w:val="0"/>
                <w:sz w:val="12"/>
                <w:szCs w:val="12"/>
                <w:lang w:val="es-MX" w:eastAsia="en-US" w:bidi="ar-SA"/>
              </w:rPr>
              <w:t>Fue menos útil</w:t>
            </w:r>
          </w:p>
        </w:tc>
      </w:tr>
      <w:tr>
        <w:trPr>
          <w:trHeight w:val="393" w:hRule="atLeast"/>
        </w:trPr>
        <w:tc>
          <w:tcPr>
            <w:tcW w:w="983"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Escribir la solución de los ejercicios de cada tema</w:t>
            </w:r>
          </w:p>
        </w:tc>
        <w:tc>
          <w:tcPr>
            <w:tcW w:w="951"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67.6%</w:t>
            </w:r>
          </w:p>
        </w:tc>
        <w:tc>
          <w:tcPr>
            <w:tcW w:w="69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32.4%</w:t>
            </w:r>
          </w:p>
        </w:tc>
        <w:tc>
          <w:tcPr>
            <w:tcW w:w="103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w:t>
            </w:r>
          </w:p>
        </w:tc>
        <w:tc>
          <w:tcPr>
            <w:tcW w:w="900"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w:t>
            </w:r>
          </w:p>
        </w:tc>
      </w:tr>
      <w:tr>
        <w:trPr>
          <w:trHeight w:val="393" w:hRule="atLeast"/>
        </w:trPr>
        <w:tc>
          <w:tcPr>
            <w:tcW w:w="983"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Revisar videos externos en Youtube</w:t>
            </w:r>
          </w:p>
        </w:tc>
        <w:tc>
          <w:tcPr>
            <w:tcW w:w="951"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47.1%</w:t>
            </w:r>
          </w:p>
        </w:tc>
        <w:tc>
          <w:tcPr>
            <w:tcW w:w="69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32.4%</w:t>
            </w:r>
          </w:p>
        </w:tc>
        <w:tc>
          <w:tcPr>
            <w:tcW w:w="103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17.6%</w:t>
            </w:r>
          </w:p>
        </w:tc>
        <w:tc>
          <w:tcPr>
            <w:tcW w:w="900"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2.9%</w:t>
            </w:r>
          </w:p>
        </w:tc>
      </w:tr>
      <w:tr>
        <w:trPr>
          <w:trHeight w:val="393" w:hRule="atLeast"/>
        </w:trPr>
        <w:tc>
          <w:tcPr>
            <w:tcW w:w="983"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Ver la solución de ejemplos en el pizarrón digital o en la grabación</w:t>
            </w:r>
          </w:p>
        </w:tc>
        <w:tc>
          <w:tcPr>
            <w:tcW w:w="951"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73.5%</w:t>
            </w:r>
          </w:p>
        </w:tc>
        <w:tc>
          <w:tcPr>
            <w:tcW w:w="69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26.5%%</w:t>
            </w:r>
          </w:p>
        </w:tc>
        <w:tc>
          <w:tcPr>
            <w:tcW w:w="103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w:t>
            </w:r>
          </w:p>
        </w:tc>
        <w:tc>
          <w:tcPr>
            <w:tcW w:w="900"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w:t>
            </w:r>
          </w:p>
        </w:tc>
      </w:tr>
      <w:tr>
        <w:trPr>
          <w:trHeight w:val="393" w:hRule="atLeast"/>
        </w:trPr>
        <w:tc>
          <w:tcPr>
            <w:tcW w:w="983"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Estudiar el tema en los libros de texto</w:t>
            </w:r>
          </w:p>
        </w:tc>
        <w:tc>
          <w:tcPr>
            <w:tcW w:w="951"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38.2%</w:t>
            </w:r>
          </w:p>
        </w:tc>
        <w:tc>
          <w:tcPr>
            <w:tcW w:w="69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26.5%</w:t>
            </w:r>
          </w:p>
        </w:tc>
        <w:tc>
          <w:tcPr>
            <w:tcW w:w="103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29.4%</w:t>
            </w:r>
          </w:p>
        </w:tc>
        <w:tc>
          <w:tcPr>
            <w:tcW w:w="900"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5.9%</w:t>
            </w:r>
          </w:p>
        </w:tc>
      </w:tr>
    </w:tbl>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En la Tabla 4, se muestran las proporciones según la opinión de los estudiantes, acerca del nivel de utilidad para su aprendizaje de ecuaciones diferenciales, de algunas actividades de evaluación usadas durante el curso.</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center"/>
        <w:rPr>
          <w:rFonts w:ascii="Times New Roman" w:hAnsi="Times New Roman"/>
          <w:b/>
          <w:b/>
          <w:bCs/>
          <w:color w:val="000000"/>
          <w:sz w:val="20"/>
          <w:szCs w:val="20"/>
        </w:rPr>
      </w:pPr>
      <w:r>
        <w:rPr>
          <w:rFonts w:cs="Times New Roman" w:ascii="Times New Roman" w:hAnsi="Times New Roman"/>
          <w:b/>
          <w:bCs/>
          <w:color w:val="000000"/>
          <w:sz w:val="20"/>
          <w:szCs w:val="20"/>
        </w:rPr>
        <w:t>Tabla 4 Distribución según las actividades de evaluación en ED-LIQA. Fuente: Elaboración propia.</w:t>
      </w:r>
    </w:p>
    <w:tbl>
      <w:tblPr>
        <w:tblStyle w:val="Tablaconcuadrcula"/>
        <w:tblW w:w="4564" w:type="dxa"/>
        <w:jc w:val="left"/>
        <w:tblInd w:w="1" w:type="dxa"/>
        <w:tblLayout w:type="fixed"/>
        <w:tblCellMar>
          <w:top w:w="0" w:type="dxa"/>
          <w:left w:w="108" w:type="dxa"/>
          <w:bottom w:w="0" w:type="dxa"/>
          <w:right w:w="108" w:type="dxa"/>
        </w:tblCellMar>
        <w:tblLook w:val="04a0" w:noHBand="0" w:noVBand="1" w:firstColumn="1" w:lastRow="0" w:lastColumn="0" w:firstRow="1"/>
      </w:tblPr>
      <w:tblGrid>
        <w:gridCol w:w="983"/>
        <w:gridCol w:w="951"/>
        <w:gridCol w:w="695"/>
        <w:gridCol w:w="1035"/>
        <w:gridCol w:w="900"/>
      </w:tblGrid>
      <w:tr>
        <w:trPr>
          <w:trHeight w:val="395" w:hRule="atLeast"/>
        </w:trPr>
        <w:tc>
          <w:tcPr>
            <w:tcW w:w="983"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Actividades de Evaluación</w:t>
            </w:r>
          </w:p>
        </w:tc>
        <w:tc>
          <w:tcPr>
            <w:tcW w:w="951"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Fue lo más útil</w:t>
            </w:r>
          </w:p>
        </w:tc>
        <w:tc>
          <w:tcPr>
            <w:tcW w:w="69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Fue útil</w:t>
            </w:r>
          </w:p>
        </w:tc>
        <w:tc>
          <w:tcPr>
            <w:tcW w:w="103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Fue medianamente util</w:t>
            </w:r>
          </w:p>
        </w:tc>
        <w:tc>
          <w:tcPr>
            <w:tcW w:w="900"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Fue menos útil</w:t>
            </w:r>
          </w:p>
        </w:tc>
      </w:tr>
      <w:tr>
        <w:trPr>
          <w:trHeight w:val="393" w:hRule="atLeast"/>
        </w:trPr>
        <w:tc>
          <w:tcPr>
            <w:tcW w:w="983"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Carpeta de Evidencia en cada unidad:</w:t>
            </w:r>
          </w:p>
        </w:tc>
        <w:tc>
          <w:tcPr>
            <w:tcW w:w="951"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64.7%</w:t>
            </w:r>
          </w:p>
        </w:tc>
        <w:tc>
          <w:tcPr>
            <w:tcW w:w="69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32.4%</w:t>
            </w:r>
          </w:p>
        </w:tc>
        <w:tc>
          <w:tcPr>
            <w:tcW w:w="103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2.9%</w:t>
            </w:r>
          </w:p>
        </w:tc>
        <w:tc>
          <w:tcPr>
            <w:tcW w:w="900"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w:t>
            </w:r>
          </w:p>
        </w:tc>
      </w:tr>
      <w:tr>
        <w:trPr>
          <w:trHeight w:val="393" w:hRule="atLeast"/>
        </w:trPr>
        <w:tc>
          <w:tcPr>
            <w:tcW w:w="983"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Finalizar los ejercicios y revisarlos en la siguiente sesión</w:t>
            </w:r>
          </w:p>
        </w:tc>
        <w:tc>
          <w:tcPr>
            <w:tcW w:w="951"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64.7%</w:t>
            </w:r>
          </w:p>
        </w:tc>
        <w:tc>
          <w:tcPr>
            <w:tcW w:w="69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29.4%</w:t>
            </w:r>
          </w:p>
        </w:tc>
        <w:tc>
          <w:tcPr>
            <w:tcW w:w="103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5.9%</w:t>
            </w:r>
          </w:p>
        </w:tc>
        <w:tc>
          <w:tcPr>
            <w:tcW w:w="900"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w:t>
            </w:r>
          </w:p>
        </w:tc>
      </w:tr>
      <w:tr>
        <w:trPr>
          <w:trHeight w:val="393" w:hRule="atLeast"/>
        </w:trPr>
        <w:tc>
          <w:tcPr>
            <w:tcW w:w="983"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Elaborar tablas, resumen o trabajos independientes del examen</w:t>
            </w:r>
          </w:p>
        </w:tc>
        <w:tc>
          <w:tcPr>
            <w:tcW w:w="951"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44.1%</w:t>
            </w:r>
          </w:p>
        </w:tc>
        <w:tc>
          <w:tcPr>
            <w:tcW w:w="69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44.1%%</w:t>
            </w:r>
          </w:p>
        </w:tc>
        <w:tc>
          <w:tcPr>
            <w:tcW w:w="103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8.8%</w:t>
            </w:r>
          </w:p>
        </w:tc>
        <w:tc>
          <w:tcPr>
            <w:tcW w:w="900"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2.9%</w:t>
            </w:r>
          </w:p>
        </w:tc>
      </w:tr>
      <w:tr>
        <w:trPr>
          <w:trHeight w:val="393" w:hRule="atLeast"/>
        </w:trPr>
        <w:tc>
          <w:tcPr>
            <w:tcW w:w="983"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Actividad de Evaluación (examen) para cada unidad</w:t>
            </w:r>
          </w:p>
        </w:tc>
        <w:tc>
          <w:tcPr>
            <w:tcW w:w="951"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50%</w:t>
            </w:r>
          </w:p>
        </w:tc>
        <w:tc>
          <w:tcPr>
            <w:tcW w:w="69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47.1%</w:t>
            </w:r>
          </w:p>
        </w:tc>
        <w:tc>
          <w:tcPr>
            <w:tcW w:w="1035"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2.9%</w:t>
            </w:r>
          </w:p>
        </w:tc>
        <w:tc>
          <w:tcPr>
            <w:tcW w:w="900" w:type="dxa"/>
            <w:tcBorders/>
            <w:vAlign w:val="center"/>
          </w:tcPr>
          <w:p>
            <w:pPr>
              <w:pStyle w:val="Normal"/>
              <w:widowControl/>
              <w:spacing w:lineRule="auto" w:line="240" w:before="0" w:after="0"/>
              <w:ind w:left="0" w:right="0" w:hanging="0"/>
              <w:jc w:val="both"/>
              <w:rPr>
                <w:rFonts w:ascii="Times New Roman" w:hAnsi="Times New Roman" w:eastAsia="Calibri" w:cs="Times New Roman"/>
                <w:color w:val="000000"/>
                <w:kern w:val="0"/>
                <w:sz w:val="12"/>
                <w:szCs w:val="12"/>
                <w:lang w:val="es-MX" w:eastAsia="en-US" w:bidi="ar-SA"/>
              </w:rPr>
            </w:pPr>
            <w:r>
              <w:rPr>
                <w:rFonts w:eastAsia="Calibri" w:cs="Times New Roman" w:ascii="Times New Roman" w:hAnsi="Times New Roman"/>
                <w:color w:val="000000"/>
                <w:kern w:val="0"/>
                <w:sz w:val="12"/>
                <w:szCs w:val="12"/>
                <w:lang w:val="es-MX" w:eastAsia="en-US" w:bidi="ar-SA"/>
              </w:rPr>
              <w:t>0%</w:t>
            </w:r>
          </w:p>
        </w:tc>
      </w:tr>
    </w:tbl>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Para finalizar este apartado, se comparten forma textual cada uno de los 19 comentarios anónimos, recibidos en la sección abierta:</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Me gustó mucho la clase, los temas y los recursos fueron muy interesantes y de mucha ayuda.</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Los repasos en clase fueron verdaderamente útiles para desarrollar mucho las tareas, excelente profesora y su explicación.</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Muchas gracias por su dedicación y esfuerzo maestra.</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Me gustó mucho el curso de Ecuaciones Diferenciales. La maestra es muy amable y realmente se nota lo mucho que le gusta impartir esos temas y eso se agradece.</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¡La clase es amena e interesante gracias a la maestra, muy buen trabajo!</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Excelente docente, mis felicitaciones por su trabajo y dedicación.</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Sin comentarios.</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La manera de explicar de la profesora fue muy buena.</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Me gustó mucho el curso, cumplió con mis expectativas.</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Excelente maestra, la materia fue divertida e interesante, la maestra enseña muy bien</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Agradezco la compresión y paciencia de la profesora por la ardua labor al explicar con ejemplos.</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ESTUVO BIEN EL CURSO. NO CAMBIARÍA NADA.</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Tal vez la única sugerencia que puedo tener son los problemas que a veces había para conectar la tabla virtual, de resto, la explicación era excelente. ¡Me gustaba mucho que la maestra pusiera datos interesantes!</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Fue una clase muy provechosa y bastante amena, se notó la dedicación de la docente en cada clase y siempre estuvo dispuesta a apoyarnos, realmente solo me resta agradecerle</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Los ejemplos han sido lo mejor para entender.</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Fue muy interesante, el libro ayuda mucho y más si lo tienes en físico</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Muy buen curso aprendí mucho.</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No queda más que agradecerle su dedicación y esfuerzo durante el desarrollo de las clases.</w:t>
      </w:r>
    </w:p>
    <w:p>
      <w:pPr>
        <w:pStyle w:val="ListParagraph"/>
        <w:numPr>
          <w:ilvl w:val="0"/>
          <w:numId w:val="1"/>
        </w:numPr>
        <w:spacing w:lineRule="auto" w:line="240" w:before="0" w:after="0"/>
        <w:ind w:left="0" w:right="0" w:hanging="0"/>
        <w:jc w:val="both"/>
        <w:rPr>
          <w:rFonts w:ascii="Times New Roman" w:hAnsi="Times New Roman"/>
          <w:color w:val="000000"/>
          <w:sz w:val="20"/>
          <w:szCs w:val="20"/>
        </w:rPr>
      </w:pPr>
      <w:r>
        <w:rPr>
          <w:rFonts w:eastAsia="Times New Roman" w:cs="Times New Roman" w:ascii="Times New Roman" w:hAnsi="Times New Roman"/>
          <w:color w:val="000000"/>
          <w:sz w:val="20"/>
          <w:szCs w:val="20"/>
          <w:lang w:eastAsia="es-MX"/>
        </w:rPr>
        <w:t>La maestra Delta es una profesora paciente que ama enseñar y por ello la considero una gran profesora para este curso.</w:t>
      </w:r>
    </w:p>
    <w:p>
      <w:pPr>
        <w:pStyle w:val="Normal"/>
        <w:spacing w:lineRule="auto" w:line="240" w:before="0" w:after="0"/>
        <w:ind w:left="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
          <w:color w:val="000000"/>
          <w:sz w:val="20"/>
          <w:szCs w:val="20"/>
          <w:lang w:val="es"/>
        </w:rPr>
        <w:t xml:space="preserve">IV. </w:t>
      </w:r>
      <w:r>
        <w:rPr>
          <w:rFonts w:cs="Times New Roman" w:ascii="Times New Roman" w:hAnsi="Times New Roman"/>
          <w:b/>
          <w:color w:val="000000"/>
          <w:sz w:val="20"/>
          <w:szCs w:val="20"/>
          <w:lang w:val="es"/>
        </w:rPr>
        <w:t>CONCLUSIONES</w:t>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Además de los porcentajes presentados en este trabajo, las conclusiones en la mejora de la práctica docente se complementaron con las opiniones expresadas por los estudiantes en las actividades de retroalimentación realizadas al finalizar cada unidad.</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En cuanto a los recursos utilizados en el curso a distancia, en el nivel de muy útil, el 88.2% consideró videoconferencias y el material Uady-Virtual obtuvo el 50% en el nivel útil por lo que es importante seguir mejorando ambos recursos. Se obtuvo menor preferencia del 38.2% por libros de texto y fuentes de internet, se debe trabajar en una mejor selección de ambos recursos.</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Es importante seguir mejorando el material de la plataforma y la planeación de la sesión de videoconferencia, para ayudar en la concentración y motivación de los estudiantes.</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Con relación a las actividades de aprendizaje, a nivel de muy útil se obtuvo el mayor porcentaje del 73,5% para ejemplos en la pizarra digital o grabación, seguido del 67,6% para escribir la solución de los ejercicios. Se observa un área de oportunidad en la selección de ejercicios.</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Es necesario plantear diversas actividades, que motiven más a los estudiantes para que la sesión virtual aumente en participación y, otras que impulsen la motivación en el tema.</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Se observó que, para las actividades de evaluación, a nivel de muy útil, se obtuvo el mismo porcentaje de 64,7% para la carpeta de evidencia de aprendizaje y para los ejercicios de revisión en la siguiente sesión; seguido del 50% para la actividad de evaluación (examen). Se observa un área de oportunidad en la elaboración de tablas, resúmenes o trabajos independientes del examen.</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Es importante incluir, actividades de coevaluación y autoevaluación que permitan aprovechar la retroalimentación para verificar su aprendizaje.</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Es importante mencionar que los estudiantes de la muestra prácticamente sólo consideraron los niveles fue muy útil y fue útil para casi todos los recursos, actividades de aprendizaje y actividades de evaluación proporcionados durante el curso a distancia.</w:t>
      </w:r>
    </w:p>
    <w:p>
      <w:pPr>
        <w:pStyle w:val="Normal"/>
        <w:spacing w:lineRule="auto" w:line="240" w:before="0" w:after="0"/>
        <w:ind w:left="0" w:right="0" w:hanging="0"/>
        <w:jc w:val="both"/>
        <w:rPr>
          <w:rFonts w:cs="Times New Roman"/>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rPr>
        <w:t>Esto implica un enorme compromiso para continuar con la actualización constante en el uso de la tecnología disponible y mejorar cada uno de los componentes del curso a distancia.</w:t>
      </w:r>
    </w:p>
    <w:p>
      <w:pPr>
        <w:pStyle w:val="Normal"/>
        <w:spacing w:lineRule="auto" w:line="240" w:before="0" w:after="0"/>
        <w:ind w:left="0" w:right="0" w:hanging="0"/>
        <w:jc w:val="both"/>
        <w:rPr>
          <w:rFonts w:ascii="Times New Roman" w:hAnsi="Times New Roman" w:cs="Times New Roman"/>
          <w:color w:val="000000"/>
          <w:sz w:val="20"/>
          <w:szCs w:val="20"/>
          <w:lang w:val="es"/>
        </w:rPr>
      </w:pPr>
      <w:r>
        <w:rPr>
          <w:rFonts w:cs="Times New Roman" w:ascii="Times New Roman" w:hAnsi="Times New Roman"/>
          <w:color w:val="000000"/>
          <w:sz w:val="20"/>
          <w:szCs w:val="20"/>
          <w:lang w:val="es"/>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b/>
          <w:color w:val="000000"/>
          <w:sz w:val="20"/>
          <w:szCs w:val="20"/>
          <w:lang w:val="es"/>
        </w:rPr>
        <w:t>REFERENCIAS</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 xml:space="preserve">Garza, R. y Leventhal S. (2002) </w:t>
      </w:r>
      <w:r>
        <w:rPr>
          <w:rFonts w:cs="Times New Roman" w:ascii="Times New Roman" w:hAnsi="Times New Roman"/>
          <w:iCs/>
          <w:color w:val="000000"/>
          <w:sz w:val="20"/>
          <w:szCs w:val="20"/>
          <w:lang w:val="es"/>
        </w:rPr>
        <w:t>Aprendiendo a aprender.</w:t>
      </w:r>
      <w:r>
        <w:rPr>
          <w:rFonts w:cs="Times New Roman" w:ascii="Times New Roman" w:hAnsi="Times New Roman"/>
          <w:color w:val="000000"/>
          <w:sz w:val="20"/>
          <w:szCs w:val="20"/>
          <w:lang w:val="es"/>
        </w:rPr>
        <w:t xml:space="preserve"> México: </w:t>
      </w:r>
      <w:r>
        <w:rPr>
          <w:rFonts w:cs="Times New Roman" w:ascii="Times New Roman" w:hAnsi="Times New Roman"/>
          <w:i/>
          <w:iCs/>
          <w:color w:val="000000"/>
          <w:sz w:val="20"/>
          <w:szCs w:val="20"/>
          <w:lang w:val="es"/>
        </w:rPr>
        <w:t>Trillas: ITESM, Universidad Virtual</w:t>
      </w:r>
    </w:p>
    <w:p>
      <w:pPr>
        <w:pStyle w:val="Normal"/>
        <w:spacing w:lineRule="auto" w:line="240" w:before="0" w:after="0"/>
        <w:ind w:left="0" w:right="0" w:hanging="0"/>
        <w:jc w:val="both"/>
        <w:rPr>
          <w:rFonts w:cs="Times New Roman"/>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 xml:space="preserve">Gómez, T (2013) Dime qué resuelves y te diré lo que aprendes: desarrollo de competencias en la universidad con el método de proyectos. </w:t>
      </w:r>
      <w:r>
        <w:rPr>
          <w:rFonts w:cs="Times New Roman" w:ascii="Times New Roman" w:hAnsi="Times New Roman"/>
          <w:i/>
          <w:iCs/>
          <w:color w:val="000000"/>
          <w:sz w:val="20"/>
          <w:szCs w:val="20"/>
          <w:lang w:val="es"/>
        </w:rPr>
        <w:t>México: Editorial Universidad Iberoamericana.</w:t>
      </w:r>
    </w:p>
    <w:p>
      <w:pPr>
        <w:pStyle w:val="Normal"/>
        <w:spacing w:lineRule="auto" w:line="240" w:before="0" w:after="0"/>
        <w:ind w:left="0" w:right="0" w:hanging="0"/>
        <w:jc w:val="both"/>
        <w:rPr>
          <w:rFonts w:cs="Times New Roman"/>
          <w:i/>
          <w:i/>
          <w:iCs/>
          <w:lang w:val="es"/>
        </w:rPr>
      </w:pPr>
      <w:r>
        <w:rPr>
          <w:rFonts w:ascii="Times New Roman" w:hAnsi="Times New Roman"/>
          <w:color w:val="000000"/>
          <w:sz w:val="20"/>
          <w:szCs w:val="20"/>
        </w:rPr>
      </w:r>
    </w:p>
    <w:p>
      <w:pPr>
        <w:pStyle w:val="Normal"/>
        <w:spacing w:lineRule="auto" w:line="240" w:before="0" w:after="0"/>
        <w:ind w:left="0" w:right="0" w:hanging="0"/>
        <w:jc w:val="both"/>
        <w:rPr>
          <w:rFonts w:ascii="Times New Roman" w:hAnsi="Times New Roman"/>
          <w:color w:val="000000"/>
          <w:sz w:val="20"/>
          <w:szCs w:val="20"/>
        </w:rPr>
      </w:pPr>
      <w:r>
        <w:rPr>
          <w:rFonts w:cs="Times New Roman" w:ascii="Times New Roman" w:hAnsi="Times New Roman"/>
          <w:color w:val="000000"/>
          <w:sz w:val="20"/>
          <w:szCs w:val="20"/>
          <w:lang w:val="es"/>
        </w:rPr>
        <w:t xml:space="preserve">Universidad Autónoma de Yucatán (UADY), (2012). </w:t>
      </w:r>
      <w:r>
        <w:rPr>
          <w:rFonts w:cs="Times New Roman" w:ascii="Times New Roman" w:hAnsi="Times New Roman"/>
          <w:iCs/>
          <w:color w:val="000000"/>
          <w:sz w:val="20"/>
          <w:szCs w:val="20"/>
          <w:lang w:val="es"/>
        </w:rPr>
        <w:t>Modelo Educativo para la Formación Integral</w:t>
      </w:r>
      <w:r>
        <w:rPr>
          <w:rFonts w:cs="Times New Roman" w:ascii="Times New Roman" w:hAnsi="Times New Roman"/>
          <w:i/>
          <w:color w:val="000000"/>
          <w:sz w:val="20"/>
          <w:szCs w:val="20"/>
          <w:lang w:val="es"/>
        </w:rPr>
        <w:t>.</w:t>
      </w:r>
      <w:r>
        <w:rPr>
          <w:rFonts w:cs="Times New Roman" w:ascii="Times New Roman" w:hAnsi="Times New Roman"/>
          <w:color w:val="000000"/>
          <w:sz w:val="20"/>
          <w:szCs w:val="20"/>
          <w:lang w:val="es"/>
        </w:rPr>
        <w:t xml:space="preserve">  </w:t>
      </w:r>
      <w:r>
        <w:rPr>
          <w:rFonts w:cs="Times New Roman" w:ascii="Times New Roman" w:hAnsi="Times New Roman"/>
          <w:i/>
          <w:iCs/>
          <w:color w:val="000000"/>
          <w:sz w:val="20"/>
          <w:szCs w:val="20"/>
          <w:lang w:val="es"/>
        </w:rPr>
        <w:t>México: UADY.</w:t>
      </w:r>
    </w:p>
    <w:p>
      <w:pPr>
        <w:sectPr>
          <w:type w:val="continuous"/>
          <w:pgSz w:w="12240" w:h="15840"/>
          <w:pgMar w:left="1417" w:right="1417" w:header="1417" w:top="2044" w:footer="1417" w:bottom="2109" w:gutter="0"/>
          <w:cols w:num="2" w:space="282" w:equalWidth="true" w:sep="false"/>
          <w:formProt w:val="false"/>
          <w:textDirection w:val="lrTb"/>
          <w:docGrid w:type="default" w:linePitch="360" w:charSpace="4096"/>
        </w:sectPr>
      </w:pPr>
    </w:p>
    <w:sectPr>
      <w:headerReference w:type="even" r:id="rId8"/>
      <w:headerReference w:type="default" r:id="rId9"/>
      <w:headerReference w:type="first" r:id="rId10"/>
      <w:footerReference w:type="even" r:id="rId11"/>
      <w:footerReference w:type="default" r:id="rId12"/>
      <w:footerReference w:type="first" r:id="rId13"/>
      <w:type w:val="continuous"/>
      <w:pgSz w:w="12240" w:h="15840"/>
      <w:pgMar w:left="1417" w:right="1417" w:header="1417" w:top="2044" w:footer="1417" w:bottom="2109"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Cantarel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5"/>
      <w:gridCol w:w="4140"/>
      <w:gridCol w:w="2780"/>
    </w:tblGrid>
    <w:tr>
      <w:trPr/>
      <w:tc>
        <w:tcPr>
          <w:tcW w:w="2485"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Recibido: 2</w:t>
          </w:r>
          <w:r>
            <w:rPr>
              <w:rFonts w:ascii="Times new roman" w:hAnsi="Times new roman"/>
              <w:sz w:val="16"/>
              <w:szCs w:val="16"/>
            </w:rPr>
            <w:t>5</w:t>
          </w:r>
          <w:r>
            <w:rPr>
              <w:rFonts w:ascii="Times new roman" w:hAnsi="Times new roman"/>
              <w:sz w:val="16"/>
              <w:szCs w:val="16"/>
            </w:rPr>
            <w:t>/Abril/2022</w:t>
          </w:r>
        </w:p>
        <w:p>
          <w:pPr>
            <w:pStyle w:val="Contenidodelatabla"/>
            <w:widowControl w:val="false"/>
            <w:bidi w:val="0"/>
            <w:spacing w:before="0" w:after="0"/>
            <w:ind w:hanging="0"/>
            <w:jc w:val="left"/>
            <w:rPr/>
          </w:pPr>
          <w:r>
            <w:rPr>
              <w:rFonts w:ascii="Times new roman" w:hAnsi="Times new roman"/>
              <w:sz w:val="16"/>
              <w:szCs w:val="16"/>
            </w:rPr>
            <w:t>Aceptado: 01/Junio/2022</w:t>
          </w:r>
        </w:p>
      </w:tc>
      <w:tc>
        <w:tcPr>
          <w:tcW w:w="4140" w:type="dxa"/>
          <w:tcBorders/>
          <w:shd w:fill="auto" w:val="clear"/>
        </w:tcPr>
        <w:p>
          <w:pPr>
            <w:pStyle w:val="Contenidodelatabla"/>
            <w:widowControl w:val="false"/>
            <w:spacing w:before="120" w:after="60"/>
            <w:ind w:hanging="0"/>
            <w:jc w:val="center"/>
            <w:rPr/>
          </w:pPr>
          <w:bookmarkStart w:id="0" w:name="__DdeLink__3403_881141052"/>
          <w:r>
            <w:rPr>
              <w:rFonts w:eastAsia="Arial" w:cs="Arial" w:ascii="Cantarell" w:hAnsi="Cantarell"/>
              <w:sz w:val="16"/>
              <w:szCs w:val="16"/>
            </w:rPr>
            <w:t xml:space="preserve">© </w:t>
          </w:r>
          <w:bookmarkEnd w:id="0"/>
          <w:r>
            <w:rPr>
              <w:rFonts w:ascii="Times new roman" w:hAnsi="Times new roman"/>
              <w:sz w:val="16"/>
              <w:szCs w:val="16"/>
            </w:rPr>
            <w:t>TecNM – Instituto Tecnológico Superior Progreso</w:t>
          </w:r>
        </w:p>
      </w:tc>
      <w:tc>
        <w:tcPr>
          <w:tcW w:w="2780" w:type="dxa"/>
          <w:tcBorders/>
          <w:shd w:fill="auto" w:val="clear"/>
        </w:tcPr>
        <w:p>
          <w:pPr>
            <w:pStyle w:val="Contenidodelatabla"/>
            <w:widowControl w:val="false"/>
            <w:spacing w:before="120" w:after="60"/>
            <w:rPr/>
          </w:pPr>
          <w:r>
            <w:rPr/>
          </w:r>
        </w:p>
      </w:tc>
    </w:tr>
  </w:tbl>
  <w:p>
    <w:pPr>
      <w:pStyle w:val="Normal"/>
      <w:spacing w:before="0" w:after="20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5"/>
      <w:gridCol w:w="4140"/>
      <w:gridCol w:w="2780"/>
    </w:tblGrid>
    <w:tr>
      <w:trPr/>
      <w:tc>
        <w:tcPr>
          <w:tcW w:w="2485"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Recibido: 2</w:t>
          </w:r>
          <w:r>
            <w:rPr>
              <w:rFonts w:ascii="Times new roman" w:hAnsi="Times new roman"/>
              <w:sz w:val="16"/>
              <w:szCs w:val="16"/>
            </w:rPr>
            <w:t>5</w:t>
          </w:r>
          <w:r>
            <w:rPr>
              <w:rFonts w:ascii="Times new roman" w:hAnsi="Times new roman"/>
              <w:sz w:val="16"/>
              <w:szCs w:val="16"/>
            </w:rPr>
            <w:t>/Abril/2022</w:t>
          </w:r>
        </w:p>
        <w:p>
          <w:pPr>
            <w:pStyle w:val="Contenidodelatabla"/>
            <w:widowControl w:val="false"/>
            <w:bidi w:val="0"/>
            <w:spacing w:before="0" w:after="0"/>
            <w:ind w:hanging="0"/>
            <w:jc w:val="left"/>
            <w:rPr/>
          </w:pPr>
          <w:r>
            <w:rPr>
              <w:rFonts w:ascii="Times new roman" w:hAnsi="Times new roman"/>
              <w:sz w:val="16"/>
              <w:szCs w:val="16"/>
            </w:rPr>
            <w:t>Aceptado: 01/Junio/2022</w:t>
          </w:r>
        </w:p>
      </w:tc>
      <w:tc>
        <w:tcPr>
          <w:tcW w:w="4140" w:type="dxa"/>
          <w:tcBorders/>
          <w:shd w:fill="auto" w:val="clear"/>
        </w:tcPr>
        <w:p>
          <w:pPr>
            <w:pStyle w:val="Contenidodelatabla"/>
            <w:widowControl w:val="false"/>
            <w:spacing w:before="120" w:after="60"/>
            <w:ind w:hanging="0"/>
            <w:jc w:val="center"/>
            <w:rPr/>
          </w:pPr>
          <w:bookmarkStart w:id="1" w:name="__DdeLink__3403_881141052"/>
          <w:r>
            <w:rPr>
              <w:rFonts w:eastAsia="Arial" w:cs="Arial" w:ascii="Cantarell" w:hAnsi="Cantarell"/>
              <w:sz w:val="16"/>
              <w:szCs w:val="16"/>
            </w:rPr>
            <w:t xml:space="preserve">© </w:t>
          </w:r>
          <w:bookmarkEnd w:id="1"/>
          <w:r>
            <w:rPr>
              <w:rFonts w:ascii="Times new roman" w:hAnsi="Times new roman"/>
              <w:sz w:val="16"/>
              <w:szCs w:val="16"/>
            </w:rPr>
            <w:t>TecNM – Instituto Tecnológico Superior Progreso</w:t>
          </w:r>
        </w:p>
      </w:tc>
      <w:tc>
        <w:tcPr>
          <w:tcW w:w="2780" w:type="dxa"/>
          <w:tcBorders/>
          <w:shd w:fill="auto" w:val="clear"/>
        </w:tcPr>
        <w:p>
          <w:pPr>
            <w:pStyle w:val="Contenidodelatabla"/>
            <w:widowControl w:val="false"/>
            <w:spacing w:before="120" w:after="60"/>
            <w:rPr/>
          </w:pPr>
          <w:r>
            <w:rPr/>
          </w:r>
        </w:p>
      </w:tc>
    </w:tr>
  </w:tbl>
  <w:p>
    <w:pPr>
      <w:pStyle w:val="Normal"/>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70</w:t>
    </w:r>
    <w:r>
      <w:rPr>
        <w:rFonts w:ascii="Times new roman" w:hAnsi="Times new roman"/>
        <w:b w:val="false"/>
        <w:i/>
        <w:iCs/>
        <w:caps w:val="false"/>
        <w:smallCaps w:val="false"/>
        <w:spacing w:val="0"/>
        <w:sz w:val="16"/>
        <w:szCs w:val="16"/>
      </w:rPr>
      <w:t>, Julio - Diciembre 2022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70</w:t>
    </w:r>
    <w:r>
      <w:rPr>
        <w:rFonts w:ascii="Times new roman" w:hAnsi="Times new roman"/>
        <w:b w:val="false"/>
        <w:i/>
        <w:iCs/>
        <w:caps w:val="false"/>
        <w:smallCaps w:val="false"/>
        <w:spacing w:val="0"/>
        <w:sz w:val="16"/>
        <w:szCs w:val="16"/>
      </w:rPr>
      <w:t>, Julio - Diciembre 2022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rPr/>
    </w:pPr>
    <w:r>
      <w:rPr/>
    </w:r>
  </w:p>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7"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7"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7, No. 15, pp. </w:t>
          </w:r>
          <w:r>
            <w:rPr>
              <w:rFonts w:eastAsia="Times New Roman" w:cs="Times New Roman" w:ascii="Times new roman" w:hAnsi="Times new roman"/>
              <w:sz w:val="20"/>
              <w:szCs w:val="20"/>
            </w:rPr>
            <w:t>6</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70</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2022</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20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70</w:t>
    </w:r>
    <w:r>
      <w:rPr>
        <w:rFonts w:ascii="Times new roman" w:hAnsi="Times new roman"/>
        <w:b w:val="false"/>
        <w:i/>
        <w:iCs/>
        <w:caps w:val="false"/>
        <w:smallCaps w:val="false"/>
        <w:spacing w:val="0"/>
        <w:sz w:val="16"/>
        <w:szCs w:val="16"/>
      </w:rPr>
      <w:t>, Julio - Diciembre 2022</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6</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70</w:t>
    </w:r>
    <w:r>
      <w:rPr>
        <w:rFonts w:ascii="Times new roman" w:hAnsi="Times new roman"/>
        <w:b w:val="false"/>
        <w:i/>
        <w:iCs/>
        <w:caps w:val="false"/>
        <w:smallCaps w:val="false"/>
        <w:spacing w:val="0"/>
        <w:sz w:val="16"/>
        <w:szCs w:val="16"/>
      </w:rPr>
      <w:t>, Julio - Diciembre 2022</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rPr/>
    </w:pPr>
    <w:r>
      <w:rPr/>
    </w:r>
  </w:p>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2" name="Imagen7"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7"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7, No. 15, pp. </w:t>
          </w:r>
          <w:r>
            <w:rPr>
              <w:rFonts w:eastAsia="Times New Roman" w:cs="Times New Roman" w:ascii="Times new roman" w:hAnsi="Times new roman"/>
              <w:sz w:val="20"/>
              <w:szCs w:val="20"/>
            </w:rPr>
            <w:t>6</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70</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2022</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4dd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ad01ae"/>
    <w:rPr>
      <w:color w:val="0000FF" w:themeColor="hyperlink"/>
      <w:u w:val="single"/>
    </w:rPr>
  </w:style>
  <w:style w:type="character" w:styleId="PlaceholderText">
    <w:name w:val="Placeholder Text"/>
    <w:basedOn w:val="DefaultParagraphFont"/>
    <w:uiPriority w:val="99"/>
    <w:semiHidden/>
    <w:qFormat/>
    <w:rsid w:val="00872aa7"/>
    <w:rPr>
      <w:color w:val="808080"/>
    </w:rPr>
  </w:style>
  <w:style w:type="character" w:styleId="TextodegloboCar" w:customStyle="1">
    <w:name w:val="Texto de globo Car"/>
    <w:basedOn w:val="DefaultParagraphFont"/>
    <w:link w:val="Textodeglobo"/>
    <w:uiPriority w:val="99"/>
    <w:semiHidden/>
    <w:qFormat/>
    <w:rsid w:val="00872aa7"/>
    <w:rPr>
      <w:rFonts w:ascii="Tahoma" w:hAnsi="Tahoma" w:cs="Tahoma"/>
      <w:sz w:val="16"/>
      <w:szCs w:val="16"/>
    </w:rPr>
  </w:style>
  <w:style w:type="character" w:styleId="TextonotapieCar" w:customStyle="1">
    <w:name w:val="Texto nota pie Car"/>
    <w:basedOn w:val="DefaultParagraphFont"/>
    <w:link w:val="Textonotapie"/>
    <w:uiPriority w:val="99"/>
    <w:semiHidden/>
    <w:qFormat/>
    <w:rsid w:val="00741f63"/>
    <w:rPr>
      <w:sz w:val="20"/>
      <w:szCs w:val="20"/>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741f63"/>
    <w:rPr>
      <w:vertAlign w:val="superscript"/>
    </w:rPr>
  </w:style>
  <w:style w:type="character" w:styleId="EncabezadoCar" w:customStyle="1">
    <w:name w:val="Encabezado Car"/>
    <w:basedOn w:val="DefaultParagraphFont"/>
    <w:link w:val="Encabezado"/>
    <w:uiPriority w:val="99"/>
    <w:qFormat/>
    <w:rsid w:val="008d3864"/>
    <w:rPr/>
  </w:style>
  <w:style w:type="character" w:styleId="PiedepginaCar" w:customStyle="1">
    <w:name w:val="Pie de página Car"/>
    <w:basedOn w:val="DefaultParagraphFont"/>
    <w:link w:val="Piedepgina"/>
    <w:uiPriority w:val="99"/>
    <w:qFormat/>
    <w:rsid w:val="008d3864"/>
    <w:rPr/>
  </w:style>
  <w:style w:type="character" w:styleId="UnresolvedMention">
    <w:name w:val="Unresolved Mention"/>
    <w:basedOn w:val="DefaultParagraphFont"/>
    <w:uiPriority w:val="99"/>
    <w:semiHidden/>
    <w:unhideWhenUsed/>
    <w:qFormat/>
    <w:rsid w:val="000748fc"/>
    <w:rPr>
      <w:color w:val="605E5C"/>
      <w:shd w:fill="E1DFDD" w:val="clear"/>
    </w:rPr>
  </w:style>
  <w:style w:type="character" w:styleId="TtuloCar" w:customStyle="1">
    <w:name w:val="Título Car"/>
    <w:basedOn w:val="DefaultParagraphFont"/>
    <w:link w:val="Ttulo"/>
    <w:uiPriority w:val="10"/>
    <w:qFormat/>
    <w:rsid w:val="0087230c"/>
    <w:rPr>
      <w:rFonts w:ascii="Times New Roman" w:hAnsi="Times New Roman" w:eastAsia="Times New Roman" w:cs="Times New Roman"/>
      <w:b/>
      <w:sz w:val="24"/>
      <w:szCs w:val="24"/>
      <w:lang w:eastAsia="es-MX"/>
    </w:rPr>
  </w:style>
  <w:style w:type="character" w:styleId="Strong">
    <w:name w:val="Strong"/>
    <w:basedOn w:val="DefaultParagraphFont"/>
    <w:uiPriority w:val="22"/>
    <w:qFormat/>
    <w:rsid w:val="0087507b"/>
    <w:rPr>
      <w:b/>
      <w:bCs/>
    </w:rPr>
  </w:style>
  <w:style w:type="character" w:styleId="Tsalignmentelement" w:customStyle="1">
    <w:name w:val="ts-alignment-element"/>
    <w:basedOn w:val="DefaultParagraphFont"/>
    <w:qFormat/>
    <w:rsid w:val="0046307f"/>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rsid w:val="00ce7e90"/>
    <w:pPr>
      <w:spacing w:before="0" w:after="200"/>
      <w:ind w:left="720" w:hanging="0"/>
      <w:contextualSpacing/>
    </w:pPr>
    <w:rPr/>
  </w:style>
  <w:style w:type="paragraph" w:styleId="BalloonText">
    <w:name w:val="Balloon Text"/>
    <w:basedOn w:val="Normal"/>
    <w:link w:val="TextodegloboCar"/>
    <w:uiPriority w:val="99"/>
    <w:semiHidden/>
    <w:unhideWhenUsed/>
    <w:qFormat/>
    <w:rsid w:val="00872aa7"/>
    <w:pPr>
      <w:spacing w:lineRule="auto" w:line="240" w:before="0" w:after="0"/>
    </w:pPr>
    <w:rPr>
      <w:rFonts w:ascii="Tahoma" w:hAnsi="Tahoma" w:cs="Tahoma"/>
      <w:sz w:val="16"/>
      <w:szCs w:val="16"/>
    </w:rPr>
  </w:style>
  <w:style w:type="paragraph" w:styleId="Notaalpie">
    <w:name w:val="Footnote Text"/>
    <w:basedOn w:val="Normal"/>
    <w:link w:val="TextonotapieCar"/>
    <w:uiPriority w:val="99"/>
    <w:semiHidden/>
    <w:unhideWhenUsed/>
    <w:rsid w:val="00741f63"/>
    <w:pPr>
      <w:spacing w:lineRule="auto" w:line="240" w:before="0" w:after="0"/>
    </w:pPr>
    <w:rPr>
      <w:sz w:val="20"/>
      <w:szCs w:val="20"/>
    </w:rPr>
  </w:style>
  <w:style w:type="paragraph" w:styleId="NormalWeb">
    <w:name w:val="Normal (Web)"/>
    <w:basedOn w:val="Normal"/>
    <w:uiPriority w:val="99"/>
    <w:unhideWhenUsed/>
    <w:qFormat/>
    <w:rsid w:val="00df717e"/>
    <w:pPr>
      <w:spacing w:lineRule="auto" w:line="240" w:beforeAutospacing="1" w:afterAutospacing="1"/>
    </w:pPr>
    <w:rPr>
      <w:rFonts w:ascii="Times New Roman" w:hAnsi="Times New Roman" w:eastAsia="Times New Roman" w:cs="Times New Roman"/>
      <w:sz w:val="24"/>
      <w:szCs w:val="24"/>
      <w:lang w:eastAsia="es-MX"/>
    </w:rPr>
  </w:style>
  <w:style w:type="paragraph" w:styleId="Cabeceraypie">
    <w:name w:val="Cabecera y pie"/>
    <w:basedOn w:val="Normal"/>
    <w:qFormat/>
    <w:pPr/>
    <w:rPr/>
  </w:style>
  <w:style w:type="paragraph" w:styleId="Cabecera">
    <w:name w:val="Header"/>
    <w:basedOn w:val="Normal"/>
    <w:link w:val="EncabezadoCar"/>
    <w:uiPriority w:val="99"/>
    <w:unhideWhenUsed/>
    <w:rsid w:val="008d3864"/>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8d3864"/>
    <w:pPr>
      <w:tabs>
        <w:tab w:val="clear" w:pos="708"/>
        <w:tab w:val="center" w:pos="4419" w:leader="none"/>
        <w:tab w:val="right" w:pos="8838" w:leader="none"/>
      </w:tabs>
      <w:spacing w:lineRule="auto" w:line="240" w:before="0" w:after="0"/>
    </w:pPr>
    <w:rPr/>
  </w:style>
  <w:style w:type="paragraph" w:styleId="Ttulogeneral">
    <w:name w:val="Title"/>
    <w:basedOn w:val="Normal"/>
    <w:next w:val="Normal"/>
    <w:link w:val="TtuloCar"/>
    <w:uiPriority w:val="10"/>
    <w:qFormat/>
    <w:rsid w:val="0087230c"/>
    <w:pPr>
      <w:spacing w:lineRule="auto" w:line="240" w:before="0" w:after="120"/>
      <w:jc w:val="center"/>
    </w:pPr>
    <w:rPr>
      <w:rFonts w:ascii="Times New Roman" w:hAnsi="Times New Roman" w:eastAsia="Times New Roman" w:cs="Times New Roman"/>
      <w:b/>
      <w:sz w:val="24"/>
      <w:szCs w:val="24"/>
      <w:lang w:eastAsia="es-MX"/>
    </w:rPr>
  </w:style>
  <w:style w:type="paragraph" w:styleId="Cabeceraizquierda">
    <w:name w:val="Cabecera izquierda"/>
    <w:basedOn w:val="Cabecera"/>
    <w:qFormat/>
    <w:pPr>
      <w:suppressLineNumbers/>
      <w:tabs>
        <w:tab w:val="clear" w:pos="4419"/>
        <w:tab w:val="clear" w:pos="8838"/>
        <w:tab w:val="center" w:pos="4703" w:leader="none"/>
        <w:tab w:val="right" w:pos="9406" w:leader="none"/>
      </w:tabs>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bb5cf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AA66F-1BE5-47E4-A3DC-8E5F629E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Application>LibreOffice/7.0.4.2$Linux_X86_64 LibreOffice_project/00$Build-2</Application>
  <AppVersion>15.0000</AppVersion>
  <Pages>6</Pages>
  <Words>3401</Words>
  <Characters>18441</Characters>
  <CharactersWithSpaces>21663</CharactersWithSpaces>
  <Paragraphs>207</Paragraphs>
  <Company>UADY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2022-05-14T15:47:00Z</dcterms:created>
  <dc:creator>FIQ</dc:creator>
  <dc:description/>
  <dc:language>es-MX</dc:language>
  <cp:lastModifiedBy/>
  <cp:lastPrinted>2020-07-14T03:30:00Z</cp:lastPrinted>
  <dcterms:modified xsi:type="dcterms:W3CDTF">2022-07-16T15:23:16Z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