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Análisis transitorio de circuitos eléctricos mediante software como estrategia de enseñanza durante la pandemia </w:t>
      </w:r>
      <w:r>
        <w:rPr>
          <w:rFonts w:ascii="Times New Roman" w:hAnsi="Times New Roman"/>
          <w:b w:val="false"/>
          <w:bCs w:val="false"/>
          <w:sz w:val="44"/>
          <w:szCs w:val="44"/>
        </w:rPr>
        <w:t>C</w:t>
      </w:r>
      <w:r>
        <w:rPr>
          <w:rFonts w:ascii="Times New Roman" w:hAnsi="Times New Roman"/>
          <w:b w:val="false"/>
          <w:bCs w:val="false"/>
          <w:sz w:val="44"/>
          <w:szCs w:val="44"/>
        </w:rPr>
        <w:t>ovid-19</w:t>
      </w:r>
    </w:p>
    <w:p>
      <w:pPr>
        <w:pStyle w:val="Normal"/>
        <w:spacing w:lineRule="auto" w:line="240" w:before="0" w:after="0"/>
        <w:ind w:left="0" w:right="0" w:hanging="0"/>
        <w:jc w:val="center"/>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lang w:val="en-US"/>
        </w:rPr>
        <w:t xml:space="preserve">Transient analysis of electrical circuits using software as a teaching strategy during the </w:t>
      </w:r>
      <w:r>
        <w:rPr>
          <w:rFonts w:eastAsia="Times New Roman" w:cs="Times New Roman" w:ascii="Times New Roman" w:hAnsi="Times New Roman"/>
          <w:b w:val="false"/>
          <w:bCs w:val="false"/>
          <w:sz w:val="36"/>
          <w:szCs w:val="36"/>
          <w:lang w:val="en-US"/>
        </w:rPr>
        <w:t>C</w:t>
      </w:r>
      <w:r>
        <w:rPr>
          <w:rFonts w:eastAsia="Times New Roman" w:cs="Times New Roman" w:ascii="Times New Roman" w:hAnsi="Times New Roman"/>
          <w:b w:val="false"/>
          <w:bCs w:val="false"/>
          <w:sz w:val="36"/>
          <w:szCs w:val="36"/>
          <w:lang w:val="en-US"/>
        </w:rPr>
        <w:t>ovid-19 pandemic</w:t>
      </w:r>
    </w:p>
    <w:p>
      <w:pPr>
        <w:pStyle w:val="Normal"/>
        <w:pBdr/>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lang w:val="en-US"/>
        </w:rPr>
        <w:t>José Francisco Martínez Lendech</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Jesús García Blancas</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xml:space="preserve"> y Julián Flores Moreno</w:t>
      </w:r>
      <w:r>
        <w:rPr>
          <w:rFonts w:eastAsia="Times New Roman" w:cs="Times New Roman" w:ascii="Times New Roman" w:hAnsi="Times New Roman"/>
          <w:b w:val="false"/>
          <w:bCs w:val="false"/>
          <w:sz w:val="24"/>
          <w:szCs w:val="24"/>
          <w:vertAlign w:val="superscript"/>
          <w:lang w:val="en-US"/>
        </w:rPr>
        <w:t>1</w:t>
      </w:r>
    </w:p>
    <w:p>
      <w:pPr>
        <w:pStyle w:val="Normal"/>
        <w:spacing w:lineRule="auto" w:line="240" w:before="0" w:after="0"/>
        <w:ind w:left="0" w:right="0" w:hanging="0"/>
        <w:jc w:val="center"/>
        <w:rPr>
          <w:rFonts w:eastAsia="Times New Roman" w:cs="Times New Roman"/>
          <w:b/>
          <w:b/>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rPr>
        <w:t>1</w:t>
      </w:r>
      <w:r>
        <w:rPr>
          <w:rFonts w:eastAsia="Times New Roman" w:cs="Times New Roman" w:ascii="Times New Roman" w:hAnsi="Times New Roman"/>
          <w:b w:val="false"/>
          <w:bCs w:val="false"/>
          <w:i/>
          <w:iCs/>
          <w:sz w:val="24"/>
          <w:szCs w:val="24"/>
        </w:rPr>
        <w:t xml:space="preserve">Tecnológico Nacional de México, Instituto Tecnológico Superior del Oriente del Estado de Hidalgo, </w:t>
      </w:r>
      <w:r>
        <w:rPr>
          <w:rFonts w:eastAsia="Times New Roman" w:cs="Times New Roman" w:ascii="Times New Roman" w:hAnsi="Times New Roman"/>
          <w:b w:val="false"/>
          <w:bCs w:val="false"/>
          <w:i/>
          <w:iCs/>
          <w:sz w:val="24"/>
          <w:szCs w:val="24"/>
        </w:rPr>
        <w:t>Carretera Apan-Tepeapulco, Las Peñitas, 43900 Apan, H</w:t>
      </w:r>
      <w:r>
        <w:rPr>
          <w:rFonts w:eastAsia="Times New Roman" w:cs="Times New Roman" w:ascii="Times New Roman" w:hAnsi="Times New Roman"/>
          <w:b w:val="false"/>
          <w:bCs w:val="false"/>
          <w:i/>
          <w:iCs/>
          <w:sz w:val="24"/>
          <w:szCs w:val="24"/>
        </w:rPr>
        <w:t>idal</w:t>
      </w:r>
      <w:r>
        <w:rPr>
          <w:rFonts w:eastAsia="Times New Roman" w:cs="Times New Roman" w:ascii="Times New Roman" w:hAnsi="Times New Roman"/>
          <w:b w:val="false"/>
          <w:bCs w:val="false"/>
          <w:i/>
          <w:iCs/>
          <w:sz w:val="24"/>
          <w:szCs w:val="24"/>
        </w:rPr>
        <w:t xml:space="preserve">go, </w:t>
      </w:r>
      <w:r>
        <w:rPr>
          <w:rFonts w:eastAsia="Times New Roman" w:cs="Times New Roman" w:ascii="Times New Roman" w:hAnsi="Times New Roman"/>
          <w:b w:val="false"/>
          <w:bCs w:val="false"/>
          <w:i/>
          <w:iCs/>
          <w:sz w:val="24"/>
          <w:szCs w:val="24"/>
        </w:rPr>
        <w:t>México</w:t>
      </w:r>
      <w:r>
        <w:rPr>
          <w:rFonts w:eastAsia="Times New Roman" w:cs="Times New Roman" w:ascii="Times New Roman" w:hAnsi="Times New Roman"/>
          <w:b w:val="false"/>
          <w:bCs w:val="false"/>
          <w:i/>
          <w:iCs/>
          <w:sz w:val="24"/>
          <w:szCs w:val="24"/>
        </w:rPr>
        <w:t>.</w:t>
      </w:r>
    </w:p>
    <w:p>
      <w:pPr>
        <w:pStyle w:val="Normal"/>
        <w:spacing w:lineRule="auto" w:line="240" w:before="0" w:after="0"/>
        <w:ind w:left="0" w:right="0" w:hanging="0"/>
        <w:jc w:val="center"/>
        <w:rPr>
          <w:rFonts w:eastAsia="Times New Roman" w:cs="Times New Roman"/>
          <w:b/>
          <w:b/>
        </w:rPr>
      </w:pPr>
      <w:r>
        <w:rPr>
          <w:rFonts w:ascii="Times New Roman" w:hAnsi="Times New Roman"/>
          <w:i/>
          <w:iCs/>
          <w:sz w:val="20"/>
          <w:szCs w:val="20"/>
        </w:rPr>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u w:val="none"/>
        </w:rPr>
      </w:pPr>
      <w:r>
        <w:rPr>
          <w:rFonts w:eastAsia="Times New Roman" w:cs="Times New Roman" w:ascii="Times New Roman" w:hAnsi="Times New Roman"/>
          <w:b w:val="false"/>
          <w:bCs w:val="false"/>
          <w:i/>
          <w:iCs/>
          <w:color w:val="000000"/>
          <w:sz w:val="20"/>
          <w:szCs w:val="20"/>
          <w:u w:val="none"/>
        </w:rPr>
        <w:t>*</w:t>
      </w:r>
      <w:r>
        <w:rPr>
          <w:rFonts w:eastAsia="Times New Roman" w:cs="Times New Roman" w:ascii="Times New Roman" w:hAnsi="Times New Roman"/>
          <w:b w:val="false"/>
          <w:bCs w:val="false"/>
          <w:i/>
          <w:iCs/>
          <w:color w:val="000000"/>
          <w:sz w:val="20"/>
          <w:szCs w:val="20"/>
          <w:u w:val="none"/>
        </w:rPr>
        <w:t>Corresponding author:</w:t>
      </w:r>
    </w:p>
    <w:p>
      <w:pPr>
        <w:pStyle w:val="Normal"/>
        <w:spacing w:lineRule="auto" w:line="240" w:before="0" w:after="0"/>
        <w:ind w:left="0" w:right="0" w:hanging="0"/>
        <w:jc w:val="center"/>
        <w:rPr/>
      </w:pPr>
      <w:hyperlink r:id="rId3">
        <w:r>
          <w:rPr>
            <w:rStyle w:val="EnlacedeInternet"/>
            <w:rFonts w:eastAsia="Times New Roman" w:cs="Times New Roman" w:ascii="Times New Roman" w:hAnsi="Times New Roman"/>
            <w:b w:val="false"/>
            <w:bCs w:val="false"/>
            <w:i/>
            <w:iCs/>
            <w:color w:val="000000"/>
            <w:sz w:val="20"/>
            <w:szCs w:val="20"/>
            <w:u w:val="none"/>
          </w:rPr>
          <w:t>fmartinez@itesa.edu.mx</w:t>
        </w:r>
      </w:hyperlink>
    </w:p>
    <w:p>
      <w:pPr>
        <w:pStyle w:val="Normal"/>
        <w:spacing w:lineRule="auto" w:line="240" w:before="0" w:after="0"/>
        <w:ind w:left="0" w:right="0" w:hanging="0"/>
        <w:jc w:val="both"/>
        <w:rPr>
          <w:rFonts w:eastAsia="Times New Roman" w:cs="Times New Roman"/>
          <w:b/>
          <w:b/>
        </w:rPr>
      </w:pPr>
      <w:r>
        <w:rPr>
          <w:rFonts w:ascii="Times New Roman" w:hAnsi="Times New Roman"/>
          <w:i/>
          <w:iCs/>
          <w:sz w:val="20"/>
          <w:szCs w:val="20"/>
        </w:rPr>
      </w:r>
    </w:p>
    <w:p>
      <w:pPr>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En la enseñanza del análisis de circuitos eléctricos, parte de estos se basan en el estado transitorio los cuales permiten conocer las respuestas que tendrán los circuitos en caso de perturbaciones eléctricas como son: fallas eléctricas, corto circuito, descargas eléctricas, maniobras, entre otras, que ocasionan una inestabilidad. Estos fenómenos suceden en lapsos de tiempo del orden de milisegundos, evitando que el estudiante pueda observar el comportamiento de la respuesta en un circuito construido físicamente. Derivado de lo anterior, se presenta un caso de estudio utilizando software como estrategia de enseñanza durante la pandemia Covid-19, que permita simular e interpretar los resultados de dichos fenómenos. </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bookmarkStart w:id="1" w:name="_Hlk99148948"/>
      <w:bookmarkEnd w:id="1"/>
      <w:r>
        <w:rPr>
          <w:rFonts w:eastAsia="Times New Roman" w:cs="Times New Roman" w:ascii="Times New Roman" w:hAnsi="Times New Roman"/>
          <w:b/>
          <w:bCs/>
          <w:sz w:val="20"/>
          <w:szCs w:val="20"/>
        </w:rPr>
        <w:t>Palabras claves: Transitorios electromagnéticos, software, simulación, clases virtuales, Covid-19.</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In the analysis of electrical circuits teaching, part of these are based on the transient state which allows knowing the responses that the circuits will have in case of electrical disturbances such as: electrical failures, short circuits, electrical discharges, maneuvers, among others, that cause instability. These phenomena occur in time lapses of the order of milliseconds, preventing the student from observing the behavior of the response in a physically built circuit. Derived from the above, a case study is presented using software as a teaching strategy during the Covid-19 pandemic, that allows simulating and interpreting the results of said phenomena.</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Electromagnetic transients, software, simulation, virtual classes, Covid-19.</w:t>
      </w:r>
    </w:p>
    <w:p>
      <w:pPr>
        <w:pStyle w:val="Normal"/>
        <w:spacing w:lineRule="auto" w:line="240" w:before="0" w:after="0"/>
        <w:ind w:left="0" w:right="0" w:hanging="0"/>
        <w:jc w:val="both"/>
        <w:rPr>
          <w:rFonts w:eastAsia="Times New Roman" w:cs="Times New Roman"/>
          <w:b/>
          <w:b/>
        </w:rPr>
      </w:pPr>
      <w:r>
        <w:rPr>
          <w:rFonts w:ascii="Times New Roman" w:hAnsi="Times New Roman"/>
          <w:sz w:val="20"/>
          <w:szCs w:val="20"/>
        </w:rPr>
      </w:r>
    </w:p>
    <w:p>
      <w:pPr>
        <w:pStyle w:val="Normal"/>
        <w:spacing w:lineRule="auto" w:line="240" w:before="0" w:after="0"/>
        <w:ind w:left="0" w:right="0" w:hanging="0"/>
        <w:jc w:val="both"/>
        <w:rPr>
          <w:rFonts w:eastAsia="Times New Roman" w:cs="Times New Roman"/>
          <w:b/>
          <w:b/>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 </w:t>
      </w:r>
      <w:r>
        <w:rPr>
          <w:rFonts w:eastAsia="Times New Roman" w:cs="Times New Roman" w:ascii="Times New Roman" w:hAnsi="Times New Roman"/>
          <w:b/>
          <w:sz w:val="20"/>
          <w:szCs w:val="20"/>
        </w:rPr>
        <w:t>INTRODUCCIÓN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uso de software para el análisis de circuitos eléctricos durante la pandemia Covid-19 ha sido una estrategia implementada como un laboratorio virtual para acompañar el aprendizaje e interactuar de manera sencilla e intuitiva (</w:t>
      </w:r>
      <w:r>
        <w:rPr>
          <w:rFonts w:eastAsia="Times New Roman" w:cs="Times New Roman" w:ascii="Times New Roman" w:hAnsi="Times New Roman"/>
          <w:i/>
          <w:color w:val="000000"/>
          <w:sz w:val="20"/>
          <w:szCs w:val="20"/>
        </w:rPr>
        <w:t>Serrano, Martinez, &amp; Clavijo, 2021)</w:t>
      </w:r>
      <w:r>
        <w:rPr>
          <w:rFonts w:eastAsia="Times New Roman" w:cs="Times New Roman" w:ascii="Times New Roman" w:hAnsi="Times New Roman"/>
          <w:sz w:val="20"/>
          <w:szCs w:val="20"/>
        </w:rPr>
        <w:t>. Un análisis transitorio parte de ecuaciones diferenciales dado que es un fenómeno variante en el tiempo. Existen distintos métodos de solución para las ecuaciones diferenciales, los más comunes son: coeficientes indeterminados y la transformada de Laplace; en la práctica es común el uso de métodos numéricos como: la regla trapezoidal, o el método de Runge-Kutta debido a la complejidad que pueda tener un circuito. La comparación de los métodos permite una comparación de precisión contra complejidad de cálculo (Glover, Sarma, &amp; Overbye, 2017).</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Muchas veces en la docencia es complicado transmitir a los estudiantes este tipo de conocimientos derivado de la complejidad matemática y del cuestionamiento de que son fenómenos de corta duración que no ameritan la atención en el análisis de redes eléctricas. El apoyo del software permite al docente optimizar el tiempo de las clases virtuales para el desarrollo de estos estudios y explicar su importancia.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Análisis transitorio en circuitos eléctricos utilizando software</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Se presenta el caso de estudio de un circuito resistivo – inductivo (RL), la Figura 1 muestra el diseño del circuito en el software Isis Proteus. Se desea obtener la respuesta transitoria del voltaje y la corriente en la bobina L1 durante los primeros 500 milisegundos de energizado el circuito. Se utiliza el Teorema de Thévenin como técnica que simplifica en gran medida el análisis de muchos circuitos lineales. (Hayt, Kemmerly, &amp; Durbin, 2019).</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98140" cy="1324610"/>
            <wp:effectExtent l="0" t="0" r="0" b="0"/>
            <wp:docPr id="2"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descr=""/>
                    <pic:cNvPicPr>
                      <a:picLocks noChangeAspect="1" noChangeArrowheads="1"/>
                    </pic:cNvPicPr>
                  </pic:nvPicPr>
                  <pic:blipFill>
                    <a:blip r:embed="rId10"/>
                    <a:stretch>
                      <a:fillRect/>
                    </a:stretch>
                  </pic:blipFill>
                  <pic:spPr bwMode="auto">
                    <a:xfrm>
                      <a:off x="0" y="0"/>
                      <a:ext cx="2898140" cy="132461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1. Circuito RL mixto, completo y simplificado. 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Figura 2 muestra el análisis matemático desarrollado en MathCad para obtener las ecuaciones de corriente y voltaje en la bobina L1. Este software facilita la enseñanza, ya que su representación para el análisis y la edición de las ecuaciones es similar a la escritura que se realizaría en el pizarrón blanco. En las clases virtuales ha sido de gran apoyo para la explicación del desarrollo de ecuaciones matemáticas. Como puede observarse las herramientas tecnológicas como el software son necesarios para la ejecución de las actividades académicas en estudiantes de nivel técnico-tecnológico en el área de las ciencias e ingenierías (Sánchez &amp; Uve, 2021).</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98140" cy="1043940"/>
            <wp:effectExtent l="0" t="0" r="0" b="0"/>
            <wp:docPr id="3"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agrama&#10;&#10;Descripción generada automáticamente con confianza media"/>
                    <pic:cNvPicPr>
                      <a:picLocks noChangeAspect="1" noChangeArrowheads="1"/>
                    </pic:cNvPicPr>
                  </pic:nvPicPr>
                  <pic:blipFill>
                    <a:blip r:embed="rId11"/>
                    <a:stretch>
                      <a:fillRect/>
                    </a:stretch>
                  </pic:blipFill>
                  <pic:spPr bwMode="auto">
                    <a:xfrm>
                      <a:off x="0" y="0"/>
                      <a:ext cx="2898140" cy="104394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2. Análisis del circuito RL mixto utilizando Teorema de Thévenin. Fuente: Elaboración propia.</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uso de software mejora el proceso de enseñanza – aprendizaje en este tipo de asignaturas, la combinación de software matemático para el desarrollo analítico, y el software de diseño electrónico para obtener mediciones y gráficas, permiten realizar una mejor interpretación e incluso la comparación de resultados obtenidos con ambos programas.</w:t>
      </w:r>
    </w:p>
    <w:p>
      <w:pPr>
        <w:pStyle w:val="Normal"/>
        <w:spacing w:lineRule="auto" w:line="240" w:before="0" w:after="0"/>
        <w:ind w:left="0" w:right="0" w:hanging="0"/>
        <w:jc w:val="both"/>
        <w:rPr>
          <w:rFonts w:eastAsia="Times New Roman" w:cs="Times New Roman"/>
          <w:b/>
          <w:b/>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RESULTADOS</w:t>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El uso del software en este tipo de asignaturas permite al docente optimizar el tiempo en clase y poder realizar más ejercicios y ejemplos de aplicación. Para el caso de estudio, la Figura 3 muestra las gráficas de corriente y voltaje en la bobina L1, en la cual estas variables se estabilizan en 120 ms sin ocasionar ninguna perturbación. El utilizar software en la enseñanza propicia en el estudiante una mayor comprensión de estos temas, aunado a que la pandemia Covid-19 ha obligado a las instituciones de educación superior a migrar súbitamente sus actividades académicas a la modalidad remota (Jiménez, &amp; Rey, 2021).</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98140" cy="109791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2"/>
                    <a:stretch>
                      <a:fillRect/>
                    </a:stretch>
                  </pic:blipFill>
                  <pic:spPr bwMode="auto">
                    <a:xfrm>
                      <a:off x="0" y="0"/>
                      <a:ext cx="2898140" cy="109791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3. Graficas de corriente y voltaje en la bobina L1. Fuente: Elaboración propia.</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 xml:space="preserve">III. </w:t>
      </w:r>
      <w:r>
        <w:rPr>
          <w:rFonts w:eastAsia="Times New Roman" w:cs="Times New Roman" w:ascii="Times New Roman" w:hAnsi="Times New Roman"/>
          <w:b/>
          <w:color w:val="000000"/>
          <w:sz w:val="20"/>
          <w:szCs w:val="20"/>
        </w:rPr>
        <w:t>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Desde el punto de vista de la enseñanza fue importante utilizar software que facilitara la comprensión de estos estudios, y cubrir la parte práctica de la asignatura de análisis de circuitos eléctricos como si se tratara de un laboratorio virtual, además que estos fenómenos por naturaleza suceden en tiempos muy cortos en donde no es posible visualizarlos físicamente. Se observo en los estudiantes un mayor interés en estos temas viéndose reflejado con un mejor aprovechamiento del grupo. Como trabajo futuro, se pretenden incorporar estas estrategias en asignaturas afines como: electricidad y magnetismo, máquinas eléctricas, y sistemas eléctricos de potencia, así, fomentar en los estudiantes el domino de herramientas de análisis y simulación que faciliten su desarrollo profesional.</w:t>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REFERENCIAS</w:t>
      </w:r>
    </w:p>
    <w:p>
      <w:pPr>
        <w:pStyle w:val="Normal"/>
        <w:pBdr/>
        <w:spacing w:lineRule="auto" w:line="240" w:before="0" w:after="0"/>
        <w:ind w:left="0" w:right="0" w:hanging="0"/>
        <w:jc w:val="both"/>
        <w:rPr>
          <w:rFonts w:ascii="Times New Roman" w:hAnsi="Times New Roman"/>
          <w:i w:val="false"/>
          <w:i w:val="false"/>
          <w:iCs w:val="false"/>
          <w:sz w:val="20"/>
          <w:szCs w:val="20"/>
        </w:rPr>
      </w:pPr>
      <w:bookmarkStart w:id="2" w:name="_Hlk99150089"/>
      <w:r>
        <w:rPr>
          <w:rFonts w:eastAsia="Times New Roman" w:cs="Times New Roman" w:ascii="Times New Roman" w:hAnsi="Times New Roman"/>
          <w:i w:val="false"/>
          <w:iCs w:val="false"/>
          <w:color w:val="000000"/>
          <w:sz w:val="20"/>
          <w:szCs w:val="20"/>
        </w:rPr>
        <w:t>Glover, J. D., Sarma, M. S., &amp; Overbye, T. J. (201</w:t>
      </w:r>
      <w:bookmarkEnd w:id="2"/>
      <w:r>
        <w:rPr>
          <w:rFonts w:eastAsia="Times New Roman" w:cs="Times New Roman" w:ascii="Times New Roman" w:hAnsi="Times New Roman"/>
          <w:i w:val="false"/>
          <w:iCs w:val="false"/>
          <w:color w:val="000000"/>
          <w:sz w:val="20"/>
          <w:szCs w:val="20"/>
        </w:rPr>
        <w:t xml:space="preserve">7). </w:t>
      </w:r>
      <w:r>
        <w:rPr>
          <w:rFonts w:eastAsia="Times New Roman" w:cs="Times New Roman" w:ascii="Times New Roman" w:hAnsi="Times New Roman"/>
          <w:i/>
          <w:iCs/>
          <w:color w:val="000000"/>
          <w:sz w:val="20"/>
          <w:szCs w:val="20"/>
          <w:lang w:val="en-US"/>
        </w:rPr>
        <w:t xml:space="preserve">Power System Analysis and Design </w:t>
      </w:r>
      <w:r>
        <w:rPr>
          <w:rFonts w:eastAsia="Times New Roman" w:cs="Times New Roman" w:ascii="Times New Roman" w:hAnsi="Times New Roman"/>
          <w:i w:val="false"/>
          <w:iCs w:val="false"/>
          <w:color w:val="000000"/>
          <w:sz w:val="20"/>
          <w:szCs w:val="20"/>
          <w:lang w:val="en-US"/>
        </w:rPr>
        <w:t>(6th ed.). USA: Cengage Learning.</w:t>
      </w:r>
    </w:p>
    <w:p>
      <w:pPr>
        <w:pStyle w:val="Normal"/>
        <w:pBdr/>
        <w:spacing w:lineRule="auto" w:line="240" w:before="0" w:after="0"/>
        <w:ind w:left="0" w:right="0" w:hanging="0"/>
        <w:jc w:val="both"/>
        <w:rPr>
          <w:rFonts w:eastAsia="Times New Roman" w:cs="Times New Roman"/>
          <w:color w:val="000000"/>
          <w:lang w:val="en-US"/>
        </w:rPr>
      </w:pPr>
      <w:r>
        <w:rPr>
          <w:rFonts w:ascii="Times New Roman" w:hAnsi="Times New Roman"/>
          <w:i w:val="false"/>
          <w:iCs w:val="false"/>
          <w:sz w:val="20"/>
          <w:szCs w:val="20"/>
        </w:rPr>
      </w:r>
    </w:p>
    <w:p>
      <w:pPr>
        <w:pStyle w:val="Normal"/>
        <w:pBdr/>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i w:val="false"/>
          <w:iCs w:val="false"/>
          <w:color w:val="000000"/>
          <w:sz w:val="20"/>
          <w:szCs w:val="20"/>
          <w:lang w:val="en-US"/>
        </w:rPr>
        <w:t xml:space="preserve">Hayt, W., Kemmerly, J., &amp; Durbin, S. (2019). </w:t>
      </w:r>
      <w:r>
        <w:rPr>
          <w:rFonts w:eastAsia="Times New Roman" w:cs="Times New Roman" w:ascii="Times New Roman" w:hAnsi="Times New Roman"/>
          <w:i/>
          <w:iCs/>
          <w:color w:val="000000"/>
          <w:sz w:val="20"/>
          <w:szCs w:val="20"/>
          <w:lang w:val="en-US"/>
        </w:rPr>
        <w:t>Engineering Circuit Analysis</w:t>
      </w:r>
      <w:r>
        <w:rPr>
          <w:rFonts w:eastAsia="Times New Roman" w:cs="Times New Roman" w:ascii="Times New Roman" w:hAnsi="Times New Roman"/>
          <w:i w:val="false"/>
          <w:iCs w:val="false"/>
          <w:color w:val="000000"/>
          <w:sz w:val="20"/>
          <w:szCs w:val="20"/>
          <w:lang w:val="en-US"/>
        </w:rPr>
        <w:t xml:space="preserve"> (9th ed.). </w:t>
      </w:r>
      <w:r>
        <w:rPr>
          <w:rFonts w:eastAsia="Times New Roman" w:cs="Times New Roman" w:ascii="Times New Roman" w:hAnsi="Times New Roman"/>
          <w:i w:val="false"/>
          <w:iCs w:val="false"/>
          <w:color w:val="000000"/>
          <w:sz w:val="20"/>
          <w:szCs w:val="20"/>
        </w:rPr>
        <w:t>USA: Mc Graw Hill.</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i w:val="false"/>
          <w:iCs w:val="false"/>
          <w:sz w:val="20"/>
          <w:szCs w:val="20"/>
        </w:rPr>
      </w:r>
    </w:p>
    <w:p>
      <w:pPr>
        <w:pStyle w:val="Normal"/>
        <w:pBdr/>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i w:val="false"/>
          <w:iCs w:val="false"/>
          <w:color w:val="000000"/>
          <w:sz w:val="20"/>
          <w:szCs w:val="20"/>
        </w:rPr>
        <w:t xml:space="preserve">Jiménez, D., &amp; Rey, J. M. (2021). Estrategias pedagógicas basadas en herramientas tic para la enseñanza de circuitos eléctrico. </w:t>
      </w:r>
      <w:r>
        <w:rPr>
          <w:rFonts w:eastAsia="Times New Roman" w:cs="Times New Roman" w:ascii="Times New Roman" w:hAnsi="Times New Roman"/>
          <w:i/>
          <w:iCs/>
          <w:color w:val="000000"/>
          <w:sz w:val="20"/>
          <w:szCs w:val="20"/>
        </w:rPr>
        <w:t>Encuentro Internacional De Educación En Ingeniería</w:t>
      </w:r>
      <w:r>
        <w:rPr>
          <w:rFonts w:eastAsia="Times New Roman" w:cs="Times New Roman" w:ascii="Times New Roman" w:hAnsi="Times New Roman"/>
          <w:i w:val="false"/>
          <w:iCs w:val="false"/>
          <w:color w:val="000000"/>
          <w:sz w:val="20"/>
          <w:szCs w:val="20"/>
        </w:rPr>
        <w:t>. https://acofipapers.org/index.php/eiei/article/view/1655</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i w:val="false"/>
          <w:iCs w:val="false"/>
          <w:sz w:val="20"/>
          <w:szCs w:val="20"/>
        </w:rPr>
      </w:r>
    </w:p>
    <w:p>
      <w:pPr>
        <w:pStyle w:val="Normal"/>
        <w:pBdr/>
        <w:spacing w:lineRule="auto" w:line="240" w:before="0" w:after="0"/>
        <w:ind w:left="0" w:right="0" w:hanging="0"/>
        <w:jc w:val="both"/>
        <w:rPr>
          <w:rFonts w:ascii="Times New Roman" w:hAnsi="Times New Roman"/>
          <w:i w:val="false"/>
          <w:i w:val="false"/>
          <w:iCs w:val="false"/>
          <w:sz w:val="20"/>
          <w:szCs w:val="20"/>
        </w:rPr>
      </w:pPr>
      <w:bookmarkStart w:id="3" w:name="_Hlk99152065"/>
      <w:r>
        <w:rPr>
          <w:rFonts w:eastAsia="Times New Roman" w:cs="Times New Roman" w:ascii="Times New Roman" w:hAnsi="Times New Roman"/>
          <w:i w:val="false"/>
          <w:iCs w:val="false"/>
          <w:color w:val="000000"/>
          <w:sz w:val="20"/>
          <w:szCs w:val="20"/>
        </w:rPr>
        <w:t>Sánchez, D. J. O., &amp; Uve, G. E. C. (2021</w:t>
      </w:r>
      <w:bookmarkEnd w:id="3"/>
      <w:r>
        <w:rPr>
          <w:rFonts w:eastAsia="Times New Roman" w:cs="Times New Roman" w:ascii="Times New Roman" w:hAnsi="Times New Roman"/>
          <w:i w:val="false"/>
          <w:iCs w:val="false"/>
          <w:color w:val="000000"/>
          <w:sz w:val="20"/>
          <w:szCs w:val="20"/>
        </w:rPr>
        <w:t xml:space="preserve">). Experiencia de observación y registro de un plan de clase en la educación en línea por el COVID-19, en el cuarto semestre, asignatura de PLC “Controladores Lógicos Programables”. </w:t>
      </w:r>
      <w:r>
        <w:rPr>
          <w:rFonts w:eastAsia="Times New Roman" w:cs="Times New Roman" w:ascii="Times New Roman" w:hAnsi="Times New Roman"/>
          <w:i/>
          <w:iCs/>
          <w:color w:val="000000"/>
          <w:sz w:val="20"/>
          <w:szCs w:val="20"/>
        </w:rPr>
        <w:t>Mundo Recursivo</w:t>
      </w:r>
      <w:r>
        <w:rPr>
          <w:rFonts w:eastAsia="Times New Roman" w:cs="Times New Roman" w:ascii="Times New Roman" w:hAnsi="Times New Roman"/>
          <w:i w:val="false"/>
          <w:iCs w:val="false"/>
          <w:color w:val="000000"/>
          <w:sz w:val="20"/>
          <w:szCs w:val="20"/>
        </w:rPr>
        <w:t xml:space="preserve">, 4(1), 1-19. </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i w:val="false"/>
          <w:iCs w:val="false"/>
          <w:sz w:val="20"/>
          <w:szCs w:val="20"/>
        </w:rPr>
      </w:r>
    </w:p>
    <w:p>
      <w:pPr>
        <w:pStyle w:val="Normal"/>
        <w:pBdr/>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i w:val="false"/>
          <w:iCs w:val="false"/>
          <w:color w:val="000000"/>
          <w:sz w:val="20"/>
          <w:szCs w:val="20"/>
        </w:rPr>
        <w:t xml:space="preserve">Serrano, G., Martinez, C., &amp; Clavijo, S. (2021). Empleo de recursos virtuales para la enseñanza de circuitos eléctricos en ciclo básico de Ingeniería. </w:t>
      </w:r>
      <w:r>
        <w:rPr>
          <w:rFonts w:eastAsia="Times New Roman" w:cs="Times New Roman" w:ascii="Times New Roman" w:hAnsi="Times New Roman"/>
          <w:i/>
          <w:iCs/>
          <w:color w:val="000000"/>
          <w:sz w:val="20"/>
          <w:szCs w:val="20"/>
        </w:rPr>
        <w:t>Revista de Enseñanza de la Física</w:t>
      </w:r>
      <w:r>
        <w:rPr>
          <w:rFonts w:eastAsia="Times New Roman" w:cs="Times New Roman" w:ascii="Times New Roman" w:hAnsi="Times New Roman"/>
          <w:i w:val="false"/>
          <w:iCs w:val="false"/>
          <w:color w:val="000000"/>
          <w:sz w:val="20"/>
          <w:szCs w:val="20"/>
        </w:rPr>
        <w:t>, Vol. 33, no. 2.</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sectPr>
      <w:headerReference w:type="even" r:id="rId13"/>
      <w:headerReference w:type="default" r:id="rId14"/>
      <w:headerReference w:type="first" r:id="rId15"/>
      <w:footerReference w:type="even" r:id="rId16"/>
      <w:footerReference w:type="default" r:id="rId17"/>
      <w:footerReference w:type="first" r:id="rId18"/>
      <w:type w:val="continuous"/>
      <w:pgSz w:w="12240" w:h="15840"/>
      <w:pgMar w:left="1417" w:right="1417" w:header="1417" w:top="1983"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6"/>
      <w:gridCol w:w="4140"/>
      <w:gridCol w:w="2779"/>
    </w:tblGrid>
    <w:tr>
      <w:trPr/>
      <w:tc>
        <w:tcPr>
          <w:tcW w:w="2486"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w:t>
          </w:r>
          <w:r>
            <w:rPr>
              <w:rFonts w:ascii="Times new roman" w:hAnsi="Times new roman"/>
              <w:sz w:val="16"/>
              <w:szCs w:val="16"/>
            </w:rPr>
            <w:t xml:space="preserve">ecibido: </w:t>
          </w:r>
          <w:r>
            <w:rPr>
              <w:rFonts w:ascii="Times new roman" w:hAnsi="Times new roman"/>
              <w:sz w:val="16"/>
              <w:szCs w:val="16"/>
            </w:rPr>
            <w:t>0</w:t>
          </w:r>
          <w:r>
            <w:rPr>
              <w:rFonts w:ascii="Times new roman" w:hAnsi="Times new roman"/>
              <w:sz w:val="16"/>
              <w:szCs w:val="16"/>
            </w:rPr>
            <w:t>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0" w:name="__DdeLink__3403_881141052"/>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tc>
      <w:tc>
        <w:tcPr>
          <w:tcW w:w="2779"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6"/>
      <w:gridCol w:w="4140"/>
      <w:gridCol w:w="2779"/>
    </w:tblGrid>
    <w:tr>
      <w:trPr/>
      <w:tc>
        <w:tcPr>
          <w:tcW w:w="2486"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w:t>
          </w:r>
          <w:r>
            <w:rPr>
              <w:rFonts w:ascii="Times new roman" w:hAnsi="Times new roman"/>
              <w:sz w:val="16"/>
              <w:szCs w:val="16"/>
            </w:rPr>
            <w:t xml:space="preserve">ecibido: </w:t>
          </w:r>
          <w:r>
            <w:rPr>
              <w:rFonts w:ascii="Times new roman" w:hAnsi="Times new roman"/>
              <w:sz w:val="16"/>
              <w:szCs w:val="16"/>
            </w:rPr>
            <w:t>0</w:t>
          </w:r>
          <w:r>
            <w:rPr>
              <w:rFonts w:ascii="Times new roman" w:hAnsi="Times new roman"/>
              <w:sz w:val="16"/>
              <w:szCs w:val="16"/>
            </w:rPr>
            <w:t>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4" w:name="__DdeLink__3403_881141052"/>
          <w:r>
            <w:rPr>
              <w:rFonts w:eastAsia="Arial" w:cs="Arial" w:ascii="Cantarell" w:hAnsi="Cantarell"/>
              <w:sz w:val="16"/>
              <w:szCs w:val="16"/>
            </w:rPr>
            <w:t xml:space="preserve">© </w:t>
          </w:r>
          <w:bookmarkEnd w:id="4"/>
          <w:r>
            <w:rPr>
              <w:rFonts w:ascii="Times new roman" w:hAnsi="Times new roman"/>
              <w:sz w:val="16"/>
              <w:szCs w:val="16"/>
            </w:rPr>
            <w:t>TecNM – Instituto Tecnológico Superior Progreso</w:t>
          </w:r>
        </w:p>
      </w:tc>
      <w:tc>
        <w:tcPr>
          <w:tcW w:w="2779"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50</w:t>
    </w:r>
    <w:r>
      <w:rPr>
        <w:rFonts w:ascii="Times new roman" w:hAnsi="Times new roman"/>
        <w:b w:val="false"/>
        <w:i/>
        <w:iCs/>
        <w:caps w:val="false"/>
        <w:smallCaps w:val="false"/>
        <w:spacing w:val="0"/>
        <w:sz w:val="16"/>
        <w:szCs w:val="16"/>
      </w:rPr>
      <w:t>, Julio - Diciembre 2022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50</w:t>
    </w:r>
    <w:r>
      <w:rPr>
        <w:rFonts w:ascii="Times new roman" w:hAnsi="Times new roman"/>
        <w:b w:val="false"/>
        <w:i/>
        <w:iCs/>
        <w:caps w:val="false"/>
        <w:smallCaps w:val="false"/>
        <w:spacing w:val="0"/>
        <w:sz w:val="16"/>
        <w:szCs w:val="16"/>
      </w:rPr>
      <w:t>,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50</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50</w:t>
    </w:r>
    <w:r>
      <w:rPr>
        <w:rFonts w:ascii="Times new roman" w:hAnsi="Times new roman"/>
        <w:b w:val="false"/>
        <w:i/>
        <w:iCs/>
        <w:caps w:val="false"/>
        <w:smallCaps w:val="false"/>
        <w:spacing w:val="0"/>
        <w:sz w:val="16"/>
        <w:szCs w:val="16"/>
      </w:rPr>
      <w:t>, Julio - Diciembre 2022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50</w:t>
    </w:r>
    <w:r>
      <w:rPr>
        <w:rFonts w:ascii="Times new roman" w:hAnsi="Times new roman"/>
        <w:b w:val="false"/>
        <w:i/>
        <w:iCs/>
        <w:caps w:val="false"/>
        <w:smallCaps w:val="false"/>
        <w:spacing w:val="0"/>
        <w:sz w:val="16"/>
        <w:szCs w:val="16"/>
      </w:rPr>
      <w:t>, Julio - Diciembre 2022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50</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98"/>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link w:val="Ttulo1Car"/>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374abe"/>
    <w:rPr>
      <w:b/>
      <w:sz w:val="48"/>
      <w:szCs w:val="48"/>
    </w:rPr>
  </w:style>
  <w:style w:type="character" w:styleId="EnlacedeInternet">
    <w:name w:val="Enlace de Internet"/>
    <w:basedOn w:val="DefaultParagraphFont"/>
    <w:uiPriority w:val="99"/>
    <w:unhideWhenUsed/>
    <w:rsid w:val="00062783"/>
    <w:rPr>
      <w:color w:val="0000FF" w:themeColor="hyperlink"/>
      <w:u w:val="single"/>
    </w:rPr>
  </w:style>
  <w:style w:type="character" w:styleId="UnresolvedMention">
    <w:name w:val="Unresolved Mention"/>
    <w:basedOn w:val="DefaultParagraphFont"/>
    <w:uiPriority w:val="99"/>
    <w:semiHidden/>
    <w:unhideWhenUsed/>
    <w:qFormat/>
    <w:rsid w:val="00062783"/>
    <w:rPr>
      <w:color w:val="605E5C"/>
      <w:shd w:fill="E1DFDD" w:val="clear"/>
    </w:rPr>
  </w:style>
  <w:style w:type="character" w:styleId="EnlacedeInternetvisitado">
    <w:name w:val="Enlace de Internet visitado"/>
    <w:basedOn w:val="DefaultParagraphFont"/>
    <w:uiPriority w:val="99"/>
    <w:semiHidden/>
    <w:unhideWhenUsed/>
    <w:rsid w:val="00062783"/>
    <w:rPr>
      <w:color w:val="800080" w:themeColor="followed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ibliography">
    <w:name w:val="Bibliography"/>
    <w:basedOn w:val="Normal"/>
    <w:next w:val="Normal"/>
    <w:uiPriority w:val="37"/>
    <w:unhideWhenUsed/>
    <w:qFormat/>
    <w:rsid w:val="00374abe"/>
    <w:pPr/>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martinez@itesa.edu.mx"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Glover12</b:Tag>
    <b:SourceType>Book</b:SourceType>
    <b:Guid>{E3F87399-201A-401E-99D8-228657EE4399}</b:Guid>
    <b:Author>
      <b:Author>
        <b:NameList>
          <b:Person>
            <b:Last>Glover</b:Last>
            <b:First>J.</b:First>
            <b:Middle>Duncan</b:Middle>
          </b:Person>
          <b:Person>
            <b:Last>Sarma</b:Last>
            <b:First>Mulukutla.</b:First>
            <b:Middle>S</b:Middle>
          </b:Person>
          <b:Person>
            <b:Last>Overbye</b:Last>
            <b:First>Thomas</b:First>
            <b:Middle>J.</b:Middle>
          </b:Person>
        </b:NameList>
      </b:Author>
    </b:Author>
    <b:Title>Power System Analysis and Design</b:Title>
    <b:Year>2012</b:Year>
    <b:Publisher>Cengage Learning</b:Publisher>
    <b:CountryRegion>USA</b:CountryRegion>
    <b:Edition>Fifth</b:Edition>
    <b:RefOrder>1</b:RefOrder>
  </b:Source>
</b:Sources>
</file>

<file path=customXml/itemProps1.xml><?xml version="1.0" encoding="utf-8"?>
<ds:datastoreItem xmlns:ds="http://schemas.openxmlformats.org/officeDocument/2006/customXml" ds:itemID="{3FF03785-0108-4F37-8112-56AE859D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Application>LibreOffice/7.0.4.2$Linux_X86_64 LibreOffice_project/00$Build-2</Application>
  <AppVersion>15.0000</AppVersion>
  <Pages>3</Pages>
  <Words>1185</Words>
  <Characters>6849</Characters>
  <CharactersWithSpaces>8000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2022-03-22T22:31:00Z</dcterms:created>
  <dc:creator>Paco</dc:creator>
  <dc:description/>
  <dc:language>es-MX</dc:language>
  <cp:lastModifiedBy/>
  <dcterms:modified xsi:type="dcterms:W3CDTF">2022-07-15T13:19:49Z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