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settings.xml" ContentType="application/vnd.openxmlformats-officedocument.wordprocessingml.settings+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3.jpeg" ContentType="image/jpeg"/>
  <Override PartName="/word/media/image2.png" ContentType="image/png"/>
  <Override PartName="/word/media/image4.jpeg" ContentType="image/jpeg"/>
  <Override PartName="/word/media/image5.jpeg" ContentType="image/jpeg"/>
  <Override PartName="/word/media/image6.jpeg" ContentType="image/jpeg"/>
  <Override PartName="/word/media/image7.jpeg" ContentType="image/jpeg"/>
  <Override PartName="/word/media/image11.png" ContentType="image/png"/>
  <Override PartName="/word/media/image8.jpeg" ContentType="image/jpeg"/>
  <Override PartName="/word/media/image9.png" ContentType="image/png"/>
  <Override PartName="/word/media/image10.png" ContentType="image/png"/>
  <Override PartName="/word/media/image12.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bidi w:val="0"/>
        <w:spacing w:lineRule="auto" w:line="240" w:before="0" w:after="0"/>
        <w:jc w:val="center"/>
        <w:rPr>
          <w:rFonts w:ascii="Times New Roman" w:hAnsi="Times New Roman"/>
          <w:b w:val="false"/>
          <w:b w:val="false"/>
          <w:bCs w:val="false"/>
          <w:color w:val="000000"/>
          <w:sz w:val="44"/>
          <w:szCs w:val="44"/>
        </w:rPr>
      </w:pPr>
      <w:r>
        <w:rPr>
          <w:rFonts w:ascii="Times New Roman" w:hAnsi="Times New Roman"/>
          <w:b w:val="false"/>
          <w:bCs w:val="false"/>
          <w:color w:val="000000"/>
          <w:sz w:val="44"/>
          <w:szCs w:val="44"/>
        </w:rPr>
        <w:t>Crecimiento y reproducción de lombrices calif</w:t>
      </w:r>
      <w:r>
        <w:rPr>
          <w:rFonts w:ascii="Times New Roman" w:hAnsi="Times New Roman"/>
          <w:b w:val="false"/>
          <w:bCs w:val="false"/>
          <w:color w:val="000000"/>
          <w:sz w:val="44"/>
          <w:szCs w:val="44"/>
        </w:rPr>
        <w:t>o</w:t>
      </w:r>
      <w:r>
        <w:rPr>
          <w:rFonts w:ascii="Times New Roman" w:hAnsi="Times New Roman"/>
          <w:b w:val="false"/>
          <w:bCs w:val="false"/>
          <w:color w:val="000000"/>
          <w:sz w:val="44"/>
          <w:szCs w:val="44"/>
        </w:rPr>
        <w:t>rnianas (</w:t>
      </w:r>
      <w:r>
        <w:rPr>
          <w:rFonts w:ascii="Times New Roman" w:hAnsi="Times New Roman"/>
          <w:b w:val="false"/>
          <w:bCs w:val="false"/>
          <w:i/>
          <w:color w:val="000000"/>
          <w:sz w:val="44"/>
          <w:szCs w:val="44"/>
        </w:rPr>
        <w:t>eisenia foetida</w:t>
      </w:r>
      <w:r>
        <w:rPr>
          <w:rFonts w:ascii="Times New Roman" w:hAnsi="Times New Roman"/>
          <w:b w:val="false"/>
          <w:bCs w:val="false"/>
          <w:color w:val="000000"/>
          <w:sz w:val="44"/>
          <w:szCs w:val="44"/>
        </w:rPr>
        <w:t xml:space="preserve">) con </w:t>
      </w:r>
      <w:r>
        <w:rPr>
          <w:rFonts w:ascii="Times New Roman" w:hAnsi="Times New Roman"/>
          <w:b w:val="false"/>
          <w:bCs w:val="false"/>
          <w:color w:val="000000"/>
          <w:sz w:val="44"/>
          <w:szCs w:val="44"/>
        </w:rPr>
        <w:t>a</w:t>
      </w:r>
      <w:r>
        <w:rPr>
          <w:rFonts w:ascii="Times New Roman" w:hAnsi="Times New Roman"/>
          <w:b w:val="false"/>
          <w:bCs w:val="false"/>
          <w:color w:val="000000"/>
          <w:sz w:val="44"/>
          <w:szCs w:val="44"/>
        </w:rPr>
        <w:t>limentación de biomasa vegetal marina</w:t>
      </w:r>
    </w:p>
    <w:p>
      <w:pPr>
        <w:pStyle w:val="Normal"/>
        <w:widowControl w:val="false"/>
        <w:bidi w:val="0"/>
        <w:spacing w:lineRule="auto" w:line="240" w:before="0" w:after="0"/>
        <w:jc w:val="center"/>
        <w:rPr>
          <w:rFonts w:ascii="Times New Roman" w:hAnsi="Times New Roman"/>
          <w:b/>
          <w:b/>
          <w:color w:val="000000"/>
          <w:sz w:val="20"/>
          <w:szCs w:val="20"/>
        </w:rPr>
      </w:pPr>
      <w:r>
        <w:rPr>
          <w:rFonts w:ascii="Times New Roman" w:hAnsi="Times New Roman"/>
          <w:b/>
          <w:color w:val="000000"/>
          <w:sz w:val="20"/>
          <w:szCs w:val="20"/>
        </w:rPr>
      </w:r>
    </w:p>
    <w:p>
      <w:pPr>
        <w:pStyle w:val="Normal"/>
        <w:widowControl w:val="false"/>
        <w:bidi w:val="0"/>
        <w:spacing w:lineRule="auto" w:line="240" w:before="0" w:after="0"/>
        <w:jc w:val="center"/>
        <w:rPr>
          <w:rFonts w:ascii="Times New Roman" w:hAnsi="Times New Roman"/>
          <w:b w:val="false"/>
          <w:b w:val="false"/>
          <w:bCs w:val="false"/>
          <w:color w:val="000000"/>
          <w:sz w:val="36"/>
          <w:szCs w:val="36"/>
        </w:rPr>
      </w:pPr>
      <w:r>
        <w:rPr>
          <w:rFonts w:ascii="Times New Roman" w:hAnsi="Times New Roman"/>
          <w:b w:val="false"/>
          <w:bCs w:val="false"/>
          <w:color w:val="000000"/>
          <w:sz w:val="36"/>
          <w:szCs w:val="36"/>
          <w:lang w:val="en"/>
        </w:rPr>
        <w:t>Growth and reproduction of california worms (</w:t>
      </w:r>
      <w:r>
        <w:rPr>
          <w:rFonts w:ascii="Times New Roman" w:hAnsi="Times New Roman"/>
          <w:b w:val="false"/>
          <w:bCs w:val="false"/>
          <w:i/>
          <w:color w:val="000000"/>
          <w:sz w:val="36"/>
          <w:szCs w:val="36"/>
          <w:lang w:val="en"/>
        </w:rPr>
        <w:t>eisenia foetida</w:t>
      </w:r>
      <w:r>
        <w:rPr>
          <w:rFonts w:ascii="Times New Roman" w:hAnsi="Times New Roman"/>
          <w:b w:val="false"/>
          <w:bCs w:val="false"/>
          <w:color w:val="000000"/>
          <w:sz w:val="36"/>
          <w:szCs w:val="36"/>
          <w:lang w:val="en"/>
        </w:rPr>
        <w:t>) with marine vegetable biomass feed</w:t>
      </w:r>
    </w:p>
    <w:p>
      <w:pPr>
        <w:pStyle w:val="Normal"/>
        <w:widowControl w:val="false"/>
        <w:bidi w:val="0"/>
        <w:spacing w:lineRule="auto" w:line="240" w:before="0" w:after="0"/>
        <w:jc w:val="both"/>
        <w:rPr>
          <w:rFonts w:ascii="Times New Roman" w:hAnsi="Times New Roman"/>
          <w:b/>
          <w:b/>
          <w:color w:val="000000"/>
          <w:sz w:val="20"/>
          <w:szCs w:val="20"/>
          <w:lang w:val="en"/>
        </w:rPr>
      </w:pPr>
      <w:r>
        <w:rPr>
          <w:rFonts w:ascii="Times New Roman" w:hAnsi="Times New Roman"/>
          <w:b/>
          <w:color w:val="000000"/>
          <w:sz w:val="20"/>
          <w:szCs w:val="20"/>
          <w:lang w:val="en"/>
        </w:rPr>
      </w:r>
    </w:p>
    <w:p>
      <w:pPr>
        <w:pStyle w:val="Normal"/>
        <w:widowControl w:val="false"/>
        <w:bidi w:val="0"/>
        <w:spacing w:lineRule="auto" w:line="240" w:before="0" w:after="0"/>
        <w:jc w:val="center"/>
        <w:rPr>
          <w:rFonts w:ascii="Times New Roman" w:hAnsi="Times New Roman"/>
          <w:b w:val="false"/>
          <w:b w:val="false"/>
          <w:bCs w:val="false"/>
          <w:color w:val="000000"/>
          <w:sz w:val="24"/>
          <w:szCs w:val="24"/>
        </w:rPr>
      </w:pPr>
      <w:r>
        <w:rPr>
          <w:rFonts w:ascii="Times New Roman" w:hAnsi="Times New Roman"/>
          <w:b w:val="false"/>
          <w:bCs w:val="false"/>
          <w:color w:val="000000"/>
          <w:sz w:val="24"/>
          <w:szCs w:val="24"/>
        </w:rPr>
        <w:t>Jesús Agustin Canul Ku</w:t>
      </w:r>
      <w:r>
        <w:rPr>
          <w:rFonts w:ascii="Times New Roman" w:hAnsi="Times New Roman"/>
          <w:b w:val="false"/>
          <w:bCs w:val="false"/>
          <w:color w:val="000000"/>
          <w:sz w:val="24"/>
          <w:szCs w:val="24"/>
          <w:vertAlign w:val="superscript"/>
        </w:rPr>
        <w:t>1</w:t>
      </w:r>
      <w:r>
        <w:rPr>
          <w:rFonts w:ascii="Times New Roman" w:hAnsi="Times New Roman"/>
          <w:b w:val="false"/>
          <w:bCs w:val="false"/>
          <w:color w:val="000000"/>
          <w:sz w:val="24"/>
          <w:szCs w:val="24"/>
        </w:rPr>
        <w:t>, Elsy María Rosales Uc</w:t>
      </w:r>
      <w:r>
        <w:rPr>
          <w:rFonts w:ascii="Times New Roman" w:hAnsi="Times New Roman"/>
          <w:b w:val="false"/>
          <w:bCs w:val="false"/>
          <w:color w:val="000000"/>
          <w:sz w:val="24"/>
          <w:szCs w:val="24"/>
          <w:vertAlign w:val="superscript"/>
        </w:rPr>
        <w:t>1*</w:t>
      </w:r>
      <w:r>
        <w:rPr>
          <w:rFonts w:ascii="Times New Roman" w:hAnsi="Times New Roman"/>
          <w:b w:val="false"/>
          <w:bCs w:val="false"/>
          <w:color w:val="000000"/>
          <w:sz w:val="24"/>
          <w:szCs w:val="24"/>
        </w:rPr>
        <w:t>, Gianny Melina Cancino Méndez</w:t>
      </w:r>
      <w:r>
        <w:rPr>
          <w:rFonts w:ascii="Times New Roman" w:hAnsi="Times New Roman"/>
          <w:b w:val="false"/>
          <w:bCs w:val="false"/>
          <w:color w:val="000000"/>
          <w:sz w:val="24"/>
          <w:szCs w:val="24"/>
          <w:vertAlign w:val="superscript"/>
        </w:rPr>
        <w:t>1</w:t>
      </w:r>
      <w:r>
        <w:rPr>
          <w:rFonts w:ascii="Times New Roman" w:hAnsi="Times New Roman"/>
          <w:b w:val="false"/>
          <w:bCs w:val="false"/>
          <w:color w:val="000000"/>
          <w:sz w:val="24"/>
          <w:szCs w:val="24"/>
        </w:rPr>
        <w:t>, Francisco Gilberto Herrera Chalé</w:t>
      </w:r>
      <w:r>
        <w:rPr>
          <w:rFonts w:ascii="Times New Roman" w:hAnsi="Times New Roman"/>
          <w:b w:val="false"/>
          <w:bCs w:val="false"/>
          <w:color w:val="000000"/>
          <w:sz w:val="24"/>
          <w:szCs w:val="24"/>
          <w:vertAlign w:val="superscript"/>
        </w:rPr>
        <w:t>1</w:t>
      </w:r>
      <w:r>
        <w:rPr>
          <w:rFonts w:ascii="Times New Roman" w:hAnsi="Times New Roman"/>
          <w:b w:val="false"/>
          <w:bCs w:val="false"/>
          <w:color w:val="000000"/>
          <w:sz w:val="24"/>
          <w:szCs w:val="24"/>
        </w:rPr>
        <w:t xml:space="preserve"> y Erika Haydeé Rubio Cámara</w:t>
      </w:r>
      <w:r>
        <w:rPr>
          <w:rFonts w:ascii="Times New Roman" w:hAnsi="Times New Roman"/>
          <w:b w:val="false"/>
          <w:bCs w:val="false"/>
          <w:color w:val="000000"/>
          <w:sz w:val="24"/>
          <w:szCs w:val="24"/>
          <w:vertAlign w:val="superscript"/>
        </w:rPr>
        <w:t>1</w:t>
      </w:r>
    </w:p>
    <w:p>
      <w:pPr>
        <w:pStyle w:val="Normal"/>
        <w:widowControl w:val="false"/>
        <w:bidi w:val="0"/>
        <w:spacing w:lineRule="auto" w:line="240" w:before="0" w:after="0"/>
        <w:jc w:val="both"/>
        <w:rPr>
          <w:rFonts w:ascii="Times New Roman" w:hAnsi="Times New Roman"/>
          <w:b/>
          <w:b/>
          <w:i/>
          <w:i/>
          <w:iCs/>
          <w:color w:val="000000"/>
          <w:sz w:val="20"/>
          <w:szCs w:val="20"/>
        </w:rPr>
      </w:pPr>
      <w:r>
        <w:rPr>
          <w:rFonts w:ascii="Times New Roman" w:hAnsi="Times New Roman"/>
          <w:b/>
          <w:i/>
          <w:iCs/>
          <w:color w:val="000000"/>
          <w:sz w:val="20"/>
          <w:szCs w:val="20"/>
        </w:rPr>
      </w:r>
    </w:p>
    <w:p>
      <w:pPr>
        <w:pStyle w:val="Normal"/>
        <w:widowControl w:val="false"/>
        <w:bidi w:val="0"/>
        <w:spacing w:lineRule="auto" w:line="240" w:before="0" w:after="0"/>
        <w:jc w:val="center"/>
        <w:rPr>
          <w:rFonts w:ascii="Times New Roman" w:hAnsi="Times New Roman"/>
          <w:b w:val="false"/>
          <w:b w:val="false"/>
          <w:bCs w:val="false"/>
          <w:color w:val="000000"/>
          <w:sz w:val="24"/>
          <w:szCs w:val="24"/>
        </w:rPr>
      </w:pPr>
      <w:r>
        <w:rPr>
          <w:rFonts w:ascii="Times New Roman" w:hAnsi="Times New Roman"/>
          <w:b w:val="false"/>
          <w:bCs w:val="false"/>
          <w:i/>
          <w:iCs/>
          <w:color w:val="000000"/>
          <w:sz w:val="24"/>
          <w:szCs w:val="24"/>
          <w:vertAlign w:val="superscript"/>
        </w:rPr>
        <w:t>1</w:t>
      </w:r>
      <w:r>
        <w:rPr>
          <w:rFonts w:ascii="Times New Roman" w:hAnsi="Times New Roman"/>
          <w:b w:val="false"/>
          <w:bCs w:val="false"/>
          <w:i/>
          <w:iCs/>
          <w:color w:val="000000"/>
          <w:sz w:val="24"/>
          <w:szCs w:val="24"/>
        </w:rPr>
        <w:t>Tecnológico Nacional de México campus Progreso,</w:t>
      </w:r>
    </w:p>
    <w:p>
      <w:pPr>
        <w:pStyle w:val="Normal"/>
        <w:widowControl w:val="false"/>
        <w:bidi w:val="0"/>
        <w:spacing w:lineRule="auto" w:line="240" w:before="0" w:after="0"/>
        <w:jc w:val="center"/>
        <w:rPr>
          <w:rFonts w:ascii="Times New Roman" w:hAnsi="Times New Roman"/>
          <w:b w:val="false"/>
          <w:b w:val="false"/>
          <w:bCs w:val="false"/>
          <w:color w:val="000000"/>
          <w:sz w:val="24"/>
          <w:szCs w:val="24"/>
        </w:rPr>
      </w:pPr>
      <w:r>
        <w:rPr>
          <w:rFonts w:ascii="Times New Roman" w:hAnsi="Times New Roman"/>
          <w:b w:val="false"/>
          <w:bCs w:val="false"/>
          <w:i/>
          <w:iCs/>
          <w:color w:val="000000"/>
          <w:sz w:val="24"/>
          <w:szCs w:val="24"/>
        </w:rPr>
        <w:t>Boulevard Tecnológico de Progreso, S/N x 62, Progreso, Yucatán, México. C.P. 97320, Tel/Fax: (01969) 934 30 232.</w:t>
      </w:r>
    </w:p>
    <w:p>
      <w:pPr>
        <w:pStyle w:val="Normal"/>
        <w:widowControl w:val="false"/>
        <w:bidi w:val="0"/>
        <w:spacing w:lineRule="auto" w:line="240" w:before="0" w:after="0"/>
        <w:jc w:val="both"/>
        <w:rPr>
          <w:rFonts w:ascii="Times New Roman" w:hAnsi="Times New Roman"/>
          <w:b/>
          <w:b/>
          <w:i/>
          <w:i/>
          <w:iCs/>
          <w:color w:val="000000"/>
          <w:sz w:val="20"/>
          <w:szCs w:val="20"/>
        </w:rPr>
      </w:pPr>
      <w:r>
        <w:rPr>
          <w:rFonts w:ascii="Times New Roman" w:hAnsi="Times New Roman"/>
          <w:b/>
          <w:i/>
          <w:iCs/>
          <w:color w:val="000000"/>
          <w:sz w:val="20"/>
          <w:szCs w:val="20"/>
        </w:rPr>
      </w:r>
    </w:p>
    <w:p>
      <w:pPr>
        <w:pStyle w:val="Normal"/>
        <w:widowControl w:val="false"/>
        <w:bidi w:val="0"/>
        <w:spacing w:lineRule="auto" w:line="240" w:before="0" w:after="0"/>
        <w:jc w:val="center"/>
        <w:rPr>
          <w:rFonts w:ascii="Times New Roman" w:hAnsi="Times New Roman"/>
          <w:b w:val="false"/>
          <w:b w:val="false"/>
          <w:bCs w:val="false"/>
          <w:i/>
          <w:i/>
          <w:iCs/>
          <w:color w:val="000000"/>
          <w:sz w:val="20"/>
          <w:szCs w:val="20"/>
        </w:rPr>
      </w:pPr>
      <w:r>
        <w:rPr>
          <w:rFonts w:ascii="Times New Roman" w:hAnsi="Times New Roman"/>
          <w:b w:val="false"/>
          <w:bCs w:val="false"/>
          <w:i/>
          <w:iCs/>
          <w:color w:val="000000"/>
          <w:sz w:val="20"/>
          <w:szCs w:val="20"/>
        </w:rPr>
        <w:t>*Corresponding author:</w:t>
      </w:r>
    </w:p>
    <w:p>
      <w:pPr>
        <w:pStyle w:val="Normal"/>
        <w:widowControl w:val="false"/>
        <w:bidi w:val="0"/>
        <w:spacing w:lineRule="auto" w:line="240" w:before="0" w:after="0"/>
        <w:ind w:hanging="0"/>
        <w:jc w:val="center"/>
        <w:rPr>
          <w:rFonts w:ascii="Times New Roman" w:hAnsi="Times New Roman"/>
          <w:b w:val="false"/>
          <w:b w:val="false"/>
          <w:bCs w:val="false"/>
          <w:color w:val="000000"/>
          <w:sz w:val="20"/>
          <w:szCs w:val="20"/>
        </w:rPr>
      </w:pPr>
      <w:r>
        <w:rPr>
          <w:rFonts w:ascii="Times New Roman" w:hAnsi="Times New Roman"/>
          <w:b w:val="false"/>
          <w:bCs w:val="false"/>
          <w:i/>
          <w:iCs/>
          <w:color w:val="000000"/>
          <w:sz w:val="20"/>
          <w:szCs w:val="20"/>
          <w:u w:val="none"/>
          <w:lang w:val="es-ES_tradnl"/>
        </w:rPr>
        <w:t>e</w:t>
      </w:r>
      <w:r>
        <w:rPr>
          <w:rFonts w:ascii="Times New Roman" w:hAnsi="Times New Roman"/>
          <w:b w:val="false"/>
          <w:bCs w:val="false"/>
          <w:i/>
          <w:iCs/>
          <w:color w:val="000000"/>
          <w:sz w:val="20"/>
          <w:szCs w:val="20"/>
          <w:u w:val="none"/>
          <w:lang w:val="es-ES_tradnl"/>
        </w:rPr>
        <w:t>lsy.ru@progreso.tecnm.mx</w:t>
      </w:r>
    </w:p>
    <w:p>
      <w:pPr>
        <w:pStyle w:val="Normal"/>
        <w:widowControl w:val="false"/>
        <w:bidi w:val="0"/>
        <w:spacing w:lineRule="auto" w:line="240" w:before="0" w:after="0"/>
        <w:ind w:hanging="0"/>
        <w:jc w:val="both"/>
        <w:rPr>
          <w:b/>
          <w:b/>
          <w:bCs/>
        </w:rPr>
      </w:pPr>
      <w:r>
        <w:rPr>
          <w:rFonts w:ascii="Times New Roman" w:hAnsi="Times New Roman"/>
          <w:b w:val="false"/>
          <w:bCs w:val="false"/>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header="1417" w:top="1983" w:footer="1417" w:bottom="2012" w:gutter="0"/>
          <w:pgNumType w:start="1" w:fmt="decimal"/>
          <w:formProt w:val="false"/>
          <w:titlePg/>
          <w:textDirection w:val="lrTb"/>
        </w:sectPr>
      </w:pPr>
    </w:p>
    <w:p>
      <w:pPr>
        <w:pStyle w:val="Normal"/>
        <w:widowControl w:val="false"/>
        <w:bidi w:val="0"/>
        <w:spacing w:lineRule="auto" w:line="240" w:before="0" w:after="0"/>
        <w:ind w:hanging="0"/>
        <w:jc w:val="both"/>
        <w:rPr>
          <w:rFonts w:ascii="Times New Roman" w:hAnsi="Times New Roman"/>
          <w:b w:val="false"/>
          <w:b w:val="false"/>
          <w:bCs w:val="false"/>
          <w:color w:val="000000"/>
          <w:sz w:val="20"/>
          <w:szCs w:val="20"/>
        </w:rPr>
      </w:pPr>
      <w:r>
        <w:rPr>
          <w:rFonts w:ascii="Times New Roman" w:hAnsi="Times New Roman"/>
          <w:b/>
          <w:bCs/>
          <w:color w:val="000000"/>
          <w:sz w:val="20"/>
          <w:szCs w:val="20"/>
        </w:rPr>
        <w:t xml:space="preserve">Resumen. En esta investigación se trabajó la problemática de la acumulación de diversas especies de vegetal marino del puerto </w:t>
      </w:r>
      <w:r>
        <w:rPr>
          <w:rFonts w:ascii="Times New Roman" w:hAnsi="Times New Roman"/>
          <w:b/>
          <w:bCs/>
          <w:color w:val="000000"/>
          <w:sz w:val="20"/>
          <w:szCs w:val="20"/>
        </w:rPr>
        <w:t>de Progreso, Yucatán, México; Aprovechándola como alimentación de lombrices californianas (</w:t>
      </w:r>
      <w:r>
        <w:rPr>
          <w:rFonts w:ascii="Times New Roman" w:hAnsi="Times New Roman"/>
          <w:b/>
          <w:bCs/>
          <w:i/>
          <w:color w:val="000000"/>
          <w:sz w:val="20"/>
          <w:szCs w:val="20"/>
        </w:rPr>
        <w:t>Eisenia Foetida</w:t>
      </w:r>
      <w:r>
        <w:rPr>
          <w:rFonts w:ascii="Times New Roman" w:hAnsi="Times New Roman"/>
          <w:b/>
          <w:bCs/>
          <w:color w:val="000000"/>
          <w:sz w:val="20"/>
          <w:szCs w:val="20"/>
        </w:rPr>
        <w:t>).Se incluyó la evaluación del crecimiento y reproducción de las lombrices, tomando en cuenta que la alimentación fue la variable a distintos porcentajes 100/0; 75/25; 50/50; 25/75 y 0/100 de biomasa vegetal marina y materia orgánica respectivamente. Durante las semanas de investigación se fueron presentando diversas anomalías como la nula presencia de lixiviado y la importancia de los porcentajes de humedad, así como la adaptabilidad de las lombrices al entorno, todo esto plasmado en la metodología, resultados y conclusiones de la investigación, también se pudo observar que las dos primeras semanas se presentaron un periodo de adaptabilidad de las lombrices, las cuales fue mayor en las lombrices que contaban con una alimentación total de materia orgánica.</w:t>
      </w:r>
    </w:p>
    <w:p>
      <w:pPr>
        <w:pStyle w:val="Normal"/>
        <w:widowControl w:val="false"/>
        <w:bidi w:val="0"/>
        <w:spacing w:lineRule="auto" w:line="240" w:before="0" w:after="0"/>
        <w:ind w:hanging="0"/>
        <w:jc w:val="both"/>
        <w:rPr>
          <w:rFonts w:eastAsia="Times New Roman" w:cs="Times New Roman"/>
          <w:b/>
          <w:b/>
          <w:bCs/>
        </w:rPr>
      </w:pPr>
      <w:r>
        <w:rPr>
          <w:rFonts w:ascii="Times New Roman" w:hAnsi="Times New Roman"/>
          <w:b w:val="false"/>
          <w:bCs w:val="false"/>
          <w:color w:val="000000"/>
          <w:sz w:val="20"/>
          <w:szCs w:val="20"/>
        </w:rPr>
      </w:r>
    </w:p>
    <w:p>
      <w:pPr>
        <w:pStyle w:val="Normal"/>
        <w:widowControl w:val="false"/>
        <w:bidi w:val="0"/>
        <w:spacing w:lineRule="auto" w:line="240" w:before="0" w:after="0"/>
        <w:ind w:hanging="0"/>
        <w:jc w:val="both"/>
        <w:rPr>
          <w:rFonts w:ascii="Times New Roman" w:hAnsi="Times New Roman"/>
          <w:b w:val="false"/>
          <w:b w:val="false"/>
          <w:bCs w:val="false"/>
          <w:color w:val="000000"/>
          <w:sz w:val="20"/>
          <w:szCs w:val="20"/>
        </w:rPr>
      </w:pPr>
      <w:r>
        <w:rPr>
          <w:rFonts w:eastAsia="Times New Roman" w:cs="Times New Roman" w:ascii="Times New Roman" w:hAnsi="Times New Roman"/>
          <w:b/>
          <w:bCs/>
          <w:color w:val="000000"/>
          <w:sz w:val="20"/>
          <w:szCs w:val="20"/>
        </w:rPr>
        <w:t xml:space="preserve">Palabras clave: Lombrices, crecimiento, reproducción, vermicomposta, </w:t>
      </w:r>
      <w:r>
        <w:rPr>
          <w:rFonts w:eastAsia="Times New Roman" w:cs="Times New Roman" w:ascii="Times New Roman" w:hAnsi="Times New Roman"/>
          <w:b/>
          <w:bCs/>
          <w:color w:val="000000"/>
          <w:sz w:val="20"/>
          <w:szCs w:val="20"/>
        </w:rPr>
        <w:t>b</w:t>
      </w:r>
      <w:r>
        <w:rPr>
          <w:rFonts w:eastAsia="Times New Roman" w:cs="Times New Roman" w:ascii="Times New Roman" w:hAnsi="Times New Roman"/>
          <w:b/>
          <w:bCs/>
          <w:color w:val="000000"/>
          <w:sz w:val="20"/>
          <w:szCs w:val="20"/>
        </w:rPr>
        <w:t>iomasa.</w:t>
      </w:r>
    </w:p>
    <w:p>
      <w:pPr>
        <w:pStyle w:val="Normal"/>
        <w:widowControl w:val="false"/>
        <w:bidi w:val="0"/>
        <w:spacing w:lineRule="auto" w:line="240" w:before="0" w:after="0"/>
        <w:ind w:hanging="0"/>
        <w:jc w:val="both"/>
        <w:rPr>
          <w:rFonts w:eastAsia="Times New Roman" w:cs="Times New Roman"/>
          <w:b/>
          <w:b/>
          <w:bCs/>
          <w:lang w:val="en-US"/>
        </w:rPr>
      </w:pPr>
      <w:r>
        <w:rPr>
          <w:rFonts w:ascii="Times New Roman" w:hAnsi="Times New Roman"/>
          <w:b w:val="false"/>
          <w:bCs w:val="false"/>
          <w:color w:val="000000"/>
          <w:sz w:val="20"/>
          <w:szCs w:val="20"/>
        </w:rPr>
      </w:r>
    </w:p>
    <w:p>
      <w:pPr>
        <w:pStyle w:val="Normal"/>
        <w:widowControl w:val="false"/>
        <w:bidi w:val="0"/>
        <w:spacing w:lineRule="auto" w:line="240" w:before="0" w:after="0"/>
        <w:ind w:hanging="0"/>
        <w:jc w:val="both"/>
        <w:rPr>
          <w:rFonts w:ascii="Times New Roman" w:hAnsi="Times New Roman"/>
          <w:b w:val="false"/>
          <w:b w:val="false"/>
          <w:bCs w:val="false"/>
          <w:color w:val="000000"/>
          <w:sz w:val="20"/>
          <w:szCs w:val="20"/>
        </w:rPr>
      </w:pPr>
      <w:r>
        <w:rPr>
          <w:rFonts w:cs="Times New Roman" w:ascii="Times New Roman" w:hAnsi="Times New Roman"/>
          <w:b/>
          <w:bCs/>
          <w:color w:val="000000"/>
          <w:sz w:val="20"/>
          <w:szCs w:val="20"/>
          <w:lang w:val="en-US"/>
        </w:rPr>
        <w:t xml:space="preserve">Abstract. </w:t>
      </w:r>
      <w:r>
        <w:rPr>
          <w:rFonts w:cs="Times New Roman" w:ascii="Times New Roman" w:hAnsi="Times New Roman"/>
          <w:b/>
          <w:bCs/>
          <w:color w:val="000000"/>
          <w:sz w:val="20"/>
          <w:szCs w:val="20"/>
          <w:lang w:val="en"/>
        </w:rPr>
        <w:t>In this investigation, the problem of the accumulation of various species of marine plants in the port of Progreso, Yucatan, Mexico was worked on, Using it as food for Californian worms (Eisenia Foetida). The evaluation of the growth and reproduction of the worms was included, considering that the food was the variable at different percentages 100/0; 75/25; 50/50; 25/75 and 0/100 of marine plant biomass and organic matter, respectively. During the weeks of investigation, various anomalies were presented, such as the null presence of leachate and the importance of the percentages of humidity, as well as the adaptability of the worms to the environment, all of this embodied in the methodology, results and conclusions of the investigation, also It was observed that the first two weeks presented a period of adaptability of the worms, which was greater in the worms that had a total feed of organic matter.</w:t>
      </w:r>
    </w:p>
    <w:p>
      <w:pPr>
        <w:pStyle w:val="Normal"/>
        <w:widowControl w:val="false"/>
        <w:bidi w:val="0"/>
        <w:spacing w:lineRule="auto" w:line="240" w:before="0" w:after="0"/>
        <w:ind w:hanging="0"/>
        <w:jc w:val="both"/>
        <w:rPr>
          <w:rFonts w:ascii="Times New Roman" w:hAnsi="Times New Roman"/>
          <w:b w:val="false"/>
          <w:b w:val="false"/>
          <w:bCs w:val="false"/>
          <w:color w:val="000000"/>
          <w:sz w:val="20"/>
          <w:szCs w:val="20"/>
        </w:rPr>
      </w:pPr>
      <w:r>
        <w:rPr>
          <w:rFonts w:eastAsia="Times New Roman" w:cs="Times New Roman" w:ascii="Times New Roman" w:hAnsi="Times New Roman"/>
          <w:b/>
          <w:bCs/>
          <w:color w:val="000000"/>
          <w:sz w:val="20"/>
          <w:szCs w:val="20"/>
          <w:lang w:val="en"/>
        </w:rPr>
        <w:t xml:space="preserve">Keywords: Earthworms, growth, reproduction, vermicompost, </w:t>
      </w:r>
      <w:r>
        <w:rPr>
          <w:rFonts w:eastAsia="Times New Roman" w:cs="Times New Roman" w:ascii="Times New Roman" w:hAnsi="Times New Roman"/>
          <w:b/>
          <w:bCs/>
          <w:color w:val="000000"/>
          <w:sz w:val="20"/>
          <w:szCs w:val="20"/>
          <w:lang w:val="en"/>
        </w:rPr>
        <w:t>b</w:t>
      </w:r>
      <w:r>
        <w:rPr>
          <w:rFonts w:eastAsia="Times New Roman" w:cs="Times New Roman" w:ascii="Times New Roman" w:hAnsi="Times New Roman"/>
          <w:b/>
          <w:bCs/>
          <w:color w:val="000000"/>
          <w:sz w:val="20"/>
          <w:szCs w:val="20"/>
          <w:lang w:val="en"/>
        </w:rPr>
        <w:t>iomass.</w:t>
      </w:r>
    </w:p>
    <w:p>
      <w:pPr>
        <w:pStyle w:val="Normal"/>
        <w:widowControl w:val="false"/>
        <w:bidi w:val="0"/>
        <w:spacing w:lineRule="auto" w:line="240" w:before="0" w:after="0"/>
        <w:ind w:hanging="0"/>
        <w:jc w:val="both"/>
        <w:rPr>
          <w:rFonts w:eastAsia="Times New Roman" w:cs="Times New Roman"/>
          <w:b/>
          <w:b/>
          <w:bCs/>
          <w:lang w:val="en"/>
        </w:rPr>
      </w:pPr>
      <w:r>
        <w:rPr>
          <w:rFonts w:ascii="Times New Roman" w:hAnsi="Times New Roman"/>
          <w:b w:val="false"/>
          <w:bCs w:val="false"/>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eastAsia="Times New Roman" w:cs="Times New Roman" w:ascii="Times New Roman" w:hAnsi="Times New Roman"/>
          <w:b/>
          <w:color w:val="000000"/>
          <w:sz w:val="20"/>
          <w:szCs w:val="20"/>
        </w:rPr>
        <w:t xml:space="preserve">I. </w:t>
      </w:r>
      <w:r>
        <w:rPr>
          <w:rFonts w:eastAsia="Times New Roman" w:cs="Times New Roman" w:ascii="Times New Roman" w:hAnsi="Times New Roman"/>
          <w:b/>
          <w:color w:val="000000"/>
          <w:sz w:val="20"/>
          <w:szCs w:val="20"/>
        </w:rPr>
        <w:t>INTRODUCCIÓN</w:t>
      </w:r>
    </w:p>
    <w:p>
      <w:pPr>
        <w:pStyle w:val="Normal"/>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t>Progreso de Castro es el puerto más importante del estado de Yucatán, la pesca es su principal actividad económica gracias a la gran diversidad de flora y fauna marina de la zona,</w:t>
      </w:r>
      <w:r>
        <w:rPr>
          <w:rFonts w:ascii="Times New Roman" w:hAnsi="Times New Roman"/>
          <w:color w:val="000000"/>
          <w:sz w:val="20"/>
          <w:szCs w:val="20"/>
        </w:rPr>
        <w:t xml:space="preserve"> </w:t>
      </w:r>
      <w:r>
        <w:rPr>
          <w:rFonts w:ascii="Times New Roman" w:hAnsi="Times New Roman"/>
          <w:color w:val="000000"/>
          <w:sz w:val="20"/>
          <w:szCs w:val="20"/>
        </w:rPr>
        <w:t xml:space="preserve">las condiciones climáticas de la zona favorecen el turismo como una gran fuente de empleo para los habitantes de la zona que genera una derrama económica importante, misma que impulsa la generación de otras actividades económicas, sin embargo a pesar de que las condiciones climáticas, flora y fauna marina potencializan </w:t>
      </w:r>
      <w:r>
        <w:rPr>
          <w:rFonts w:ascii="Times New Roman" w:hAnsi="Times New Roman"/>
          <w:color w:val="000000"/>
          <w:sz w:val="20"/>
          <w:szCs w:val="20"/>
        </w:rPr>
        <w:t>estas actividades también generan problemas que terminan por afectar las actividades económicas</w:t>
      </w:r>
      <w:r>
        <w:rPr>
          <w:rFonts w:ascii="Times New Roman" w:hAnsi="Times New Roman"/>
          <w:color w:val="000000"/>
          <w:sz w:val="20"/>
          <w:szCs w:val="20"/>
        </w:rPr>
        <w:t>, una de los principales problemas en temporadas importantes de pesca y turismo es la acumulación de grandes cantidades de diversas especies de Biomasa vegetal marina. En la zona la biomasa vegetal marina proveniente del mar es una mezcla de algas y pasto marino comúnmente conocido como sargazo de arribazón.</w:t>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t>Con el desarrollo de este proyecto se pretende observar el comportamiento de crecimiento y reproducción de las lombrices californianas (</w:t>
      </w:r>
      <w:r>
        <w:rPr>
          <w:rFonts w:ascii="Times New Roman" w:hAnsi="Times New Roman"/>
          <w:i/>
          <w:iCs/>
          <w:color w:val="000000"/>
          <w:sz w:val="20"/>
          <w:szCs w:val="20"/>
        </w:rPr>
        <w:t>Eisenia Foetida</w:t>
      </w:r>
      <w:r>
        <w:rPr>
          <w:rFonts w:ascii="Times New Roman" w:hAnsi="Times New Roman"/>
          <w:color w:val="000000"/>
          <w:sz w:val="20"/>
          <w:szCs w:val="20"/>
        </w:rPr>
        <w:t>) con distintas mezclas de alimentación a diferentes porcentajes de sustrato, las cuales contienen biomasa vegetal marina (sargazo de arribazón) y materia orgánica (repollo) siendo evaluado en un periodo de tiempo limitado y condiciones de habitad específicas.</w:t>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t>Los resultados de esta investigación podrían ofrecer una forma de aprovechar el sargazo de la zona como alimento para las lombrices californianas y reducir la acumulación de la biomasa vegetal marina de la zona evitando problemas a las diversas actividades económicas que se ven afectadas por su acumulación.</w:t>
      </w:r>
      <w:r>
        <w:rPr>
          <w:rFonts w:ascii="Times New Roman" w:hAnsi="Times New Roman"/>
          <w:b/>
          <w:bCs/>
          <w:color w:val="000000"/>
          <w:sz w:val="20"/>
          <w:szCs w:val="20"/>
        </w:rPr>
        <w:t xml:space="preserve"> </w:t>
      </w:r>
      <w:r>
        <w:rPr>
          <w:rFonts w:ascii="Times New Roman" w:hAnsi="Times New Roman"/>
          <w:b w:val="false"/>
          <w:bCs w:val="false"/>
          <w:color w:val="000000"/>
          <w:sz w:val="20"/>
          <w:szCs w:val="20"/>
        </w:rPr>
        <w:t>El objetivo de este trabajo es e</w:t>
      </w:r>
      <w:r>
        <w:rPr>
          <w:rFonts w:ascii="Times New Roman" w:hAnsi="Times New Roman"/>
          <w:color w:val="000000"/>
          <w:sz w:val="20"/>
          <w:szCs w:val="20"/>
        </w:rPr>
        <w:t>valuar el aprovechamiento de la biomasa vegetal marina en el crecimiento y reproducción de lombrices californianas (Eisenia Foetida) para su aprovechamiento como fuente de proteínas en productos alimenticios.</w:t>
      </w:r>
    </w:p>
    <w:p>
      <w:pPr>
        <w:pStyle w:val="ListParagraph"/>
        <w:widowControl w:val="false"/>
        <w:bidi w:val="0"/>
        <w:spacing w:lineRule="auto" w:line="240" w:before="0" w:after="0"/>
        <w:ind w:hanging="0"/>
        <w:jc w:val="both"/>
        <w:rPr>
          <w:b/>
          <w:b/>
          <w:bCs/>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t xml:space="preserve">La biomasa es una fuente de energía renovable que proviene de todo residuo, desecho y producto biológico ya sea animal o vegetal, en su mayoría este potencial energético se encuentra en la actividad agrícola, pesquera, silvicultura y toda actividad relacionada a los animales y plantas,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del12 \l 2058 </w:instrText>
          </w:r>
          <w:r>
            <w:rPr>
              <w:sz w:val="20"/>
              <w:szCs w:val="20"/>
              <w:rFonts w:ascii="Times New Roman" w:hAnsi="Times New Roman"/>
              <w:color w:val="000000"/>
            </w:rPr>
            <w:fldChar w:fldCharType="separate"/>
          </w:r>
          <w:r>
            <w:rPr>
              <w:sz w:val="20"/>
              <w:szCs w:val="20"/>
              <w:rFonts w:ascii="Times New Roman" w:hAnsi="Times New Roman"/>
              <w:color w:val="000000"/>
            </w:rPr>
            <w:t>(de lucas Hergueda &amp; Taranco, 2012)</w:t>
          </w:r>
          <w:r>
            <w:rPr>
              <w:sz w:val="20"/>
              <w:szCs w:val="20"/>
              <w:rFonts w:ascii="Times New Roman" w:hAnsi="Times New Roman"/>
              <w:color w:val="000000"/>
            </w:rPr>
            <w:fldChar w:fldCharType="end"/>
          </w:r>
        </w:sdtContent>
      </w:sdt>
      <w:r>
        <w:rPr>
          <w:rFonts w:ascii="Times New Roman" w:hAnsi="Times New Roman"/>
          <w:color w:val="000000"/>
          <w:sz w:val="20"/>
          <w:szCs w:val="20"/>
        </w:rPr>
        <w:t>.</w:t>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t>La investigación la biomasa han representado una renovación continua del desarrollo y avance de las aplicaciones, utilidades e infraestructura de su aprovechamiento. A continuación, se presentará información (</w:t>
      </w:r>
      <w:r>
        <w:rPr>
          <w:rFonts w:cs="Times New Roman" w:ascii="Times New Roman" w:hAnsi="Times New Roman"/>
          <w:color w:val="000000"/>
          <w:sz w:val="20"/>
          <w:szCs w:val="20"/>
        </w:rPr>
        <w:t xml:space="preserve">de Vignote Peña, 2016), </w:t>
      </w:r>
      <w:r>
        <w:rPr>
          <w:rFonts w:cs="Times New Roman" w:ascii="Times New Roman" w:hAnsi="Times New Roman"/>
          <w:color w:val="000000"/>
          <w:sz w:val="20"/>
          <w:szCs w:val="20"/>
        </w:rPr>
        <w:t>q</w:t>
      </w:r>
      <w:r>
        <w:rPr>
          <w:rFonts w:ascii="Times New Roman" w:hAnsi="Times New Roman"/>
          <w:color w:val="000000"/>
          <w:sz w:val="20"/>
          <w:szCs w:val="20"/>
        </w:rPr>
        <w:t>uien menciona las principales ventajas que aporta la biomasa:</w:t>
      </w:r>
    </w:p>
    <w:p>
      <w:pPr>
        <w:pStyle w:val="ListParagraph"/>
        <w:widowControl w:val="false"/>
        <w:numPr>
          <w:ilvl w:val="0"/>
          <w:numId w:val="1"/>
        </w:numPr>
        <w:bidi w:val="0"/>
        <w:spacing w:lineRule="auto" w:line="240" w:before="0" w:after="0"/>
        <w:ind w:left="737" w:right="0" w:hanging="454"/>
        <w:jc w:val="both"/>
        <w:rPr>
          <w:rFonts w:ascii="Times New Roman" w:hAnsi="Times New Roman"/>
          <w:color w:val="000000"/>
          <w:sz w:val="20"/>
          <w:szCs w:val="20"/>
        </w:rPr>
      </w:pPr>
      <w:r>
        <w:rPr>
          <w:rFonts w:ascii="Times New Roman" w:hAnsi="Times New Roman"/>
          <w:color w:val="000000"/>
          <w:sz w:val="20"/>
          <w:szCs w:val="20"/>
        </w:rPr>
        <w:t xml:space="preserve">El balance de CO2 emitido es neutro. </w:t>
      </w:r>
    </w:p>
    <w:p>
      <w:pPr>
        <w:pStyle w:val="ListParagraph"/>
        <w:widowControl w:val="false"/>
        <w:numPr>
          <w:ilvl w:val="0"/>
          <w:numId w:val="2"/>
        </w:numPr>
        <w:bidi w:val="0"/>
        <w:spacing w:lineRule="auto" w:line="240" w:before="0" w:after="0"/>
        <w:ind w:left="0" w:firstLine="284"/>
        <w:jc w:val="both"/>
        <w:rPr>
          <w:rFonts w:ascii="Times New Roman" w:hAnsi="Times New Roman"/>
          <w:color w:val="000000"/>
          <w:sz w:val="20"/>
          <w:szCs w:val="20"/>
        </w:rPr>
      </w:pPr>
      <w:r>
        <w:rPr>
          <w:rFonts w:ascii="Times New Roman" w:hAnsi="Times New Roman"/>
          <w:color w:val="000000"/>
          <w:sz w:val="20"/>
          <w:szCs w:val="20"/>
        </w:rPr>
        <w:t>No emite contaminantes sulfurados o nitrogenados</w:t>
      </w:r>
    </w:p>
    <w:p>
      <w:pPr>
        <w:pStyle w:val="ListParagraph"/>
        <w:widowControl w:val="false"/>
        <w:numPr>
          <w:ilvl w:val="0"/>
          <w:numId w:val="2"/>
        </w:numPr>
        <w:bidi w:val="0"/>
        <w:spacing w:lineRule="auto" w:line="240" w:before="0" w:after="0"/>
        <w:ind w:left="0" w:firstLine="284"/>
        <w:jc w:val="both"/>
        <w:rPr>
          <w:rFonts w:ascii="Times New Roman" w:hAnsi="Times New Roman"/>
          <w:color w:val="000000"/>
          <w:sz w:val="20"/>
          <w:szCs w:val="20"/>
        </w:rPr>
      </w:pPr>
      <w:r>
        <w:rPr>
          <w:rFonts w:ascii="Times New Roman" w:hAnsi="Times New Roman"/>
          <w:color w:val="000000"/>
          <w:sz w:val="20"/>
          <w:szCs w:val="20"/>
        </w:rPr>
        <w:t xml:space="preserve">La producción de Biomasa es totalmente descentralizada, basada en un recurso disperso en el territorio. </w:t>
      </w:r>
    </w:p>
    <w:p>
      <w:pPr>
        <w:pStyle w:val="ListParagraph"/>
        <w:widowControl w:val="false"/>
        <w:numPr>
          <w:ilvl w:val="0"/>
          <w:numId w:val="2"/>
        </w:numPr>
        <w:bidi w:val="0"/>
        <w:spacing w:lineRule="auto" w:line="240" w:before="0" w:after="0"/>
        <w:ind w:left="0" w:firstLine="284"/>
        <w:jc w:val="both"/>
        <w:rPr>
          <w:rFonts w:ascii="Times New Roman" w:hAnsi="Times New Roman"/>
          <w:color w:val="000000"/>
          <w:sz w:val="20"/>
          <w:szCs w:val="20"/>
        </w:rPr>
      </w:pPr>
      <w:r>
        <w:rPr>
          <w:rFonts w:ascii="Times New Roman" w:hAnsi="Times New Roman"/>
          <w:color w:val="000000"/>
          <w:sz w:val="20"/>
          <w:szCs w:val="20"/>
        </w:rPr>
        <w:t xml:space="preserve">Disminuye la dependencia externa del abastecimiento de combustibles. </w:t>
      </w:r>
    </w:p>
    <w:p>
      <w:pPr>
        <w:pStyle w:val="ListParagraph"/>
        <w:widowControl w:val="false"/>
        <w:numPr>
          <w:ilvl w:val="0"/>
          <w:numId w:val="2"/>
        </w:numPr>
        <w:bidi w:val="0"/>
        <w:spacing w:lineRule="auto" w:line="240" w:before="0" w:after="0"/>
        <w:ind w:left="0" w:firstLine="284"/>
        <w:jc w:val="both"/>
        <w:rPr>
          <w:rFonts w:ascii="Times New Roman" w:hAnsi="Times New Roman"/>
          <w:color w:val="000000"/>
          <w:sz w:val="20"/>
          <w:szCs w:val="20"/>
        </w:rPr>
      </w:pPr>
      <w:r>
        <w:rPr>
          <w:rFonts w:ascii="Times New Roman" w:hAnsi="Times New Roman"/>
          <w:color w:val="000000"/>
          <w:sz w:val="20"/>
          <w:szCs w:val="20"/>
        </w:rPr>
        <w:t xml:space="preserve">Disminución del riesgo de incendios y plagas forestales. </w:t>
      </w:r>
    </w:p>
    <w:p>
      <w:pPr>
        <w:pStyle w:val="ListParagraph"/>
        <w:widowControl w:val="false"/>
        <w:numPr>
          <w:ilvl w:val="0"/>
          <w:numId w:val="2"/>
        </w:numPr>
        <w:bidi w:val="0"/>
        <w:spacing w:lineRule="auto" w:line="240" w:before="0" w:after="0"/>
        <w:ind w:left="0" w:firstLine="284"/>
        <w:jc w:val="both"/>
        <w:rPr>
          <w:rFonts w:ascii="Times New Roman" w:hAnsi="Times New Roman"/>
          <w:color w:val="000000"/>
          <w:sz w:val="20"/>
          <w:szCs w:val="20"/>
        </w:rPr>
      </w:pPr>
      <w:r>
        <w:rPr>
          <w:rFonts w:ascii="Times New Roman" w:hAnsi="Times New Roman"/>
          <w:color w:val="000000"/>
          <w:sz w:val="20"/>
          <w:szCs w:val="20"/>
        </w:rPr>
        <w:t>Disminución de vertidos y riesgos ambientales.</w:t>
      </w:r>
    </w:p>
    <w:p>
      <w:pPr>
        <w:pStyle w:val="ListParagraph"/>
        <w:widowControl w:val="false"/>
        <w:bidi w:val="0"/>
        <w:spacing w:lineRule="auto" w:line="240" w:before="0" w:after="0"/>
        <w:ind w:left="284" w:hanging="0"/>
        <w:jc w:val="both"/>
        <w:rPr>
          <w:rFonts w:ascii="Times New Roman" w:hAnsi="Times New Roman"/>
          <w:color w:val="000000"/>
          <w:sz w:val="20"/>
          <w:szCs w:val="20"/>
        </w:rPr>
      </w:pPr>
      <w:r>
        <w:rPr>
          <w:rFonts w:ascii="Times New Roman" w:hAnsi="Times New Roman"/>
          <w:color w:val="000000"/>
          <w:sz w:val="20"/>
          <w:szCs w:val="20"/>
        </w:rPr>
        <w:t>Se clasifica principalmente en tres segmentos, por su composición, por su origen y por su estado, en</w:t>
      </w:r>
      <w:r>
        <w:rPr>
          <w:rFonts w:ascii="Times New Roman" w:hAnsi="Times New Roman"/>
          <w:color w:val="000000"/>
          <w:sz w:val="20"/>
          <w:szCs w:val="20"/>
        </w:rPr>
        <w:t xml:space="preserve"> la Figura 1 se </w:t>
      </w:r>
      <w:r>
        <w:rPr>
          <w:rFonts w:ascii="Times New Roman" w:hAnsi="Times New Roman"/>
          <w:color w:val="000000"/>
          <w:sz w:val="20"/>
          <w:szCs w:val="20"/>
        </w:rPr>
        <w:t>representa la clasificación.</w:t>
      </w:r>
    </w:p>
    <w:p>
      <w:pPr>
        <w:pStyle w:val="ListParagraph"/>
        <w:widowControl w:val="false"/>
        <w:bidi w:val="0"/>
        <w:spacing w:lineRule="auto" w:line="240" w:before="0" w:after="0"/>
        <w:ind w:left="284" w:hanging="0"/>
        <w:jc w:val="both"/>
        <w:rPr>
          <w:rFonts w:ascii="Times New Roman" w:hAnsi="Times New Roman"/>
          <w:color w:val="000000"/>
          <w:sz w:val="20"/>
          <w:szCs w:val="20"/>
        </w:rPr>
      </w:pPr>
      <w:r>
        <w:rPr>
          <w:rFonts w:ascii="Times New Roman" w:hAnsi="Times New Roman"/>
          <w:color w:val="000000"/>
          <w:sz w:val="20"/>
          <w:szCs w:val="20"/>
        </w:rPr>
      </w:r>
    </w:p>
    <w:p>
      <w:pPr>
        <w:pStyle w:val="ListParagraph"/>
        <w:widowControl w:val="false"/>
        <w:bidi w:val="0"/>
        <w:spacing w:lineRule="auto" w:line="240" w:before="0" w:after="0"/>
        <w:ind w:left="284"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727325" cy="1788160"/>
            <wp:effectExtent l="0" t="0" r="0" b="0"/>
            <wp:docPr id="2" name="Imagen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4" descr=""/>
                    <pic:cNvPicPr>
                      <a:picLocks noChangeAspect="1" noChangeArrowheads="1"/>
                    </pic:cNvPicPr>
                  </pic:nvPicPr>
                  <pic:blipFill>
                    <a:blip r:embed="rId8"/>
                    <a:stretch>
                      <a:fillRect/>
                    </a:stretch>
                  </pic:blipFill>
                  <pic:spPr bwMode="auto">
                    <a:xfrm>
                      <a:off x="0" y="0"/>
                      <a:ext cx="2727325" cy="178816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color w:val="000000"/>
          <w:sz w:val="20"/>
          <w:szCs w:val="20"/>
        </w:rPr>
        <w:fldChar w:fldCharType="begin"/>
      </w:r>
      <w:r>
        <w:rPr>
          <w:sz w:val="20"/>
          <w:szCs w:val="20"/>
          <w:rFonts w:cs="Times New Roman" w:ascii="Times New Roman" w:hAnsi="Times New Roman"/>
          <w:color w:val="000000"/>
        </w:rPr>
        <w:instrText> SEQ Figura \* ARABIC </w:instrText>
      </w:r>
      <w:r>
        <w:rPr>
          <w:sz w:val="20"/>
          <w:szCs w:val="20"/>
          <w:rFonts w:cs="Times New Roman" w:ascii="Times New Roman" w:hAnsi="Times New Roman"/>
          <w:color w:val="000000"/>
        </w:rPr>
        <w:fldChar w:fldCharType="separate"/>
      </w:r>
      <w:r>
        <w:rPr>
          <w:sz w:val="20"/>
          <w:szCs w:val="20"/>
          <w:rFonts w:cs="Times New Roman" w:ascii="Times New Roman" w:hAnsi="Times New Roman"/>
          <w:color w:val="000000"/>
        </w:rPr>
        <w:t>1</w:t>
      </w:r>
      <w:r>
        <w:rPr>
          <w:sz w:val="20"/>
          <w:szCs w:val="20"/>
          <w:rFonts w:cs="Times New Roman" w:ascii="Times New Roman" w:hAnsi="Times New Roman"/>
          <w:color w:val="000000"/>
        </w:rPr>
        <w:fldChar w:fldCharType="end"/>
      </w:r>
      <w:r>
        <w:rPr>
          <w:rFonts w:cs="Times New Roman" w:ascii="Times New Roman" w:hAnsi="Times New Roman"/>
          <w:color w:val="000000"/>
          <w:sz w:val="20"/>
          <w:szCs w:val="20"/>
        </w:rPr>
        <w:t xml:space="preserve">. </w:t>
      </w:r>
      <w:r>
        <w:rPr>
          <w:rFonts w:cs="Times New Roman" w:ascii="Times New Roman" w:hAnsi="Times New Roman"/>
          <w:color w:val="000000"/>
          <w:sz w:val="20"/>
          <w:szCs w:val="20"/>
        </w:rPr>
        <w:t>C</w:t>
      </w:r>
      <w:r>
        <w:rPr>
          <w:rFonts w:cs="Times New Roman" w:ascii="Times New Roman" w:hAnsi="Times New Roman"/>
          <w:color w:val="000000"/>
          <w:sz w:val="20"/>
          <w:szCs w:val="20"/>
        </w:rPr>
        <w:t xml:space="preserve">lasificación de la biomasa. Obtenido de Lucas Hergueda y Tranco </w:t>
      </w:r>
      <w:r>
        <w:rPr>
          <w:rFonts w:cs="Times New Roman" w:ascii="Times New Roman" w:hAnsi="Times New Roman"/>
          <w:color w:val="000000"/>
          <w:sz w:val="20"/>
          <w:szCs w:val="20"/>
        </w:rPr>
        <w:t>(</w:t>
      </w:r>
      <w:r>
        <w:rPr>
          <w:rFonts w:cs="Times New Roman" w:ascii="Times New Roman" w:hAnsi="Times New Roman"/>
          <w:color w:val="000000"/>
          <w:sz w:val="20"/>
          <w:szCs w:val="20"/>
        </w:rPr>
        <w:t>2012</w:t>
      </w:r>
      <w:r>
        <w:rPr>
          <w:rFonts w:cs="Times New Roman" w:ascii="Times New Roman" w:hAnsi="Times New Roman"/>
          <w:color w:val="000000"/>
          <w:sz w:val="20"/>
          <w:szCs w:val="20"/>
        </w:rPr>
        <w:t>)</w:t>
      </w:r>
      <w:r>
        <w:rPr>
          <w:rFonts w:cs="Times New Roman" w:ascii="Times New Roman" w:hAnsi="Times New Roman"/>
          <w:color w:val="000000"/>
          <w:sz w:val="20"/>
          <w:szCs w:val="20"/>
        </w:rPr>
        <w:t>.</w:t>
      </w:r>
    </w:p>
    <w:p>
      <w:pPr>
        <w:pStyle w:val="ListParagraph"/>
        <w:widowControl w:val="false"/>
        <w:bidi w:val="0"/>
        <w:spacing w:lineRule="auto" w:line="240" w:before="0" w:after="0"/>
        <w:ind w:left="284" w:hanging="0"/>
        <w:jc w:val="center"/>
        <w:rPr>
          <w:rFonts w:ascii="Times New Roman" w:hAnsi="Times New Roman"/>
          <w:color w:val="000000"/>
          <w:sz w:val="20"/>
          <w:szCs w:val="20"/>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El sargazo de arribazón no es considerado una materia orgánica para la alimentación en el vermicomposteo por lo que no se encontró en la  literatura  que exponga algún beneficios que este puede otorgar a las lombrices californianas (</w:t>
      </w:r>
      <w:r>
        <w:rPr>
          <w:rFonts w:cs="Times New Roman" w:ascii="Times New Roman" w:hAnsi="Times New Roman"/>
          <w:i/>
          <w:iCs/>
          <w:color w:val="000000"/>
          <w:sz w:val="20"/>
          <w:szCs w:val="20"/>
        </w:rPr>
        <w:t>Eisena Foetida</w:t>
      </w:r>
      <w:r>
        <w:rPr>
          <w:rFonts w:cs="Times New Roman" w:ascii="Times New Roman" w:hAnsi="Times New Roman"/>
          <w:color w:val="000000"/>
          <w:sz w:val="20"/>
          <w:szCs w:val="20"/>
        </w:rPr>
        <w:t xml:space="preserve">), en la Tabla 1 se presenta la clasificación de la biomasa agrícola por su tipo y sustancia biorgánica, así como ejemplos encontradas en la literatura. </w:t>
      </w:r>
    </w:p>
    <w:p>
      <w:pPr>
        <w:pStyle w:val="Caption"/>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Caption"/>
        <w:bidi w:val="0"/>
        <w:spacing w:lineRule="auto" w:line="240" w:before="0" w:after="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w:t>
      </w:r>
      <w:r>
        <w:rPr>
          <w:rFonts w:cs="Times New Roman" w:ascii="Times New Roman" w:hAnsi="Times New Roman"/>
          <w:b/>
          <w:bCs/>
          <w:i w:val="false"/>
          <w:iCs w:val="false"/>
          <w:color w:val="000000"/>
          <w:sz w:val="20"/>
          <w:szCs w:val="20"/>
        </w:rPr>
        <w:fldChar w:fldCharType="begin"/>
      </w:r>
      <w:r>
        <w:rPr>
          <w:sz w:val="20"/>
          <w:i w:val="false"/>
          <w:b/>
          <w:szCs w:val="20"/>
          <w:iCs w:val="false"/>
          <w:bCs/>
          <w:rFonts w:cs="Times New Roman" w:ascii="Times New Roman" w:hAnsi="Times New Roman"/>
          <w:color w:val="000000"/>
        </w:rPr>
        <w:instrText> SEQ Tabla \* ARABIC </w:instrText>
      </w:r>
      <w:r>
        <w:rPr>
          <w:sz w:val="20"/>
          <w:i w:val="false"/>
          <w:b/>
          <w:szCs w:val="20"/>
          <w:iCs w:val="false"/>
          <w:bCs/>
          <w:rFonts w:cs="Times New Roman" w:ascii="Times New Roman" w:hAnsi="Times New Roman"/>
          <w:color w:val="000000"/>
        </w:rPr>
        <w:fldChar w:fldCharType="separate"/>
      </w:r>
      <w:r>
        <w:rPr>
          <w:sz w:val="20"/>
          <w:i w:val="false"/>
          <w:b/>
          <w:szCs w:val="20"/>
          <w:iCs w:val="false"/>
          <w:bCs/>
          <w:rFonts w:cs="Times New Roman" w:ascii="Times New Roman" w:hAnsi="Times New Roman"/>
          <w:color w:val="000000"/>
        </w:rPr>
        <w:t>1</w:t>
      </w:r>
      <w:r>
        <w:rPr>
          <w:sz w:val="20"/>
          <w:i w:val="false"/>
          <w:b/>
          <w:szCs w:val="20"/>
          <w:iCs w:val="false"/>
          <w:bCs/>
          <w:rFonts w:cs="Times New Roman" w:ascii="Times New Roman" w:hAnsi="Times New Roman"/>
          <w:color w:val="000000"/>
        </w:rPr>
        <w:fldChar w:fldCharType="end"/>
      </w:r>
      <w:r>
        <w:rPr>
          <w:rFonts w:cs="Times New Roman" w:ascii="Times New Roman" w:hAnsi="Times New Roman"/>
          <w:b/>
          <w:bCs/>
          <w:i w:val="false"/>
          <w:iCs w:val="false"/>
          <w:color w:val="000000"/>
          <w:sz w:val="20"/>
          <w:szCs w:val="20"/>
        </w:rPr>
        <w:t xml:space="preserve">. </w:t>
      </w:r>
      <w:r>
        <w:rPr>
          <w:rFonts w:cs="Times New Roman" w:ascii="Times New Roman" w:hAnsi="Times New Roman"/>
          <w:b/>
          <w:bCs/>
          <w:i w:val="false"/>
          <w:iCs w:val="false"/>
          <w:color w:val="000000"/>
          <w:sz w:val="20"/>
          <w:szCs w:val="20"/>
        </w:rPr>
        <w:t>C</w:t>
      </w:r>
      <w:r>
        <w:rPr>
          <w:rFonts w:cs="Times New Roman" w:ascii="Times New Roman" w:hAnsi="Times New Roman"/>
          <w:b/>
          <w:bCs/>
          <w:i w:val="false"/>
          <w:iCs w:val="false"/>
          <w:color w:val="000000"/>
          <w:sz w:val="20"/>
          <w:szCs w:val="20"/>
        </w:rPr>
        <w:t xml:space="preserve">lasificación de la composición de la biomasa agrícola. Obtenido de Lucas Hergueda y Tranco </w:t>
      </w:r>
      <w:r>
        <w:rPr>
          <w:rFonts w:cs="Times New Roman" w:ascii="Times New Roman" w:hAnsi="Times New Roman"/>
          <w:b/>
          <w:bCs/>
          <w:i w:val="false"/>
          <w:iCs w:val="false"/>
          <w:color w:val="000000"/>
          <w:sz w:val="20"/>
          <w:szCs w:val="20"/>
        </w:rPr>
        <w:t>(</w:t>
      </w:r>
      <w:r>
        <w:rPr>
          <w:rFonts w:cs="Times New Roman" w:ascii="Times New Roman" w:hAnsi="Times New Roman"/>
          <w:b/>
          <w:bCs/>
          <w:i w:val="false"/>
          <w:iCs w:val="false"/>
          <w:color w:val="000000"/>
          <w:sz w:val="20"/>
          <w:szCs w:val="20"/>
        </w:rPr>
        <w:t>2012</w:t>
      </w:r>
      <w:r>
        <w:rPr>
          <w:rFonts w:cs="Times New Roman" w:ascii="Times New Roman" w:hAnsi="Times New Roman"/>
          <w:b/>
          <w:bCs/>
          <w:i w:val="false"/>
          <w:iCs w:val="false"/>
          <w:color w:val="000000"/>
          <w:sz w:val="20"/>
          <w:szCs w:val="20"/>
        </w:rPr>
        <w:t>)</w:t>
      </w:r>
      <w:r>
        <w:rPr>
          <w:rFonts w:cs="Times New Roman" w:ascii="Times New Roman" w:hAnsi="Times New Roman"/>
          <w:b/>
          <w:bCs/>
          <w:i w:val="false"/>
          <w:iCs w:val="false"/>
          <w:color w:val="000000"/>
          <w:sz w:val="20"/>
          <w:szCs w:val="20"/>
        </w:rPr>
        <w:t>.</w:t>
      </w:r>
    </w:p>
    <w:p>
      <w:pPr>
        <w:pStyle w:val="Caption"/>
        <w:bidi w:val="0"/>
        <w:spacing w:lineRule="auto" w:line="240" w:before="0" w:after="0"/>
        <w:jc w:val="center"/>
        <w:rPr>
          <w:rFonts w:cs="Times New Roman"/>
        </w:rPr>
      </w:pPr>
      <w:r>
        <w:rPr>
          <w:rFonts w:ascii="Times New Roman" w:hAnsi="Times New Roman"/>
          <w:b/>
          <w:bCs/>
          <w:i w:val="false"/>
          <w:iCs w:val="false"/>
          <w:color w:val="000000"/>
          <w:sz w:val="20"/>
          <w:szCs w:val="20"/>
        </w:rPr>
      </w:r>
    </w:p>
    <w:tbl>
      <w:tblPr>
        <w:tblStyle w:val="Tablaconcuadrcula"/>
        <w:tblW w:w="471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0"/>
        <w:gridCol w:w="1020"/>
        <w:gridCol w:w="1245"/>
        <w:gridCol w:w="1485"/>
      </w:tblGrid>
      <w:tr>
        <w:trPr/>
        <w:tc>
          <w:tcPr>
            <w:tcW w:w="960" w:type="dxa"/>
            <w:tcBorders/>
            <w:vAlign w:val="center"/>
          </w:tcPr>
          <w:p>
            <w:pPr>
              <w:pStyle w:val="Caption"/>
              <w:widowControl/>
              <w:bidi w:val="0"/>
              <w:spacing w:lineRule="auto" w:line="240" w:before="0" w:after="0"/>
              <w:jc w:val="center"/>
              <w:rPr>
                <w:rFonts w:ascii="Times New Roman" w:hAnsi="Times New Roman" w:eastAsia="Arial" w:cs="Times New Roman"/>
                <w:b/>
                <w:b/>
                <w:bCs/>
                <w:i w:val="false"/>
                <w:i w:val="false"/>
                <w:iCs w:val="false"/>
                <w:color w:val="000000"/>
                <w:kern w:val="0"/>
                <w:sz w:val="12"/>
                <w:szCs w:val="12"/>
                <w:lang w:val="es-MX" w:eastAsia="es-MX" w:bidi="ar-SA"/>
              </w:rPr>
            </w:pPr>
            <w:r>
              <w:rPr>
                <w:rFonts w:eastAsia="Arial" w:cs="Times New Roman" w:ascii="Times New Roman" w:hAnsi="Times New Roman"/>
                <w:b/>
                <w:bCs/>
                <w:i w:val="false"/>
                <w:iCs w:val="false"/>
                <w:color w:val="000000"/>
                <w:kern w:val="0"/>
                <w:sz w:val="12"/>
                <w:szCs w:val="12"/>
                <w:lang w:val="es-MX" w:eastAsia="es-MX" w:bidi="ar-SA"/>
              </w:rPr>
              <w:t>TIPO</w:t>
            </w:r>
          </w:p>
        </w:tc>
        <w:tc>
          <w:tcPr>
            <w:tcW w:w="2265" w:type="dxa"/>
            <w:gridSpan w:val="2"/>
            <w:tcBorders/>
            <w:vAlign w:val="center"/>
          </w:tcPr>
          <w:p>
            <w:pPr>
              <w:pStyle w:val="Caption"/>
              <w:widowControl/>
              <w:bidi w:val="0"/>
              <w:spacing w:lineRule="auto" w:line="240" w:before="0" w:after="0"/>
              <w:jc w:val="center"/>
              <w:rPr>
                <w:rFonts w:ascii="Times New Roman" w:hAnsi="Times New Roman" w:eastAsia="Arial" w:cs="Times New Roman"/>
                <w:b/>
                <w:b/>
                <w:bCs/>
                <w:i w:val="false"/>
                <w:i w:val="false"/>
                <w:iCs w:val="false"/>
                <w:color w:val="000000"/>
                <w:kern w:val="0"/>
                <w:sz w:val="12"/>
                <w:szCs w:val="12"/>
                <w:lang w:val="es-MX" w:eastAsia="es-MX" w:bidi="ar-SA"/>
              </w:rPr>
            </w:pPr>
            <w:r>
              <w:rPr>
                <w:rFonts w:eastAsia="Arial" w:cs="Times New Roman" w:ascii="Times New Roman" w:hAnsi="Times New Roman"/>
                <w:b/>
                <w:bCs/>
                <w:i w:val="false"/>
                <w:iCs w:val="false"/>
                <w:color w:val="000000"/>
                <w:kern w:val="0"/>
                <w:sz w:val="12"/>
                <w:szCs w:val="12"/>
                <w:lang w:val="es-MX" w:eastAsia="es-MX" w:bidi="ar-SA"/>
              </w:rPr>
              <w:t>SUSTANCIA BIOORGÁNICA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b/>
                <w:b/>
                <w:bCs/>
                <w:i w:val="false"/>
                <w:i w:val="false"/>
                <w:iCs w:val="false"/>
                <w:color w:val="000000"/>
                <w:kern w:val="0"/>
                <w:sz w:val="12"/>
                <w:szCs w:val="12"/>
                <w:lang w:val="es-MX" w:eastAsia="es-MX" w:bidi="ar-SA"/>
              </w:rPr>
            </w:pPr>
            <w:r>
              <w:rPr>
                <w:rFonts w:eastAsia="Arial" w:cs="Times New Roman" w:ascii="Times New Roman" w:hAnsi="Times New Roman"/>
                <w:b/>
                <w:bCs/>
                <w:i w:val="false"/>
                <w:iCs w:val="false"/>
                <w:color w:val="000000"/>
                <w:kern w:val="0"/>
                <w:sz w:val="12"/>
                <w:szCs w:val="12"/>
                <w:lang w:val="es-MX" w:eastAsia="es-MX" w:bidi="ar-SA"/>
              </w:rPr>
              <w:t>EJEMPLOS</w:t>
            </w:r>
          </w:p>
        </w:tc>
      </w:tr>
      <w:tr>
        <w:trPr/>
        <w:tc>
          <w:tcPr>
            <w:tcW w:w="4710" w:type="dxa"/>
            <w:gridSpan w:val="4"/>
            <w:tcBorders/>
            <w:vAlign w:val="center"/>
          </w:tcPr>
          <w:p>
            <w:pPr>
              <w:pStyle w:val="Caption"/>
              <w:widowControl/>
              <w:bidi w:val="0"/>
              <w:spacing w:lineRule="auto" w:line="240" w:before="0" w:after="0"/>
              <w:jc w:val="center"/>
              <w:rPr>
                <w:rFonts w:ascii="Times New Roman" w:hAnsi="Times New Roman" w:eastAsia="Arial" w:cs="Times New Roman"/>
                <w:b/>
                <w:b/>
                <w:bCs/>
                <w:i w:val="false"/>
                <w:i w:val="false"/>
                <w:iCs w:val="false"/>
                <w:color w:val="000000"/>
                <w:kern w:val="0"/>
                <w:sz w:val="12"/>
                <w:szCs w:val="12"/>
                <w:lang w:val="es-MX" w:eastAsia="es-MX" w:bidi="ar-SA"/>
              </w:rPr>
            </w:pPr>
            <w:r>
              <w:rPr>
                <w:rFonts w:eastAsia="Arial" w:cs="Times New Roman" w:ascii="Times New Roman" w:hAnsi="Times New Roman"/>
                <w:b/>
                <w:bCs/>
                <w:i w:val="false"/>
                <w:iCs w:val="false"/>
                <w:color w:val="000000"/>
                <w:kern w:val="0"/>
                <w:sz w:val="12"/>
                <w:szCs w:val="12"/>
                <w:lang w:val="es-MX" w:eastAsia="es-MX" w:bidi="ar-SA"/>
              </w:rPr>
              <w:t>LIPIDOS</w:t>
            </w:r>
          </w:p>
        </w:tc>
      </w:tr>
      <w:tr>
        <w:trPr/>
        <w:tc>
          <w:tcPr>
            <w:tcW w:w="960"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Oleaginosa</w:t>
            </w:r>
          </w:p>
        </w:tc>
        <w:tc>
          <w:tcPr>
            <w:tcW w:w="2265" w:type="dxa"/>
            <w:gridSpan w:val="2"/>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Semillas de girasol, soja, maíz, lino, almendro</w:t>
            </w:r>
          </w:p>
        </w:tc>
      </w:tr>
      <w:tr>
        <w:trPr/>
        <w:tc>
          <w:tcPr>
            <w:tcW w:w="4710" w:type="dxa"/>
            <w:gridSpan w:val="4"/>
            <w:tcBorders/>
            <w:vAlign w:val="center"/>
          </w:tcPr>
          <w:p>
            <w:pPr>
              <w:pStyle w:val="Caption"/>
              <w:widowControl/>
              <w:bidi w:val="0"/>
              <w:spacing w:lineRule="auto" w:line="240" w:before="0" w:after="0"/>
              <w:jc w:val="center"/>
              <w:rPr>
                <w:rFonts w:ascii="Times New Roman" w:hAnsi="Times New Roman" w:eastAsia="Arial" w:cs="Times New Roman"/>
                <w:b/>
                <w:b/>
                <w:bCs/>
                <w:i w:val="false"/>
                <w:i w:val="false"/>
                <w:iCs w:val="false"/>
                <w:color w:val="000000"/>
                <w:kern w:val="0"/>
                <w:sz w:val="12"/>
                <w:szCs w:val="12"/>
                <w:lang w:val="es-MX" w:eastAsia="es-MX" w:bidi="ar-SA"/>
              </w:rPr>
            </w:pPr>
            <w:r>
              <w:rPr>
                <w:rFonts w:eastAsia="Arial" w:cs="Times New Roman" w:ascii="Times New Roman" w:hAnsi="Times New Roman"/>
                <w:b/>
                <w:bCs/>
                <w:i w:val="false"/>
                <w:iCs w:val="false"/>
                <w:color w:val="000000"/>
                <w:kern w:val="0"/>
                <w:sz w:val="12"/>
                <w:szCs w:val="12"/>
                <w:lang w:val="es-MX" w:eastAsia="es-MX" w:bidi="ar-SA"/>
              </w:rPr>
              <w:t>HIDRATOS DE CARBONO</w:t>
            </w:r>
          </w:p>
        </w:tc>
      </w:tr>
      <w:tr>
        <w:trPr/>
        <w:tc>
          <w:tcPr>
            <w:tcW w:w="96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Alcoholígena</w:t>
            </w:r>
          </w:p>
        </w:tc>
        <w:tc>
          <w:tcPr>
            <w:tcW w:w="102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Monosacáridos</w:t>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Glucosa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Pulpa de fruta</w:t>
            </w:r>
          </w:p>
        </w:tc>
      </w:tr>
      <w:tr>
        <w:trPr/>
        <w:tc>
          <w:tcPr>
            <w:tcW w:w="96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02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Fructosa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Pulpa de fruta</w:t>
            </w:r>
          </w:p>
        </w:tc>
      </w:tr>
      <w:tr>
        <w:trPr/>
        <w:tc>
          <w:tcPr>
            <w:tcW w:w="96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020"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Disacáridos</w:t>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Sacarosa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Caña de azúcar, sorgo dulce, remolacha</w:t>
            </w:r>
          </w:p>
        </w:tc>
      </w:tr>
      <w:tr>
        <w:trPr/>
        <w:tc>
          <w:tcPr>
            <w:tcW w:w="96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Amilácea / Inulínica</w:t>
            </w:r>
          </w:p>
        </w:tc>
        <w:tc>
          <w:tcPr>
            <w:tcW w:w="102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Polisacáridos</w:t>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Insulina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Tubérculo de patata y rizomas de dalia, achicoria</w:t>
            </w:r>
          </w:p>
        </w:tc>
      </w:tr>
      <w:tr>
        <w:trPr/>
        <w:tc>
          <w:tcPr>
            <w:tcW w:w="96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02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Almidón</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Granos de cereal, tubérculo de patata</w:t>
            </w:r>
          </w:p>
        </w:tc>
      </w:tr>
      <w:tr>
        <w:trPr/>
        <w:tc>
          <w:tcPr>
            <w:tcW w:w="96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Lignocelulósica</w:t>
            </w:r>
          </w:p>
        </w:tc>
        <w:tc>
          <w:tcPr>
            <w:tcW w:w="1020" w:type="dxa"/>
            <w:vMerge w:val="restart"/>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Polisacáridos</w:t>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Hemicelulosa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Maderas en general</w:t>
            </w:r>
          </w:p>
        </w:tc>
      </w:tr>
      <w:tr>
        <w:trPr/>
        <w:tc>
          <w:tcPr>
            <w:tcW w:w="96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020" w:type="dxa"/>
            <w:vMerge w:val="continue"/>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r>
          </w:p>
        </w:tc>
        <w:tc>
          <w:tcPr>
            <w:tcW w:w="124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Celulosa</w:t>
            </w:r>
          </w:p>
        </w:tc>
        <w:tc>
          <w:tcPr>
            <w:tcW w:w="1485" w:type="dxa"/>
            <w:tcBorders/>
            <w:vAlign w:val="center"/>
          </w:tcPr>
          <w:p>
            <w:pPr>
              <w:pStyle w:val="Caption"/>
              <w:widowControl/>
              <w:bidi w:val="0"/>
              <w:spacing w:lineRule="auto" w:line="240" w:before="0" w:after="0"/>
              <w:jc w:val="center"/>
              <w:rPr>
                <w:rFonts w:ascii="Times New Roman" w:hAnsi="Times New Roman" w:eastAsia="Arial" w:cs="Times New Roman"/>
                <w:i w:val="false"/>
                <w:i w:val="false"/>
                <w:iCs w:val="false"/>
                <w:color w:val="000000"/>
                <w:kern w:val="0"/>
                <w:sz w:val="12"/>
                <w:szCs w:val="12"/>
                <w:lang w:val="es-MX" w:eastAsia="es-MX" w:bidi="ar-SA"/>
              </w:rPr>
            </w:pPr>
            <w:r>
              <w:rPr>
                <w:rFonts w:eastAsia="Arial" w:cs="Times New Roman" w:ascii="Times New Roman" w:hAnsi="Times New Roman"/>
                <w:i w:val="false"/>
                <w:iCs w:val="false"/>
                <w:color w:val="000000"/>
                <w:kern w:val="0"/>
                <w:sz w:val="12"/>
                <w:szCs w:val="12"/>
                <w:lang w:val="es-MX" w:eastAsia="es-MX" w:bidi="ar-SA"/>
              </w:rPr>
              <w:t>Residuos lignocelulósicos</w:t>
            </w:r>
          </w:p>
        </w:tc>
      </w:tr>
    </w:tbl>
    <w:p>
      <w:pPr>
        <w:pStyle w:val="Cuerpodetexto"/>
        <w:bidi w:val="0"/>
        <w:jc w:val="left"/>
        <w:rPr>
          <w:rFonts w:cs="Times New Roman"/>
          <w:i/>
          <w:i/>
          <w:iCs/>
        </w:rPr>
      </w:pPr>
      <w:r>
        <w:rPr>
          <w:rFonts w:ascii="Times New Roman" w:hAnsi="Times New Roman"/>
          <w:sz w:val="20"/>
          <w:szCs w:val="20"/>
        </w:rPr>
      </w:r>
    </w:p>
    <w:p>
      <w:pPr>
        <w:pStyle w:val="Cuerpodetexto"/>
        <w:bidi w:val="0"/>
        <w:jc w:val="left"/>
        <w:rPr>
          <w:rFonts w:ascii="Times New Roman" w:hAnsi="Times New Roman"/>
          <w:sz w:val="20"/>
          <w:szCs w:val="20"/>
        </w:rPr>
      </w:pPr>
      <w:r>
        <w:rPr>
          <w:rFonts w:cs="Times New Roman" w:ascii="Times New Roman" w:hAnsi="Times New Roman"/>
          <w:i/>
          <w:iCs/>
          <w:sz w:val="20"/>
          <w:szCs w:val="20"/>
        </w:rPr>
        <w:t xml:space="preserve">A. </w:t>
      </w:r>
      <w:r>
        <w:rPr>
          <w:rFonts w:cs="Times New Roman" w:ascii="Times New Roman" w:hAnsi="Times New Roman"/>
          <w:i/>
          <w:iCs/>
          <w:sz w:val="20"/>
          <w:szCs w:val="20"/>
        </w:rPr>
        <w:t>Compostaje</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El composteo es la descomposición de la materia orgánica por microorganismos en un ambiente con condiciones controladas, facilitando un incremento de la temperatura (entre 55° y 60° C) para destruir los patógenos. Los niveles de oxigenación y humedad de este proceso también son controlados para reducir la eventual producción de malos olores. </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Durante el proceso, la materia orgánica es degradada hasta un humus con excelentes propiedades para el suelo, con un pH de 6.5 a 8, que favorece el crecimiento saludable de las plantas y tiene la capacidad de retención de agua. La composta se puede obtener mediante la descomposición de la materia orgánica en condiciones aerobias o anaerobias. La descomposición aerobia es más utilizada que la anaerobia, debido a que esta última genera olores desagradables y requiere infraestructura y conocimientos técnicos residuos,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CITATION Her18 \l 2058</w:instrText>
          </w:r>
          <w:r>
            <w:rPr>
              <w:sz w:val="20"/>
              <w:szCs w:val="20"/>
              <w:rFonts w:ascii="Times New Roman" w:hAnsi="Times New Roman"/>
              <w:color w:val="000000"/>
            </w:rPr>
            <w:fldChar w:fldCharType="separate"/>
          </w:r>
          <w:r>
            <w:rPr>
              <w:sz w:val="20"/>
              <w:szCs w:val="20"/>
              <w:rFonts w:ascii="Times New Roman" w:hAnsi="Times New Roman"/>
              <w:color w:val="000000"/>
            </w:rPr>
            <w:t>(Herrera González &amp; López Calero, 2018)</w:t>
          </w:r>
          <w:r>
            <w:rPr>
              <w:sz w:val="20"/>
              <w:szCs w:val="20"/>
              <w:rFonts w:ascii="Times New Roman" w:hAnsi="Times New Roman"/>
              <w:color w:val="000000"/>
            </w:rPr>
            <w:fldChar w:fldCharType="end"/>
          </w:r>
        </w:sdtContent>
      </w:sdt>
      <w:r>
        <w:rPr>
          <w:rFonts w:cs="Times New Roman" w:ascii="Times New Roman" w:hAnsi="Times New Roman"/>
          <w:color w:val="000000"/>
          <w:sz w:val="20"/>
          <w:szCs w:val="20"/>
        </w:rPr>
        <w:t>.</w:t>
      </w:r>
    </w:p>
    <w:p>
      <w:pPr>
        <w:pStyle w:val="Normal"/>
        <w:widowControl w:val="false"/>
        <w:bidi w:val="0"/>
        <w:spacing w:lineRule="auto" w:line="240" w:before="0" w:after="0"/>
        <w:ind w:firstLine="284"/>
        <w:jc w:val="both"/>
        <w:rPr>
          <w:rFonts w:ascii="Times New Roman" w:hAnsi="Times New Roman" w:cs="Times New Roman"/>
          <w:b/>
          <w:b/>
          <w:bCs/>
          <w:color w:val="000000"/>
          <w:sz w:val="20"/>
          <w:szCs w:val="20"/>
        </w:rPr>
      </w:pPr>
      <w:r>
        <w:rPr>
          <w:rFonts w:cs="Times New Roman" w:ascii="Times New Roman" w:hAnsi="Times New Roman"/>
          <w:b/>
          <w:bCs/>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b w:val="false"/>
          <w:bCs w:val="false"/>
          <w:i/>
          <w:iCs/>
          <w:color w:val="000000"/>
          <w:sz w:val="20"/>
          <w:szCs w:val="20"/>
        </w:rPr>
        <w:t xml:space="preserve">B. </w:t>
      </w:r>
      <w:r>
        <w:rPr>
          <w:rFonts w:cs="Times New Roman" w:ascii="Times New Roman" w:hAnsi="Times New Roman"/>
          <w:b w:val="false"/>
          <w:bCs w:val="false"/>
          <w:i/>
          <w:iCs/>
          <w:color w:val="000000"/>
          <w:sz w:val="20"/>
          <w:szCs w:val="20"/>
        </w:rPr>
        <w:t>Lombricomposta</w:t>
      </w:r>
    </w:p>
    <w:p>
      <w:pPr>
        <w:pStyle w:val="Normal"/>
        <w:widowControl w:val="false"/>
        <w:bidi w:val="0"/>
        <w:spacing w:lineRule="auto" w:line="240" w:before="0" w:after="0"/>
        <w:ind w:hanging="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color w:val="000000"/>
          <w:sz w:val="20"/>
          <w:szCs w:val="20"/>
        </w:rPr>
        <w:t>La lombricultura es una biotecnología que utiliza una especie domesticada de lombriz, ya que esta recicla todo tipo de materia orgánica obteniendo como fruto de este trabajo humus, carne y harina de lombriz. Se trata de una interesante actividad zootécnica que permite perfeccionar todos los sistemas de producción agrícola, además de que esta se constituye como un medio de descontaminación ambiental al utilizar materiales biodegradables.</w:t>
      </w:r>
    </w:p>
    <w:p>
      <w:pPr>
        <w:pStyle w:val="Normal"/>
        <w:widowControl w:val="false"/>
        <w:bidi w:val="0"/>
        <w:spacing w:lineRule="auto" w:line="240" w:before="0" w:after="0"/>
        <w:ind w:hanging="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color w:val="000000"/>
          <w:sz w:val="20"/>
          <w:szCs w:val="20"/>
        </w:rPr>
        <w:t xml:space="preserve">Cabe mencionar que el uso de la lombricomposta como fertilizante orgánico y su aprovechamiento para utilizar los desechos orgánicos son sus principales ventajas las cuales en este proyecto se pretenden aprovechar con los desechos de vegetación marina,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CITATION Her18 \l 2058</w:instrText>
          </w:r>
          <w:r>
            <w:rPr>
              <w:sz w:val="20"/>
              <w:szCs w:val="20"/>
              <w:rFonts w:ascii="Times New Roman" w:hAnsi="Times New Roman"/>
              <w:color w:val="000000"/>
            </w:rPr>
            <w:fldChar w:fldCharType="separate"/>
          </w:r>
          <w:r>
            <w:rPr>
              <w:sz w:val="20"/>
              <w:szCs w:val="20"/>
              <w:rFonts w:ascii="Times New Roman" w:hAnsi="Times New Roman"/>
              <w:color w:val="000000"/>
            </w:rPr>
            <w:t>(Herrera González &amp; López Calero, 2018)</w:t>
          </w:r>
          <w:r>
            <w:rPr>
              <w:sz w:val="20"/>
              <w:szCs w:val="20"/>
              <w:rFonts w:ascii="Times New Roman" w:hAnsi="Times New Roman"/>
              <w:color w:val="000000"/>
            </w:rPr>
            <w:fldChar w:fldCharType="end"/>
          </w:r>
        </w:sdtContent>
      </w:sdt>
      <w:r>
        <w:rPr>
          <w:rFonts w:cs="Times New Roman" w:ascii="Times New Roman" w:hAnsi="Times New Roman"/>
          <w:color w:val="000000"/>
          <w:sz w:val="20"/>
          <w:szCs w:val="20"/>
        </w:rPr>
        <w:t>.</w:t>
      </w:r>
    </w:p>
    <w:p>
      <w:pPr>
        <w:pStyle w:val="Normal"/>
        <w:widowControl w:val="false"/>
        <w:bidi w:val="0"/>
        <w:spacing w:lineRule="auto" w:line="240" w:before="0" w:after="0"/>
        <w:ind w:hanging="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b w:val="false"/>
          <w:bCs w:val="false"/>
          <w:i/>
          <w:iCs/>
          <w:color w:val="000000"/>
          <w:sz w:val="20"/>
          <w:szCs w:val="20"/>
        </w:rPr>
        <w:t xml:space="preserve">C. </w:t>
      </w:r>
      <w:r>
        <w:rPr>
          <w:rFonts w:cs="Times New Roman" w:ascii="Times New Roman" w:hAnsi="Times New Roman"/>
          <w:b w:val="false"/>
          <w:bCs w:val="false"/>
          <w:i/>
          <w:iCs/>
          <w:color w:val="000000"/>
          <w:sz w:val="20"/>
          <w:szCs w:val="20"/>
        </w:rPr>
        <w:t>Lombriz californiana (Eisenia Foetida)</w:t>
      </w:r>
    </w:p>
    <w:p>
      <w:pPr>
        <w:pStyle w:val="Normal"/>
        <w:widowControl w:val="false"/>
        <w:bidi w:val="0"/>
        <w:spacing w:lineRule="auto" w:line="240" w:before="0" w:after="0"/>
        <w:ind w:hanging="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color w:val="000000"/>
          <w:sz w:val="20"/>
          <w:szCs w:val="20"/>
        </w:rPr>
        <w:t>La lombriz roja californiana es la especie más utilizada para su manejo en granjas de vermicomposteo ya que además de ser de un fácil manejo por su adecuación a distintos climas y tener una gran producción la hace excelente para la producción de carne y harina de lombriz principalmente además de utilizarse su composición como medicamentos y al ser potencialmente productora de humus se utiliza como fertilizantes en el área agrícola. (Herrera González &amp; López Calero, 2018).</w:t>
      </w:r>
    </w:p>
    <w:p>
      <w:pPr>
        <w:pStyle w:val="Normal"/>
        <w:widowControl w:val="false"/>
        <w:bidi w:val="0"/>
        <w:spacing w:lineRule="auto" w:line="240" w:before="0" w:after="0"/>
        <w:ind w:hanging="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color w:val="000000"/>
          <w:sz w:val="20"/>
          <w:szCs w:val="20"/>
        </w:rPr>
      </w:pPr>
      <w:r>
        <w:rPr>
          <w:rFonts w:cs="Times New Roman" w:ascii="Times New Roman" w:hAnsi="Times New Roman"/>
          <w:b w:val="false"/>
          <w:bCs w:val="false"/>
          <w:i/>
          <w:iCs/>
          <w:color w:val="000000"/>
          <w:sz w:val="20"/>
          <w:szCs w:val="20"/>
        </w:rPr>
        <w:t xml:space="preserve">D. </w:t>
      </w:r>
      <w:r>
        <w:rPr>
          <w:rFonts w:cs="Times New Roman" w:ascii="Times New Roman" w:hAnsi="Times New Roman"/>
          <w:b w:val="false"/>
          <w:bCs w:val="false"/>
          <w:i/>
          <w:iCs/>
          <w:color w:val="000000"/>
          <w:sz w:val="20"/>
          <w:szCs w:val="20"/>
        </w:rPr>
        <w:t>Condiciones óptimas de Habitad de una lombriz californiana (Eisenia Foetida)</w:t>
      </w:r>
    </w:p>
    <w:p>
      <w:pPr>
        <w:pStyle w:val="Normal"/>
        <w:widowControl w:val="false"/>
        <w:bidi w:val="0"/>
        <w:spacing w:lineRule="auto" w:line="240" w:before="0" w:after="0"/>
        <w:ind w:hanging="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Para la especie Eisenia Foetida los rangos de temperatura adecuados oscilan entre 15 a 20ºC con límites de 4 a 35ºC, la humedad que necesitan para una óptima producción recae en un porcentaje del 80 a 90% recalcando límites de 60 a 90%, de igual manera se debe de tener un control de pH que oscile entre 5 y 9 puntos y que el recipiente donde se almacenaran no permita el paso de la luz ya que no son amigables con la luz. Cabe recalcar </w:t>
      </w:r>
      <w:r>
        <w:rPr>
          <w:rFonts w:cs="Times New Roman" w:ascii="Times New Roman" w:hAnsi="Times New Roman"/>
          <w:color w:val="000000"/>
          <w:sz w:val="20"/>
          <w:szCs w:val="20"/>
        </w:rPr>
        <w:t>que esta especie necesita de oxígeno y respira por la piel por los que se le debe de proporcionar un sistema de aireación que permita que puedan respirar.</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Los limites refieren al límite máximo donde las lombrices pueden desarrollarse y crecer aclarando que su reproducción, crecimiento y humus tendrán un considerable porcentaje de perdida respecto al ideal, si estos límites no se respetan con los cuidados necesarios la lombriz morirá,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CITATION Gua15 \l 2058</w:instrText>
          </w:r>
          <w:r>
            <w:rPr>
              <w:sz w:val="20"/>
              <w:szCs w:val="20"/>
              <w:rFonts w:ascii="Times New Roman" w:hAnsi="Times New Roman"/>
              <w:color w:val="000000"/>
            </w:rPr>
            <w:fldChar w:fldCharType="separate"/>
          </w:r>
          <w:r>
            <w:rPr>
              <w:sz w:val="20"/>
              <w:szCs w:val="20"/>
              <w:rFonts w:ascii="Times New Roman" w:hAnsi="Times New Roman"/>
              <w:color w:val="000000"/>
            </w:rPr>
            <w:t>(Guanche García, 2015)</w:t>
          </w:r>
          <w:r>
            <w:rPr>
              <w:sz w:val="20"/>
              <w:szCs w:val="20"/>
              <w:rFonts w:ascii="Times New Roman" w:hAnsi="Times New Roman"/>
              <w:color w:val="000000"/>
            </w:rPr>
            <w:fldChar w:fldCharType="end"/>
          </w:r>
        </w:sdtContent>
      </w:sdt>
      <w:r>
        <w:rPr>
          <w:rFonts w:cs="Times New Roman" w:ascii="Times New Roman" w:hAnsi="Times New Roman"/>
          <w:color w:val="000000"/>
          <w:sz w:val="20"/>
          <w:szCs w:val="20"/>
        </w:rPr>
        <w:t>.</w:t>
      </w:r>
    </w:p>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b w:val="false"/>
          <w:b w:val="false"/>
          <w:bCs w:val="false"/>
          <w:i/>
          <w:i/>
          <w:iCs/>
          <w:color w:val="000000"/>
          <w:sz w:val="20"/>
          <w:szCs w:val="20"/>
        </w:rPr>
      </w:pPr>
      <w:r>
        <w:rPr>
          <w:rFonts w:cs="Times New Roman" w:ascii="Times New Roman" w:hAnsi="Times New Roman"/>
          <w:b w:val="false"/>
          <w:bCs w:val="false"/>
          <w:i/>
          <w:iCs/>
          <w:color w:val="000000"/>
          <w:sz w:val="20"/>
          <w:szCs w:val="20"/>
        </w:rPr>
        <w:t xml:space="preserve">E. </w:t>
      </w:r>
      <w:r>
        <w:rPr>
          <w:rFonts w:cs="Times New Roman" w:ascii="Times New Roman" w:hAnsi="Times New Roman"/>
          <w:b w:val="false"/>
          <w:bCs w:val="false"/>
          <w:i/>
          <w:iCs/>
          <w:color w:val="000000"/>
          <w:sz w:val="20"/>
          <w:szCs w:val="20"/>
        </w:rPr>
        <w:t>Principales enemigos de las lombrices</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Los depredadores más frecuentes son los pájaros, mirlos, gallinas, ranas o sapos. La medida de control más eficaz es el cubrimiento del lecho con ramas o mallas, esto además evita la evaporación y mantiene la humedad. Se debe de tener cuidado con los roedores e insectos ya que estos pueden infectar y comer a los gusanos y su hábita</w:t>
      </w:r>
      <w:r>
        <w:rPr>
          <w:rFonts w:cs="Times New Roman" w:ascii="Times New Roman" w:hAnsi="Times New Roman"/>
          <w:color w:val="000000"/>
          <w:sz w:val="20"/>
          <w:szCs w:val="20"/>
        </w:rPr>
        <w:t>t</w:t>
      </w:r>
      <w:r>
        <w:rPr>
          <w:rFonts w:cs="Times New Roman" w:ascii="Times New Roman" w:hAnsi="Times New Roman"/>
          <w:color w:val="000000"/>
          <w:sz w:val="20"/>
          <w:szCs w:val="20"/>
        </w:rPr>
        <w:t>.</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La alimentación que se le proporcione a la lombriz debe de ser cuidadosamente analizada para su ingesta ya que puede provocar intoxicación si se tiene un nivel ácido en su contenido para ello se debe de cuidar su alimentación de los sustratos que se le proporcionan, la cantidad de proteína y el estado de la materia orgánica (Guanche García, 2015).</w:t>
      </w:r>
    </w:p>
    <w:p>
      <w:pPr>
        <w:pStyle w:val="Normal"/>
        <w:widowControl w:val="false"/>
        <w:bidi w:val="0"/>
        <w:spacing w:lineRule="auto" w:line="240" w:before="0" w:after="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b w:val="false"/>
          <w:bCs w:val="false"/>
          <w:i/>
          <w:iCs/>
          <w:color w:val="000000"/>
          <w:sz w:val="20"/>
          <w:szCs w:val="20"/>
        </w:rPr>
        <w:t xml:space="preserve">F. </w:t>
      </w:r>
      <w:r>
        <w:rPr>
          <w:rFonts w:cs="Times New Roman" w:ascii="Times New Roman" w:hAnsi="Times New Roman"/>
          <w:b w:val="false"/>
          <w:bCs w:val="false"/>
          <w:i/>
          <w:iCs/>
          <w:color w:val="000000"/>
          <w:sz w:val="20"/>
          <w:szCs w:val="20"/>
        </w:rPr>
        <w:t>Identificación de la problemática</w:t>
      </w:r>
    </w:p>
    <w:p>
      <w:pPr>
        <w:pStyle w:val="Normal"/>
        <w:widowControl w:val="false"/>
        <w:bidi w:val="0"/>
        <w:spacing w:lineRule="auto" w:line="240" w:before="0" w:after="0"/>
        <w:jc w:val="both"/>
        <w:rPr>
          <w:rFonts w:cs="Times New Roman"/>
          <w:b w:val="false"/>
          <w:b w:val="false"/>
          <w:bCs w:val="false"/>
          <w:i/>
          <w:i/>
          <w:iCs/>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Las grandes cantidades del sargazo arribazón que se aloja en las costas de Progreso, así como su mal aspecto y olor representa una problemática en las actividades mas importantes del puerto las cuales son la pesca y el turismo. a causa de ello se plantea utilizar este residuo como alimento  para las californianas (Eisenia </w:t>
      </w:r>
      <w:r>
        <w:rPr>
          <w:rFonts w:cs="Times New Roman" w:ascii="Times New Roman" w:hAnsi="Times New Roman"/>
          <w:color w:val="000000"/>
          <w:sz w:val="20"/>
          <w:szCs w:val="20"/>
        </w:rPr>
        <w:t>Foetida) ya que con esto se daría un uso a la biomasa vegetal marina que es acumulada en las playas del puerto de progreso, Yucatán, México en las que abunda una gran cantidad de sargazo en épocas veraniegas y de invierno, cabe mencionar que estas épocas son importantes para la zona debido a que en los meses de junio a febrero se da apertura a las temporadas pesqueras de pulpo, calamar, pez y langosta al sector pesquero, por parte del sector turístico empiezan las vacaciones de verano, vacaciones de invierno y diferentes festividades que se llevan en el puerto que principalmente se establecen en las zonas cercanas a la costa , por una parte el sector turístico se ve afectado por el mal aspecto y olor que genera el sargazo y por parte del pesquero dificulta la salida y entrada de embarcaciones debido a que en la mayoría de las ocasiones la acumulación del sargazo es excesiva, lo que provoca que los vehículos que trasladas los botes o lanchas no puedan acercarse lo suficiente a la orilla a causa del temor que los mismos queden atrapados entre la biomasa marina.</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Los problemas derivados del sargazo además de su acumulación se puede mencionar el aspecto y olor que generan el cual no es agradable, lo que afecta las visitas a la zona ya que la playa tiende a tener un aspecto sucio, esto se debe a que el sargazo que se aloja en los límites si bien la mayoría se acumula fuera del mar es importante mencionar que un aparte queda flotando en la orilla de toda la costa lo que causa un mal aspecto y olor al agua porque este se descompone dejando olores desagradables muy fuertes en el agua cercana a la orilla de la costa, colores marrones y cafés en el agua, de igual manera el sargazo en descomposición se aloja en la arena dentro del agua lo cual unificando todos estos factores da como resultado una impresión de agua de lodo en el puerto de Progreso, Yucatán. </w:t>
      </w:r>
    </w:p>
    <w:p>
      <w:pPr>
        <w:pStyle w:val="Ttulo1"/>
        <w:spacing w:lineRule="auto" w:line="240" w:before="0" w:after="0"/>
        <w:jc w:val="both"/>
        <w:rPr>
          <w:rFonts w:ascii="Times New Roman" w:hAnsi="Times New Roman" w:cs="Times New Roman"/>
          <w:b/>
          <w:b/>
          <w:color w:val="000000"/>
          <w:sz w:val="20"/>
          <w:szCs w:val="20"/>
        </w:rPr>
      </w:pPr>
      <w:r>
        <w:rPr>
          <w:rFonts w:cs="Times New Roman" w:ascii="Times New Roman" w:hAnsi="Times New Roman"/>
          <w:b/>
          <w:color w:val="000000"/>
          <w:sz w:val="20"/>
          <w:szCs w:val="20"/>
        </w:rPr>
      </w:r>
    </w:p>
    <w:p>
      <w:pPr>
        <w:pStyle w:val="Ttulo1"/>
        <w:spacing w:lineRule="auto" w:line="240" w:before="0" w:after="0"/>
        <w:jc w:val="both"/>
        <w:rPr>
          <w:rFonts w:ascii="Times New Roman" w:hAnsi="Times New Roman"/>
          <w:color w:val="000000"/>
          <w:sz w:val="20"/>
          <w:szCs w:val="20"/>
        </w:rPr>
      </w:pPr>
      <w:r>
        <w:rPr>
          <w:rFonts w:cs="Times New Roman" w:ascii="Times New Roman" w:hAnsi="Times New Roman"/>
          <w:b/>
          <w:color w:val="000000"/>
          <w:sz w:val="20"/>
          <w:szCs w:val="20"/>
        </w:rPr>
        <w:t xml:space="preserve">II. </w:t>
      </w:r>
      <w:r>
        <w:rPr>
          <w:rFonts w:cs="Times New Roman" w:ascii="Times New Roman" w:hAnsi="Times New Roman"/>
          <w:b/>
          <w:color w:val="000000"/>
          <w:sz w:val="20"/>
          <w:szCs w:val="20"/>
        </w:rPr>
        <w:t>METODOLOGÍA</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La metodología a seguir en este proyecto de investigación consistió en el análisis y monitoreo de la reproducción y alimentación de las lombrices con diferentes porcentajes de alimento, estos porcentajes estarán divididos en 0%, 25%, 50%, 75% y 100% de alimento proveniente de la biomasa vegetal marina (Sargazo arribazón) mezclados con biomasa orgánica (repollo) para obtener el 100% de mezcla en todos los alimentos, obteniendo cinco muestras diferentes en ambientes controlados a condiciones que favorezcan la reproducción y crecimiento de las lombrices californianas.</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w:t>
      </w:r>
      <w:r>
        <w:rPr>
          <w:rFonts w:cs="Times New Roman" w:ascii="Times New Roman" w:hAnsi="Times New Roman"/>
          <w:color w:val="000000"/>
          <w:sz w:val="20"/>
          <w:szCs w:val="20"/>
        </w:rPr>
        <w:t xml:space="preserve">n </w:t>
      </w:r>
      <w:r>
        <w:rPr>
          <w:rFonts w:cs="Times New Roman" w:ascii="Times New Roman" w:hAnsi="Times New Roman"/>
          <w:color w:val="000000"/>
          <w:sz w:val="20"/>
          <w:szCs w:val="20"/>
        </w:rPr>
        <w:t xml:space="preserve">la Figura 2 se </w:t>
      </w:r>
      <w:r>
        <w:rPr>
          <w:rFonts w:cs="Times New Roman" w:ascii="Times New Roman" w:hAnsi="Times New Roman"/>
          <w:color w:val="000000"/>
          <w:sz w:val="20"/>
          <w:szCs w:val="20"/>
        </w:rPr>
        <w:t>presentan las cantidades y porcentajes de alimento, cabe mencionar que la cantidad de alimento introducida para cada pileta es un promedio del peso de las lombrices.</w:t>
      </w:r>
    </w:p>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drawing>
          <wp:inline distT="0" distB="0" distL="19050" distR="33020" wp14:anchorId="6D02D7D9">
            <wp:extent cx="2873375" cy="2340610"/>
            <wp:effectExtent l="19050" t="0" r="33020" b="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color w:val="000000"/>
          <w:sz w:val="20"/>
          <w:szCs w:val="20"/>
        </w:rPr>
        <w:fldChar w:fldCharType="begin"/>
      </w:r>
      <w:r>
        <w:rPr>
          <w:sz w:val="20"/>
          <w:szCs w:val="20"/>
          <w:rFonts w:cs="Times New Roman" w:ascii="Times New Roman" w:hAnsi="Times New Roman"/>
          <w:color w:val="000000"/>
        </w:rPr>
        <w:instrText> SEQ Figura \* ARABIC </w:instrText>
      </w:r>
      <w:r>
        <w:rPr>
          <w:sz w:val="20"/>
          <w:szCs w:val="20"/>
          <w:rFonts w:cs="Times New Roman" w:ascii="Times New Roman" w:hAnsi="Times New Roman"/>
          <w:color w:val="000000"/>
        </w:rPr>
        <w:fldChar w:fldCharType="separate"/>
      </w:r>
      <w:r>
        <w:rPr>
          <w:sz w:val="20"/>
          <w:szCs w:val="20"/>
          <w:rFonts w:cs="Times New Roman" w:ascii="Times New Roman" w:hAnsi="Times New Roman"/>
          <w:color w:val="000000"/>
        </w:rPr>
        <w:t>2</w:t>
      </w:r>
      <w:r>
        <w:rPr>
          <w:sz w:val="20"/>
          <w:szCs w:val="20"/>
          <w:rFonts w:cs="Times New Roman" w:ascii="Times New Roman" w:hAnsi="Times New Roman"/>
          <w:color w:val="000000"/>
        </w:rPr>
        <w:fldChar w:fldCharType="end"/>
      </w:r>
      <w:r>
        <w:rPr>
          <w:rFonts w:cs="Times New Roman" w:ascii="Times New Roman" w:hAnsi="Times New Roman"/>
          <w:color w:val="000000"/>
          <w:sz w:val="20"/>
          <w:szCs w:val="20"/>
        </w:rPr>
        <w:t xml:space="preserve">. Porcentajes de alimento y número de lombrices por pileta.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Caption"/>
        <w:bidi w:val="0"/>
        <w:spacing w:lineRule="auto" w:line="240" w:before="0" w:after="0"/>
        <w:jc w:val="both"/>
        <w:rPr>
          <w:rFonts w:ascii="Times New Roman" w:hAnsi="Times New Roman"/>
          <w:b w:val="false"/>
          <w:b w:val="false"/>
          <w:bCs w:val="false"/>
          <w:color w:val="000000"/>
          <w:sz w:val="20"/>
          <w:szCs w:val="20"/>
        </w:rPr>
      </w:pPr>
      <w:r>
        <w:rPr>
          <w:rFonts w:cs="Times New Roman" w:ascii="Times New Roman" w:hAnsi="Times New Roman"/>
          <w:b w:val="false"/>
          <w:bCs w:val="false"/>
          <w:i w:val="false"/>
          <w:color w:val="000000"/>
          <w:sz w:val="20"/>
          <w:szCs w:val="20"/>
        </w:rPr>
        <w:t>Se realizaron las siguientes actividades:</w:t>
      </w:r>
    </w:p>
    <w:p>
      <w:pPr>
        <w:pStyle w:val="Normal"/>
        <w:widowControl w:val="false"/>
        <w:bidi w:val="0"/>
        <w:spacing w:lineRule="auto" w:line="240" w:before="0" w:after="0"/>
        <w:ind w:hanging="0"/>
        <w:jc w:val="both"/>
        <w:rPr>
          <w:rFonts w:cs="Times New Roman"/>
          <w:u w:val="single"/>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i/>
          <w:i/>
          <w:iCs/>
          <w:color w:val="000000"/>
          <w:sz w:val="20"/>
          <w:szCs w:val="20"/>
          <w:u w:val="none"/>
        </w:rPr>
      </w:pPr>
      <w:r>
        <w:rPr>
          <w:rFonts w:cs="Times New Roman" w:ascii="Times New Roman" w:hAnsi="Times New Roman"/>
          <w:i/>
          <w:iCs/>
          <w:color w:val="000000"/>
          <w:sz w:val="20"/>
          <w:szCs w:val="20"/>
          <w:u w:val="none"/>
        </w:rPr>
        <w:t xml:space="preserve">A. </w:t>
      </w:r>
      <w:r>
        <w:rPr>
          <w:rFonts w:cs="Times New Roman" w:ascii="Times New Roman" w:hAnsi="Times New Roman"/>
          <w:i/>
          <w:iCs/>
          <w:color w:val="000000"/>
          <w:sz w:val="20"/>
          <w:szCs w:val="20"/>
          <w:u w:val="none"/>
        </w:rPr>
        <w:t>Actividad 1: Supervisión de condiciones para las lombrices</w:t>
      </w:r>
    </w:p>
    <w:p>
      <w:pPr>
        <w:pStyle w:val="Normal"/>
        <w:widowControl w:val="false"/>
        <w:bidi w:val="0"/>
        <w:spacing w:lineRule="auto" w:line="240" w:before="0" w:after="0"/>
        <w:ind w:hanging="0"/>
        <w:jc w:val="both"/>
        <w:rPr>
          <w:rFonts w:cs="Times New Roman"/>
        </w:rPr>
      </w:pPr>
      <w:r>
        <w:rPr>
          <w:rFonts w:ascii="Times New Roman" w:hAnsi="Times New Roman"/>
          <w:color w:val="000000"/>
          <w:sz w:val="20"/>
          <w:szCs w:val="20"/>
          <w:u w:val="none"/>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Como actividad inicial se realizó una supervisión cada dos días de las condiciones de humedad, pH y humedad con la finalidad de mantener estas condiciones de habitad entre los rangos permitidos para desarrollo, a continuación,</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en la Figura 3 se presentan las piletas operando con alimento.</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mc:AlternateContent>
          <mc:Choice Requires="wps">
            <w:drawing>
              <wp:inline distT="0" distB="0" distL="0" distR="0" wp14:anchorId="5040A528">
                <wp:extent cx="1483995" cy="2639695"/>
                <wp:effectExtent l="0" t="6350" r="0" b="0"/>
                <wp:docPr id="4" name="Picture 18"/>
                <a:graphic xmlns:a="http://schemas.openxmlformats.org/drawingml/2006/main">
                  <a:graphicData uri="http://schemas.openxmlformats.org/drawingml/2006/picture">
                    <pic:pic xmlns:pic="http://schemas.openxmlformats.org/drawingml/2006/picture">
                      <pic:nvPicPr>
                        <pic:cNvPr id="0" name="Picture 18" descr=""/>
                        <pic:cNvPicPr/>
                      </pic:nvPicPr>
                      <pic:blipFill>
                        <a:blip r:embed="rId14"/>
                        <a:srcRect l="7559" t="19418" r="19709" b="20855"/>
                        <a:stretch/>
                      </pic:blipFill>
                      <pic:spPr>
                        <a:xfrm rot="16200000">
                          <a:off x="0" y="0"/>
                          <a:ext cx="1483200" cy="263916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8" stroked="f" style="position:absolute;margin-left:45.5pt;margin-top:-162.3pt;width:116.75pt;height:207.75pt;mso-wrap-style:none;v-text-anchor:middle;rotation:270;mso-position-vertical:top" wp14:anchorId="5040A528" type="shapetype_75">
                <v:imagedata r:id="rId14" o:detectmouseclick="t"/>
                <v:stroke color="#3465a4" joinstyle="round" endcap="flat"/>
                <w10:wrap type="square"/>
              </v:shape>
            </w:pict>
          </mc:Fallback>
        </mc:AlternateContent>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b/>
          <w:i w:val="false"/>
          <w:color w:val="000000"/>
          <w:sz w:val="20"/>
          <w:szCs w:val="20"/>
        </w:rPr>
        <w:t>3</w:t>
      </w:r>
      <w:r>
        <w:rPr>
          <w:rFonts w:cs="Times New Roman" w:ascii="Times New Roman" w:hAnsi="Times New Roman"/>
          <w:color w:val="000000"/>
          <w:sz w:val="20"/>
          <w:szCs w:val="20"/>
        </w:rPr>
        <w:t xml:space="preserve">. Piletas funcionando con lombrices y alimento.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Normal"/>
        <w:bidi w:val="0"/>
        <w:spacing w:lineRule="auto" w:line="240" w:before="0" w:after="0"/>
        <w:ind w:firstLine="284"/>
        <w:jc w:val="both"/>
        <w:rPr>
          <w:rFonts w:cs="Times New Roman"/>
          <w:u w:val="single"/>
        </w:rPr>
      </w:pPr>
      <w:r>
        <w:rPr>
          <w:rFonts w:ascii="Times New Roman" w:hAnsi="Times New Roman"/>
          <w:color w:val="000000"/>
          <w:sz w:val="20"/>
          <w:szCs w:val="20"/>
        </w:rPr>
      </w:r>
    </w:p>
    <w:p>
      <w:pPr>
        <w:pStyle w:val="Normal"/>
        <w:bidi w:val="0"/>
        <w:spacing w:lineRule="auto" w:line="240" w:before="0" w:after="0"/>
        <w:ind w:hanging="0"/>
        <w:jc w:val="both"/>
        <w:rPr>
          <w:rFonts w:ascii="Times New Roman" w:hAnsi="Times New Roman"/>
          <w:i/>
          <w:i/>
          <w:iCs/>
          <w:color w:val="000000"/>
          <w:sz w:val="20"/>
          <w:szCs w:val="20"/>
          <w:u w:val="none"/>
        </w:rPr>
      </w:pPr>
      <w:r>
        <w:rPr>
          <w:rFonts w:cs="Times New Roman" w:ascii="Times New Roman" w:hAnsi="Times New Roman"/>
          <w:i/>
          <w:iCs/>
          <w:color w:val="000000"/>
          <w:sz w:val="20"/>
          <w:szCs w:val="20"/>
          <w:u w:val="none"/>
        </w:rPr>
        <w:t xml:space="preserve">B. </w:t>
      </w:r>
      <w:r>
        <w:rPr>
          <w:rFonts w:cs="Times New Roman" w:ascii="Times New Roman" w:hAnsi="Times New Roman"/>
          <w:i/>
          <w:iCs/>
          <w:color w:val="000000"/>
          <w:sz w:val="20"/>
          <w:szCs w:val="20"/>
          <w:u w:val="none"/>
        </w:rPr>
        <w:t>Actividad 2: evaluación de crecimiento y reproducción de las lombrices</w:t>
      </w:r>
    </w:p>
    <w:p>
      <w:pPr>
        <w:pStyle w:val="Normal"/>
        <w:bidi w:val="0"/>
        <w:spacing w:lineRule="auto" w:line="240" w:before="0" w:after="0"/>
        <w:ind w:hanging="0"/>
        <w:jc w:val="both"/>
        <w:rPr>
          <w:rFonts w:cs="Times New Roman"/>
        </w:rPr>
      </w:pPr>
      <w:r>
        <w:rPr>
          <w:rFonts w:ascii="Times New Roman" w:hAnsi="Times New Roman"/>
          <w:color w:val="000000"/>
          <w:sz w:val="20"/>
          <w:szCs w:val="20"/>
        </w:rPr>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Esta actividad abarca distintas acciones que van a fin de evaluar el crecimiento y reproducción de las lombrices. </w:t>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Como primer punto cada siete días se llevó a cabo un monitoreo de los avances de las lombrices en su crecimiento y reproducción, para ello primero se extrajo la arena de las piletas de manera individual con la ayuda de una espátula de laboratorio a un contenedor como se muestra en la Figura 4. </w:t>
      </w:r>
    </w:p>
    <w:p>
      <w:pPr>
        <w:pStyle w:val="Normal"/>
        <w:bidi w:val="0"/>
        <w:spacing w:lineRule="auto" w:line="240" w:before="0" w:after="0"/>
        <w:jc w:val="both"/>
        <w:rPr>
          <w:rFonts w:cs="Times New Roman"/>
        </w:rPr>
      </w:pPr>
      <w:r>
        <w:rPr>
          <w:rFonts w:ascii="Times New Roman" w:hAnsi="Times New Roman"/>
          <w:color w:val="000000"/>
          <w:sz w:val="20"/>
          <w:szCs w:val="20"/>
        </w:rPr>
      </w:r>
    </w:p>
    <w:p>
      <w:pPr>
        <w:pStyle w:val="Normal"/>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1533525" cy="2331720"/>
            <wp:effectExtent l="0" t="0" r="0" b="0"/>
            <wp:docPr id="5" name="Imagen 19" descr="C:\Users\acer\Pictures\ind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descr="C:\Users\acer\Pictures\index 1.jpg"/>
                    <pic:cNvPicPr>
                      <a:picLocks noChangeAspect="1" noChangeArrowheads="1"/>
                    </pic:cNvPicPr>
                  </pic:nvPicPr>
                  <pic:blipFill>
                    <a:blip r:embed="rId15"/>
                    <a:stretch>
                      <a:fillRect/>
                    </a:stretch>
                  </pic:blipFill>
                  <pic:spPr bwMode="auto">
                    <a:xfrm>
                      <a:off x="0" y="0"/>
                      <a:ext cx="1533525" cy="233172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b/>
          <w:i w:val="false"/>
          <w:color w:val="000000"/>
          <w:sz w:val="20"/>
          <w:szCs w:val="20"/>
        </w:rPr>
        <w:t>4</w:t>
      </w:r>
      <w:r>
        <w:rPr>
          <w:rFonts w:cs="Times New Roman" w:ascii="Times New Roman" w:hAnsi="Times New Roman"/>
          <w:color w:val="000000"/>
          <w:sz w:val="20"/>
          <w:szCs w:val="20"/>
        </w:rPr>
        <w:t xml:space="preserve">. Extracción de tierra en las piletas.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Al tener la tierra en el conten</w:t>
      </w:r>
      <w:r>
        <w:rPr>
          <w:rFonts w:cs="Times New Roman" w:ascii="Times New Roman" w:hAnsi="Times New Roman"/>
          <w:color w:val="000000"/>
          <w:sz w:val="20"/>
          <w:szCs w:val="20"/>
        </w:rPr>
        <w:t>e</w:t>
      </w:r>
      <w:r>
        <w:rPr>
          <w:rFonts w:cs="Times New Roman" w:ascii="Times New Roman" w:hAnsi="Times New Roman"/>
          <w:color w:val="000000"/>
          <w:sz w:val="20"/>
          <w:szCs w:val="20"/>
        </w:rPr>
        <w:t>dor se procedió a pasar pequeñas cantidades de tierra a charolas de plástico con la finalidad de acelerar el proceso de búsqueda de lombrices, en la Figura 5 se muestra la técnica utilizada para buscar las lombrices entre la tierra que consiste en remover la tierra húmeda, si la tierra se encontraba compactada se ejercía un poco de fuerza a fin de poder fragmentar la tierra y verificar si había alguna lombriz en la tierra.</w:t>
      </w:r>
    </w:p>
    <w:p>
      <w:pPr>
        <w:pStyle w:val="Normal"/>
        <w:bidi w:val="0"/>
        <w:spacing w:lineRule="auto" w:line="240" w:before="0" w:after="0"/>
        <w:jc w:val="both"/>
        <w:rPr>
          <w:rFonts w:cs="Times New Roman"/>
        </w:rPr>
      </w:pPr>
      <w:r>
        <w:rPr>
          <w:rFonts w:ascii="Times New Roman" w:hAnsi="Times New Roman"/>
          <w:color w:val="000000"/>
          <w:sz w:val="20"/>
          <w:szCs w:val="20"/>
        </w:rPr>
      </w:r>
    </w:p>
    <w:p>
      <w:pPr>
        <w:pStyle w:val="Normal"/>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1761490" cy="2527300"/>
            <wp:effectExtent l="0" t="0" r="0" b="0"/>
            <wp:docPr id="6" name="Imagen 20" descr="C:\Users\acer\Pictures\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0" descr="C:\Users\acer\Pictures\index 2.jpg"/>
                    <pic:cNvPicPr>
                      <a:picLocks noChangeAspect="1" noChangeArrowheads="1"/>
                    </pic:cNvPicPr>
                  </pic:nvPicPr>
                  <pic:blipFill>
                    <a:blip r:embed="rId16"/>
                    <a:srcRect l="0" t="0" r="0" b="19331"/>
                    <a:stretch>
                      <a:fillRect/>
                    </a:stretch>
                  </pic:blipFill>
                  <pic:spPr bwMode="auto">
                    <a:xfrm>
                      <a:off x="0" y="0"/>
                      <a:ext cx="1761490" cy="252730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5. Técnica para la búsqueda de lombrices californianas.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Al encontrar una lombriz en la tierra se colocaba en una caja de Petri con pequeñas cantidades de tierra humedad evitando una posible muerte por estar en condiciones inadecuadas de habitad como se muestra en la </w:t>
      </w:r>
      <w:r>
        <w:rPr>
          <w:rFonts w:cs="Times New Roman" w:ascii="Times New Roman" w:hAnsi="Times New Roman"/>
          <w:color w:val="000000"/>
          <w:sz w:val="20"/>
          <w:szCs w:val="20"/>
        </w:rPr>
        <w:t>F</w:t>
      </w:r>
      <w:r>
        <w:rPr>
          <w:rFonts w:cs="Times New Roman" w:ascii="Times New Roman" w:hAnsi="Times New Roman"/>
          <w:color w:val="000000"/>
          <w:sz w:val="20"/>
          <w:szCs w:val="20"/>
        </w:rPr>
        <w:t>igura 6.</w:t>
      </w:r>
    </w:p>
    <w:p>
      <w:pPr>
        <w:pStyle w:val="Normal"/>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205990" cy="1560195"/>
            <wp:effectExtent l="0" t="0" r="0" b="0"/>
            <wp:docPr id="7" name="Imagen 21" descr="C:\Users\acer\Pictures\inde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descr="C:\Users\acer\Pictures\index 4.jpg"/>
                    <pic:cNvPicPr>
                      <a:picLocks noChangeAspect="1" noChangeArrowheads="1"/>
                    </pic:cNvPicPr>
                  </pic:nvPicPr>
                  <pic:blipFill>
                    <a:blip r:embed="rId17"/>
                    <a:srcRect l="25504" t="12277" r="0" b="0"/>
                    <a:stretch>
                      <a:fillRect/>
                    </a:stretch>
                  </pic:blipFill>
                  <pic:spPr bwMode="auto">
                    <a:xfrm>
                      <a:off x="0" y="0"/>
                      <a:ext cx="2205990" cy="1560195"/>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b/>
          <w:i w:val="false"/>
          <w:color w:val="000000"/>
          <w:sz w:val="20"/>
          <w:szCs w:val="20"/>
        </w:rPr>
        <w:t>6</w:t>
      </w:r>
      <w:r>
        <w:rPr>
          <w:rFonts w:cs="Times New Roman" w:ascii="Times New Roman" w:hAnsi="Times New Roman"/>
          <w:color w:val="000000"/>
          <w:sz w:val="20"/>
          <w:szCs w:val="20"/>
        </w:rPr>
        <w:t xml:space="preserve">. Lombrices encontradas en la caja de Petri.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Finalizando la búsqueda asegurándose de que toda la tierra haya sido removida se procedió a medirlas y pesarlas. Para medir su longitud de las lombrices la Figura 7 muestra su medición que consistió en la colocación de las lombrices en otra caja de Petri sin tierra y con la ayuda de una regla que se colocó por debajo de la caja Petri.</w:t>
      </w:r>
    </w:p>
    <w:p>
      <w:pPr>
        <w:pStyle w:val="Normal"/>
        <w:bidi w:val="0"/>
        <w:spacing w:lineRule="auto" w:line="240" w:before="0" w:after="0"/>
        <w:jc w:val="both"/>
        <w:rPr>
          <w:rFonts w:cs="Times New Roman"/>
        </w:rPr>
      </w:pPr>
      <w:r>
        <w:rPr>
          <w:rFonts w:ascii="Times New Roman" w:hAnsi="Times New Roman"/>
          <w:color w:val="000000"/>
          <w:sz w:val="20"/>
          <w:szCs w:val="20"/>
        </w:rPr>
      </w:r>
    </w:p>
    <w:p>
      <w:pPr>
        <w:pStyle w:val="Normal"/>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273300" cy="1704340"/>
            <wp:effectExtent l="0" t="0" r="0" b="0"/>
            <wp:docPr id="8" name="Imagen 22" descr="C:\Users\acer\Pictures\inde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2" descr="C:\Users\acer\Pictures\index 5.jpg"/>
                    <pic:cNvPicPr>
                      <a:picLocks noChangeAspect="1" noChangeArrowheads="1"/>
                    </pic:cNvPicPr>
                  </pic:nvPicPr>
                  <pic:blipFill>
                    <a:blip r:embed="rId18"/>
                    <a:stretch>
                      <a:fillRect/>
                    </a:stretch>
                  </pic:blipFill>
                  <pic:spPr bwMode="auto">
                    <a:xfrm>
                      <a:off x="0" y="0"/>
                      <a:ext cx="2273300" cy="170434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w:t>
      </w:r>
      <w:r>
        <w:rPr>
          <w:rFonts w:cs="Times New Roman" w:ascii="Times New Roman" w:hAnsi="Times New Roman"/>
          <w:b/>
          <w:i w:val="false"/>
          <w:color w:val="000000"/>
          <w:sz w:val="20"/>
          <w:szCs w:val="20"/>
        </w:rPr>
        <w:t>7</w:t>
      </w:r>
      <w:r>
        <w:rPr>
          <w:rFonts w:cs="Times New Roman" w:ascii="Times New Roman" w:hAnsi="Times New Roman"/>
          <w:color w:val="000000"/>
          <w:sz w:val="20"/>
          <w:szCs w:val="20"/>
        </w:rPr>
        <w:t xml:space="preserve">. Técnica de medición de las lombrices.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both"/>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Normal"/>
        <w:widowControl w:val="false"/>
        <w:tabs>
          <w:tab w:val="clear" w:pos="709"/>
          <w:tab w:val="left" w:pos="5436" w:leader="none"/>
        </w:tabs>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El proceso para obtener su peso se realizó al finalizar la medición de las lombrices, cabe recalcar que se obtuvieron cinco pesos ya que ese es el número de piletas en este proyecto. Al tener calibrado el peso de la caja de Petri se colocaron las lombrices a esta nueva caja obteniendo así el peso de estas tal como se muestra en la Figura 8. </w:t>
      </w:r>
    </w:p>
    <w:p>
      <w:pPr>
        <w:pStyle w:val="Normal"/>
        <w:widowControl w:val="false"/>
        <w:tabs>
          <w:tab w:val="clear" w:pos="709"/>
          <w:tab w:val="left" w:pos="5436" w:leader="none"/>
        </w:tabs>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tabs>
          <w:tab w:val="clear" w:pos="709"/>
          <w:tab w:val="left" w:pos="5436" w:leader="none"/>
        </w:tabs>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225675" cy="1671320"/>
            <wp:effectExtent l="0" t="0" r="0" b="0"/>
            <wp:docPr id="9" name="Imagen 23" descr="C:\Users\acer\Pictures\index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3" descr="C:\Users\acer\Pictures\index 6.jpg"/>
                    <pic:cNvPicPr>
                      <a:picLocks noChangeAspect="1" noChangeArrowheads="1"/>
                    </pic:cNvPicPr>
                  </pic:nvPicPr>
                  <pic:blipFill>
                    <a:blip r:embed="rId19"/>
                    <a:stretch>
                      <a:fillRect/>
                    </a:stretch>
                  </pic:blipFill>
                  <pic:spPr bwMode="auto">
                    <a:xfrm>
                      <a:off x="0" y="0"/>
                      <a:ext cx="2225675" cy="167132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Figura</w:t>
      </w:r>
      <w:r>
        <w:rPr>
          <w:rFonts w:cs="Times New Roman" w:ascii="Times New Roman" w:hAnsi="Times New Roman"/>
          <w:b/>
          <w:i w:val="false"/>
          <w:color w:val="000000"/>
          <w:sz w:val="20"/>
          <w:szCs w:val="20"/>
        </w:rPr>
        <w:t xml:space="preserve"> 8</w:t>
      </w:r>
      <w:r>
        <w:rPr>
          <w:rFonts w:cs="Times New Roman" w:ascii="Times New Roman" w:hAnsi="Times New Roman"/>
          <w:color w:val="000000"/>
          <w:sz w:val="20"/>
          <w:szCs w:val="20"/>
        </w:rPr>
        <w:t xml:space="preserve">. Obtención del peso de las lombrices.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center"/>
        <w:rPr>
          <w:rFonts w:ascii="Times New Roman" w:hAnsi="Times New Roman" w:cs="Times New Roman"/>
          <w:b/>
          <w:b/>
          <w:i w:val="false"/>
          <w:i w:val="false"/>
          <w:color w:val="000000"/>
          <w:sz w:val="20"/>
          <w:szCs w:val="20"/>
        </w:rPr>
      </w:pPr>
      <w:r>
        <w:rPr>
          <w:rFonts w:cs="Times New Roman" w:ascii="Times New Roman" w:hAnsi="Times New Roman"/>
          <w:b/>
          <w:i w:val="false"/>
          <w:color w:val="000000"/>
          <w:sz w:val="20"/>
          <w:szCs w:val="20"/>
        </w:rPr>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Después de obtener el peso de las lombrices se regresó la tierra a la pileta humedeciendo la tierra por capas para lograr una humedad en toda la tierra, al asegurarse de que la tierra este lo suficientemente húmeda se colocó de nuevo las lombrices. </w:t>
      </w:r>
    </w:p>
    <w:p>
      <w:pPr>
        <w:pStyle w:val="Normal"/>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bidi w:val="0"/>
        <w:spacing w:lineRule="auto" w:line="240" w:before="0" w:after="0"/>
        <w:jc w:val="both"/>
        <w:rPr>
          <w:rFonts w:ascii="Times New Roman" w:hAnsi="Times New Roman"/>
          <w:i/>
          <w:i/>
          <w:iCs/>
          <w:color w:val="000000"/>
          <w:sz w:val="20"/>
          <w:szCs w:val="20"/>
          <w:u w:val="none"/>
        </w:rPr>
      </w:pPr>
      <w:r>
        <w:rPr>
          <w:rFonts w:cs="Times New Roman" w:ascii="Times New Roman" w:hAnsi="Times New Roman"/>
          <w:i/>
          <w:iCs/>
          <w:color w:val="000000"/>
          <w:sz w:val="20"/>
          <w:szCs w:val="20"/>
          <w:u w:val="none"/>
        </w:rPr>
        <w:t xml:space="preserve">C. </w:t>
      </w:r>
      <w:r>
        <w:rPr>
          <w:rFonts w:cs="Times New Roman" w:ascii="Times New Roman" w:hAnsi="Times New Roman"/>
          <w:i/>
          <w:iCs/>
          <w:color w:val="000000"/>
          <w:sz w:val="20"/>
          <w:szCs w:val="20"/>
          <w:u w:val="none"/>
        </w:rPr>
        <w:t>Actividad 3: Registro de datos</w:t>
      </w:r>
    </w:p>
    <w:p>
      <w:pPr>
        <w:pStyle w:val="Normal"/>
        <w:bidi w:val="0"/>
        <w:spacing w:lineRule="auto" w:line="240" w:before="0" w:after="0"/>
        <w:jc w:val="both"/>
        <w:rPr>
          <w:rFonts w:cs="Times New Roman"/>
        </w:rPr>
      </w:pPr>
      <w:r>
        <w:rPr>
          <w:rFonts w:ascii="Times New Roman" w:hAnsi="Times New Roman"/>
          <w:color w:val="000000"/>
          <w:sz w:val="20"/>
          <w:szCs w:val="20"/>
        </w:rPr>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Obtenido los datos de peso, talla, cantidad de lombrices y de cocones se procedió a la captura de estos datos en Excel y Word con el fin de realizar gráficas y tablas con los resultados y observaciones de los días de evaluación.</w:t>
      </w:r>
    </w:p>
    <w:p>
      <w:pPr>
        <w:pStyle w:val="Normal"/>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Ttulo1"/>
        <w:spacing w:lineRule="auto" w:line="240" w:before="0" w:after="0"/>
        <w:jc w:val="both"/>
        <w:rPr>
          <w:rFonts w:ascii="Times New Roman" w:hAnsi="Times New Roman"/>
          <w:color w:val="000000"/>
          <w:sz w:val="20"/>
          <w:szCs w:val="20"/>
        </w:rPr>
      </w:pPr>
      <w:r>
        <w:rPr>
          <w:rFonts w:cs="Times New Roman" w:ascii="Times New Roman" w:hAnsi="Times New Roman"/>
          <w:b/>
          <w:color w:val="000000"/>
          <w:sz w:val="20"/>
          <w:szCs w:val="20"/>
        </w:rPr>
        <w:t xml:space="preserve">III. </w:t>
      </w:r>
      <w:r>
        <w:rPr>
          <w:rFonts w:cs="Times New Roman" w:ascii="Times New Roman" w:hAnsi="Times New Roman"/>
          <w:b/>
          <w:color w:val="000000"/>
          <w:sz w:val="20"/>
          <w:szCs w:val="20"/>
        </w:rPr>
        <w:t>RESULTADOS Y ANÁLISIS DE DATOS</w:t>
      </w:r>
    </w:p>
    <w:p>
      <w:pPr>
        <w:pStyle w:val="Normal"/>
        <w:widowControl w:val="false"/>
        <w:bidi w:val="0"/>
        <w:spacing w:lineRule="auto" w:line="240" w:before="0" w:after="0"/>
        <w:ind w:firstLine="284"/>
        <w:jc w:val="both"/>
        <w:rPr>
          <w:rFonts w:cs="Times New Roman"/>
          <w:u w:val="single"/>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i/>
          <w:i/>
          <w:iCs/>
          <w:color w:val="000000"/>
          <w:sz w:val="20"/>
          <w:szCs w:val="20"/>
          <w:u w:val="none"/>
        </w:rPr>
      </w:pPr>
      <w:r>
        <w:rPr>
          <w:rFonts w:cs="Times New Roman" w:ascii="Times New Roman" w:hAnsi="Times New Roman"/>
          <w:i/>
          <w:iCs/>
          <w:color w:val="000000"/>
          <w:sz w:val="20"/>
          <w:szCs w:val="20"/>
          <w:u w:val="none"/>
        </w:rPr>
        <w:t xml:space="preserve">A. </w:t>
      </w:r>
      <w:r>
        <w:rPr>
          <w:rFonts w:cs="Times New Roman" w:ascii="Times New Roman" w:hAnsi="Times New Roman"/>
          <w:i/>
          <w:iCs/>
          <w:color w:val="000000"/>
          <w:sz w:val="20"/>
          <w:szCs w:val="20"/>
          <w:u w:val="none"/>
        </w:rPr>
        <w:t>Análisis de resultados de la semana 1</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La Tabla 2 representa los resultados del comportamiento de las lombrices a través de la medición de porcentajes de las mezclas de alimento y la cantidad de lombrices por pileta.</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Caption"/>
        <w:bidi w:val="0"/>
        <w:spacing w:lineRule="auto" w:line="240" w:before="0" w:after="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2. Cantidad de lombrices a distintos porcentajes de alimento de la semana 1. Fuente: </w:t>
      </w:r>
      <w:r>
        <w:rPr>
          <w:rFonts w:cs="Times New Roman" w:ascii="Times New Roman" w:hAnsi="Times New Roman"/>
          <w:b/>
          <w:bCs/>
          <w:i w:val="false"/>
          <w:iCs w:val="false"/>
          <w:color w:val="000000"/>
          <w:sz w:val="20"/>
          <w:szCs w:val="20"/>
        </w:rPr>
        <w:t>Elaboración</w:t>
      </w:r>
      <w:r>
        <w:rPr>
          <w:rFonts w:cs="Times New Roman" w:ascii="Times New Roman" w:hAnsi="Times New Roman"/>
          <w:b/>
          <w:bCs/>
          <w:i w:val="false"/>
          <w:iCs w:val="false"/>
          <w:color w:val="000000"/>
          <w:sz w:val="20"/>
          <w:szCs w:val="20"/>
        </w:rPr>
        <w:t xml:space="preserve"> propia.</w:t>
      </w:r>
    </w:p>
    <w:tbl>
      <w:tblPr>
        <w:tblStyle w:val="Tablaconcuadrcula"/>
        <w:tblW w:w="32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70"/>
        <w:gridCol w:w="1125"/>
        <w:gridCol w:w="1531"/>
      </w:tblGrid>
      <w:tr>
        <w:trPr>
          <w:trHeight w:val="735" w:hRule="atLeast"/>
        </w:trPr>
        <w:tc>
          <w:tcPr>
            <w:tcW w:w="570"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Numero de</w:t>
            </w:r>
          </w:p>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pileta.</w:t>
            </w:r>
          </w:p>
        </w:tc>
        <w:tc>
          <w:tcPr>
            <w:tcW w:w="1125"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Porcentaje de alimento (%)</w:t>
            </w:r>
          </w:p>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Sargazo / materia orgánica (repollo).</w:t>
            </w:r>
          </w:p>
        </w:tc>
        <w:tc>
          <w:tcPr>
            <w:tcW w:w="1531"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Cantidad de lombrices</w:t>
            </w:r>
          </w:p>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(de 15 iniciales).</w:t>
            </w:r>
          </w:p>
        </w:tc>
      </w:tr>
      <w:tr>
        <w:trPr>
          <w:trHeight w:val="366" w:hRule="atLeast"/>
        </w:trPr>
        <w:tc>
          <w:tcPr>
            <w:tcW w:w="570" w:type="dxa"/>
            <w:tcBorders>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w:t>
            </w:r>
          </w:p>
        </w:tc>
        <w:tc>
          <w:tcPr>
            <w:tcW w:w="1125" w:type="dxa"/>
            <w:tcBorders>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100/0</w:t>
            </w:r>
          </w:p>
        </w:tc>
        <w:tc>
          <w:tcPr>
            <w:tcW w:w="1531" w:type="dxa"/>
            <w:tcBorders>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10</w:t>
            </w:r>
          </w:p>
        </w:tc>
      </w:tr>
      <w:tr>
        <w:trPr>
          <w:trHeight w:val="326" w:hRule="atLeast"/>
        </w:trPr>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w:t>
            </w:r>
          </w:p>
        </w:tc>
        <w:tc>
          <w:tcPr>
            <w:tcW w:w="112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75/25</w:t>
            </w:r>
          </w:p>
        </w:tc>
        <w:tc>
          <w:tcPr>
            <w:tcW w:w="153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9</w:t>
            </w:r>
          </w:p>
        </w:tc>
      </w:tr>
      <w:tr>
        <w:trPr>
          <w:trHeight w:val="366" w:hRule="atLeast"/>
        </w:trPr>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3</w:t>
            </w:r>
          </w:p>
        </w:tc>
        <w:tc>
          <w:tcPr>
            <w:tcW w:w="112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50/50</w:t>
            </w:r>
          </w:p>
        </w:tc>
        <w:tc>
          <w:tcPr>
            <w:tcW w:w="153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8</w:t>
            </w:r>
          </w:p>
        </w:tc>
      </w:tr>
      <w:tr>
        <w:trPr>
          <w:trHeight w:val="326" w:hRule="atLeast"/>
        </w:trPr>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4</w:t>
            </w:r>
          </w:p>
        </w:tc>
        <w:tc>
          <w:tcPr>
            <w:tcW w:w="112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25/75</w:t>
            </w:r>
          </w:p>
        </w:tc>
        <w:tc>
          <w:tcPr>
            <w:tcW w:w="153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8</w:t>
            </w:r>
          </w:p>
        </w:tc>
      </w:tr>
      <w:tr>
        <w:trPr>
          <w:trHeight w:val="366" w:hRule="atLeast"/>
        </w:trPr>
        <w:tc>
          <w:tcPr>
            <w:tcW w:w="570" w:type="dxa"/>
            <w:tcBorders>
              <w:top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w:t>
            </w:r>
          </w:p>
        </w:tc>
        <w:tc>
          <w:tcPr>
            <w:tcW w:w="1125" w:type="dxa"/>
            <w:tcBorders>
              <w:top w:val="nil"/>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0/100</w:t>
            </w:r>
          </w:p>
        </w:tc>
        <w:tc>
          <w:tcPr>
            <w:tcW w:w="1531" w:type="dxa"/>
            <w:tcBorders>
              <w:top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9</w:t>
            </w:r>
          </w:p>
        </w:tc>
      </w:tr>
    </w:tbl>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La Tabla 3 presenta las tallas individuales de las lombrices y el peso total de las lombrices por pileta en la que se destaca que la pileta 1 y la pileta 5 con porcentajes del 100 por ciento de alimento de sargazo y materia orgánica respectivamente representaron una mayor talla promedio de las lombrices que se encontraron al igual que los mayores pesos totales de los 5 grupos. Posteriormente la Figura 9 proporciona el peso y talla promedio de las lombrices durante la semana 1. </w:t>
      </w:r>
    </w:p>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Caption"/>
        <w:bidi w:val="0"/>
        <w:spacing w:lineRule="auto" w:line="240" w:before="0" w:after="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3. Talla individual por lombriz y peso total por pileta de la semana 1.Fuente: </w:t>
      </w:r>
      <w:r>
        <w:rPr>
          <w:rFonts w:cs="Times New Roman" w:ascii="Times New Roman" w:hAnsi="Times New Roman"/>
          <w:b/>
          <w:bCs/>
          <w:i w:val="false"/>
          <w:iCs w:val="false"/>
          <w:color w:val="000000"/>
          <w:sz w:val="20"/>
          <w:szCs w:val="20"/>
        </w:rPr>
        <w:t>Elaboración</w:t>
      </w:r>
      <w:r>
        <w:rPr>
          <w:rFonts w:cs="Times New Roman" w:ascii="Times New Roman" w:hAnsi="Times New Roman"/>
          <w:b/>
          <w:bCs/>
          <w:i w:val="false"/>
          <w:iCs w:val="false"/>
          <w:color w:val="000000"/>
          <w:sz w:val="20"/>
          <w:szCs w:val="20"/>
        </w:rPr>
        <w:t xml:space="preserve"> propia.</w:t>
      </w:r>
    </w:p>
    <w:tbl>
      <w:tblPr>
        <w:tblStyle w:val="Tablaconcuadrcula"/>
        <w:tblW w:w="44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470"/>
        <w:gridCol w:w="571"/>
        <w:gridCol w:w="570"/>
        <w:gridCol w:w="571"/>
        <w:gridCol w:w="615"/>
        <w:gridCol w:w="631"/>
      </w:tblGrid>
      <w:tr>
        <w:trPr/>
        <w:tc>
          <w:tcPr>
            <w:tcW w:w="1470"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Numero de pileta.</w:t>
            </w:r>
          </w:p>
        </w:tc>
        <w:tc>
          <w:tcPr>
            <w:tcW w:w="5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w:t>
            </w:r>
          </w:p>
        </w:tc>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w:t>
            </w:r>
          </w:p>
        </w:tc>
        <w:tc>
          <w:tcPr>
            <w:tcW w:w="57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3</w:t>
            </w:r>
          </w:p>
        </w:tc>
        <w:tc>
          <w:tcPr>
            <w:tcW w:w="61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4</w:t>
            </w:r>
          </w:p>
        </w:tc>
        <w:tc>
          <w:tcPr>
            <w:tcW w:w="63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w:t>
            </w:r>
          </w:p>
        </w:tc>
      </w:tr>
      <w:tr>
        <w:trPr/>
        <w:tc>
          <w:tcPr>
            <w:tcW w:w="1470"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Longitud promedio por pileta (cm).</w:t>
            </w:r>
          </w:p>
        </w:tc>
        <w:tc>
          <w:tcPr>
            <w:tcW w:w="5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2.8</w:t>
            </w:r>
          </w:p>
        </w:tc>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2.61</w:t>
            </w:r>
          </w:p>
        </w:tc>
        <w:tc>
          <w:tcPr>
            <w:tcW w:w="57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2.5</w:t>
            </w:r>
          </w:p>
        </w:tc>
        <w:tc>
          <w:tcPr>
            <w:tcW w:w="61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2.37</w:t>
            </w:r>
          </w:p>
        </w:tc>
        <w:tc>
          <w:tcPr>
            <w:tcW w:w="63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2.66</w:t>
            </w:r>
          </w:p>
        </w:tc>
      </w:tr>
      <w:tr>
        <w:trPr/>
        <w:tc>
          <w:tcPr>
            <w:tcW w:w="1470"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Peso total de las lombrices por pileta (g).</w:t>
            </w:r>
          </w:p>
        </w:tc>
        <w:tc>
          <w:tcPr>
            <w:tcW w:w="5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0.2539</w:t>
            </w:r>
          </w:p>
        </w:tc>
        <w:tc>
          <w:tcPr>
            <w:tcW w:w="570"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0.2312</w:t>
            </w:r>
          </w:p>
        </w:tc>
        <w:tc>
          <w:tcPr>
            <w:tcW w:w="571"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0.1809</w:t>
            </w:r>
          </w:p>
        </w:tc>
        <w:tc>
          <w:tcPr>
            <w:tcW w:w="61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0.1590</w:t>
            </w:r>
          </w:p>
        </w:tc>
        <w:tc>
          <w:tcPr>
            <w:tcW w:w="63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center"/>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0.2378</w:t>
            </w:r>
          </w:p>
        </w:tc>
      </w:tr>
    </w:tbl>
    <w:p>
      <w:pPr>
        <w:pStyle w:val="Normal"/>
        <w:widowControl w:val="false"/>
        <w:bidi w:val="0"/>
        <w:spacing w:lineRule="auto" w:line="240" w:before="0" w:after="0"/>
        <w:ind w:firstLine="284"/>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704465" cy="1800225"/>
            <wp:effectExtent l="0" t="0" r="0" b="0"/>
            <wp:docPr id="10"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
                    <pic:cNvPicPr>
                      <a:picLocks noChangeAspect="1" noChangeArrowheads="1"/>
                    </pic:cNvPicPr>
                  </pic:nvPicPr>
                  <pic:blipFill>
                    <a:blip r:embed="rId20"/>
                    <a:srcRect l="33620" t="25861" r="18964" b="18012"/>
                    <a:stretch>
                      <a:fillRect/>
                    </a:stretch>
                  </pic:blipFill>
                  <pic:spPr bwMode="auto">
                    <a:xfrm>
                      <a:off x="0" y="0"/>
                      <a:ext cx="2704465" cy="1800225"/>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 xml:space="preserve">Figura 9. Longitud promedio y peso promedio de las lombrices de la semana 1.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Normal"/>
        <w:widowControl w:val="false"/>
        <w:bidi w:val="0"/>
        <w:spacing w:lineRule="auto" w:line="240" w:before="0" w:after="0"/>
        <w:ind w:firstLine="284"/>
        <w:jc w:val="both"/>
        <w:rPr>
          <w:rFonts w:cs="Times New Roman"/>
          <w:u w:val="single"/>
        </w:rPr>
      </w:pPr>
      <w:r>
        <w:rPr>
          <w:rFonts w:ascii="Times New Roman" w:hAnsi="Times New Roman"/>
          <w:color w:val="000000"/>
          <w:sz w:val="20"/>
          <w:szCs w:val="20"/>
        </w:rPr>
      </w:r>
    </w:p>
    <w:p>
      <w:pPr>
        <w:pStyle w:val="Normal"/>
        <w:widowControl w:val="false"/>
        <w:bidi w:val="0"/>
        <w:spacing w:lineRule="auto" w:line="240" w:before="0" w:after="0"/>
        <w:ind w:hanging="0"/>
        <w:jc w:val="both"/>
        <w:rPr>
          <w:rFonts w:ascii="Times New Roman" w:hAnsi="Times New Roman"/>
          <w:i/>
          <w:i/>
          <w:iCs/>
          <w:color w:val="000000"/>
          <w:sz w:val="20"/>
          <w:szCs w:val="20"/>
          <w:u w:val="none"/>
        </w:rPr>
      </w:pPr>
      <w:r>
        <w:rPr>
          <w:rFonts w:cs="Times New Roman" w:ascii="Times New Roman" w:hAnsi="Times New Roman"/>
          <w:i/>
          <w:iCs/>
          <w:color w:val="000000"/>
          <w:sz w:val="20"/>
          <w:szCs w:val="20"/>
          <w:u w:val="none"/>
        </w:rPr>
        <w:t xml:space="preserve">B. </w:t>
      </w:r>
      <w:r>
        <w:rPr>
          <w:rFonts w:cs="Times New Roman" w:ascii="Times New Roman" w:hAnsi="Times New Roman"/>
          <w:i/>
          <w:iCs/>
          <w:color w:val="000000"/>
          <w:sz w:val="20"/>
          <w:szCs w:val="20"/>
          <w:u w:val="none"/>
        </w:rPr>
        <w:t>Análisis de resultados de la semana 2</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En la segunda semana de evaluación se realizó nuevamente la búsqueda y la recopilación de datos de las tallas y pesos de las lombrices, así como el de cocones.</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En esta segunda semana la cantidad de lombrices vario en todas las piletas, por una parte en los grupos con el 100 y 75 por ciento de materia orgánica  se presenció un aumento en el número de lombrices a pesar de no encontrar rastros de cocones en las piletas, la pileta 3 con el mismo porcentaje de alimento (50-50) se mantuvo en su total y las piletas de 75 y 100 por ciento de sargazo sufrieron una baja en cantidad siendo esta ultima la que perdió más de la mitad de su número de lombrices, todos estos datos se reflejan en la Tabla 4.</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Caption"/>
        <w:bidi w:val="0"/>
        <w:spacing w:lineRule="auto" w:line="240" w:before="0" w:after="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4. Cantidad de lombrices por pileta a distintos porcentajes de alimento de la semana 2. Fuente: </w:t>
      </w:r>
      <w:r>
        <w:rPr>
          <w:rFonts w:cs="Times New Roman" w:ascii="Times New Roman" w:hAnsi="Times New Roman"/>
          <w:b/>
          <w:bCs/>
          <w:i w:val="false"/>
          <w:iCs w:val="false"/>
          <w:color w:val="000000"/>
          <w:sz w:val="20"/>
          <w:szCs w:val="20"/>
        </w:rPr>
        <w:t>Elaboración</w:t>
      </w:r>
      <w:r>
        <w:rPr>
          <w:rFonts w:cs="Times New Roman" w:ascii="Times New Roman" w:hAnsi="Times New Roman"/>
          <w:b/>
          <w:bCs/>
          <w:i w:val="false"/>
          <w:iCs w:val="false"/>
          <w:color w:val="000000"/>
          <w:sz w:val="20"/>
          <w:szCs w:val="20"/>
        </w:rPr>
        <w:t xml:space="preserve"> propia.</w:t>
      </w:r>
    </w:p>
    <w:tbl>
      <w:tblPr>
        <w:tblStyle w:val="Tablaconcuadrcula"/>
        <w:tblW w:w="420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55"/>
        <w:gridCol w:w="1500"/>
        <w:gridCol w:w="1846"/>
      </w:tblGrid>
      <w:tr>
        <w:trPr>
          <w:trHeight w:val="719" w:hRule="atLeast"/>
        </w:trPr>
        <w:tc>
          <w:tcPr>
            <w:tcW w:w="855"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Numero de piletas</w:t>
            </w:r>
          </w:p>
        </w:tc>
        <w:tc>
          <w:tcPr>
            <w:tcW w:w="1500" w:type="dxa"/>
            <w:tcBorders/>
            <w:shd w:color="auto" w:fill="auto" w:val="clear"/>
            <w:vAlign w:val="center"/>
          </w:tcPr>
          <w:p>
            <w:pPr>
              <w:pStyle w:val="Normal"/>
              <w:widowControl w:val="false"/>
              <w:bidi w:val="0"/>
              <w:spacing w:lineRule="auto" w:line="240" w:before="0" w:after="0"/>
              <w:ind w:right="-104" w:hanging="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Porcentaje de alimento (%).</w:t>
            </w:r>
          </w:p>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Sargazo / materia orgánica (repollo).</w:t>
            </w:r>
          </w:p>
        </w:tc>
        <w:tc>
          <w:tcPr>
            <w:tcW w:w="1846"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Cantidad de lombrices</w:t>
            </w:r>
          </w:p>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(de 15 iniciales).</w:t>
            </w:r>
          </w:p>
        </w:tc>
      </w:tr>
      <w:tr>
        <w:trPr>
          <w:trHeight w:val="359" w:hRule="atLeast"/>
        </w:trPr>
        <w:tc>
          <w:tcPr>
            <w:tcW w:w="855" w:type="dxa"/>
            <w:tcBorders>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w:t>
            </w:r>
          </w:p>
        </w:tc>
        <w:tc>
          <w:tcPr>
            <w:tcW w:w="1500" w:type="dxa"/>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100/0</w:t>
            </w:r>
          </w:p>
        </w:tc>
        <w:tc>
          <w:tcPr>
            <w:tcW w:w="1846" w:type="dxa"/>
            <w:tcBorders>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4</w:t>
            </w:r>
          </w:p>
        </w:tc>
      </w:tr>
      <w:tr>
        <w:trPr>
          <w:trHeight w:val="359" w:hRule="atLeast"/>
        </w:trPr>
        <w:tc>
          <w:tcPr>
            <w:tcW w:w="85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w:t>
            </w:r>
          </w:p>
        </w:tc>
        <w:tc>
          <w:tcPr>
            <w:tcW w:w="1500" w:type="dxa"/>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75/25</w:t>
            </w:r>
          </w:p>
        </w:tc>
        <w:tc>
          <w:tcPr>
            <w:tcW w:w="1846"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8</w:t>
            </w:r>
          </w:p>
        </w:tc>
      </w:tr>
      <w:tr>
        <w:trPr>
          <w:trHeight w:val="359" w:hRule="atLeast"/>
        </w:trPr>
        <w:tc>
          <w:tcPr>
            <w:tcW w:w="85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3</w:t>
            </w:r>
          </w:p>
        </w:tc>
        <w:tc>
          <w:tcPr>
            <w:tcW w:w="1500" w:type="dxa"/>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50/50</w:t>
            </w:r>
          </w:p>
        </w:tc>
        <w:tc>
          <w:tcPr>
            <w:tcW w:w="1846"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8</w:t>
            </w:r>
          </w:p>
        </w:tc>
      </w:tr>
      <w:tr>
        <w:trPr>
          <w:trHeight w:val="359" w:hRule="atLeast"/>
        </w:trPr>
        <w:tc>
          <w:tcPr>
            <w:tcW w:w="855"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4</w:t>
            </w:r>
          </w:p>
        </w:tc>
        <w:tc>
          <w:tcPr>
            <w:tcW w:w="1500" w:type="dxa"/>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25/75</w:t>
            </w:r>
          </w:p>
        </w:tc>
        <w:tc>
          <w:tcPr>
            <w:tcW w:w="1846" w:type="dxa"/>
            <w:tcBorders>
              <w:top w:val="nil"/>
              <w:bottom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10</w:t>
            </w:r>
          </w:p>
        </w:tc>
      </w:tr>
      <w:tr>
        <w:trPr>
          <w:trHeight w:val="359" w:hRule="atLeast"/>
        </w:trPr>
        <w:tc>
          <w:tcPr>
            <w:tcW w:w="855" w:type="dxa"/>
            <w:tcBorders>
              <w:top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w:t>
            </w:r>
          </w:p>
        </w:tc>
        <w:tc>
          <w:tcPr>
            <w:tcW w:w="1500" w:type="dxa"/>
            <w:tcBorders/>
            <w:shd w:color="auto" w:fill="auto" w:val="clear"/>
            <w:vAlign w:val="center"/>
          </w:tcPr>
          <w:p>
            <w:pPr>
              <w:pStyle w:val="Normal"/>
              <w:widowControl w:val="false"/>
              <w:bidi w:val="0"/>
              <w:spacing w:lineRule="auto" w:line="240" w:before="0" w:after="0"/>
              <w:jc w:val="center"/>
              <w:rPr>
                <w:rFonts w:ascii="Times New Roman" w:hAnsi="Times New Roman" w:eastAsia="Calibri"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0/100</w:t>
            </w:r>
          </w:p>
        </w:tc>
        <w:tc>
          <w:tcPr>
            <w:tcW w:w="1846" w:type="dxa"/>
            <w:tcBorders>
              <w:top w:val="nil"/>
            </w:tcBorders>
            <w:shd w:color="auto" w:fill="auto" w:val="clear"/>
            <w:vAlign w:val="center"/>
          </w:tcPr>
          <w:p>
            <w:pPr>
              <w:pStyle w:val="Normal"/>
              <w:widowControl w:val="false"/>
              <w:bidi w:val="0"/>
              <w:spacing w:lineRule="auto" w:line="240" w:before="0" w:after="0"/>
              <w:jc w:val="center"/>
              <w:rPr>
                <w:rFonts w:ascii="Times New Roman" w:hAnsi="Times New Roman" w:cs="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11</w:t>
            </w:r>
          </w:p>
        </w:tc>
      </w:tr>
    </w:tbl>
    <w:p>
      <w:pPr>
        <w:pStyle w:val="Caption"/>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La Tabla 5 presenta el crecimiento de las lombrices donde se aprecia que a comparación de la semana 1 los datos se invirtieron dando ventaja a las piletas con un mayor porcentaje de materia orgánica como alimento, donde al presentar un mayor número de lombrices aumento su promedio de talla y su peso total, de igual manera en la Figura 10 se presenta los promedios de talla y peso de las lombrices durante la evaluación de la semana 2.</w:t>
      </w:r>
    </w:p>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Caption"/>
        <w:bidi w:val="0"/>
        <w:spacing w:lineRule="auto" w:line="240" w:before="0" w:after="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5. Talla individual por lombriz y peso total por pileta de la semana 2. Fuente: </w:t>
      </w:r>
      <w:r>
        <w:rPr>
          <w:rFonts w:cs="Times New Roman" w:ascii="Times New Roman" w:hAnsi="Times New Roman"/>
          <w:b/>
          <w:bCs/>
          <w:i w:val="false"/>
          <w:iCs w:val="false"/>
          <w:color w:val="000000"/>
          <w:sz w:val="20"/>
          <w:szCs w:val="20"/>
        </w:rPr>
        <w:t>Elaboración</w:t>
      </w:r>
      <w:r>
        <w:rPr>
          <w:rFonts w:cs="Times New Roman" w:ascii="Times New Roman" w:hAnsi="Times New Roman"/>
          <w:b/>
          <w:bCs/>
          <w:i w:val="false"/>
          <w:iCs w:val="false"/>
          <w:color w:val="000000"/>
          <w:sz w:val="20"/>
          <w:szCs w:val="20"/>
        </w:rPr>
        <w:t xml:space="preserve"> propia.</w:t>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39"/>
        <w:gridCol w:w="471"/>
        <w:gridCol w:w="471"/>
        <w:gridCol w:w="472"/>
        <w:gridCol w:w="470"/>
        <w:gridCol w:w="471"/>
      </w:tblGrid>
      <w:tr>
        <w:trPr/>
        <w:tc>
          <w:tcPr>
            <w:tcW w:w="2039"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Numero de pileta.</w:t>
            </w:r>
          </w:p>
        </w:tc>
        <w:tc>
          <w:tcPr>
            <w:tcW w:w="4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1</w:t>
            </w:r>
          </w:p>
        </w:tc>
        <w:tc>
          <w:tcPr>
            <w:tcW w:w="471"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w:t>
            </w:r>
          </w:p>
        </w:tc>
        <w:tc>
          <w:tcPr>
            <w:tcW w:w="472"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3</w:t>
            </w:r>
          </w:p>
        </w:tc>
        <w:tc>
          <w:tcPr>
            <w:tcW w:w="470"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4</w:t>
            </w:r>
          </w:p>
        </w:tc>
        <w:tc>
          <w:tcPr>
            <w:tcW w:w="47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5</w:t>
            </w:r>
          </w:p>
        </w:tc>
      </w:tr>
      <w:tr>
        <w:trPr/>
        <w:tc>
          <w:tcPr>
            <w:tcW w:w="2039"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Longitud promedio por pileta (cm).</w:t>
            </w:r>
          </w:p>
        </w:tc>
        <w:tc>
          <w:tcPr>
            <w:tcW w:w="4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2.375</w:t>
            </w:r>
          </w:p>
        </w:tc>
        <w:tc>
          <w:tcPr>
            <w:tcW w:w="471"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2.43</w:t>
            </w:r>
          </w:p>
        </w:tc>
        <w:tc>
          <w:tcPr>
            <w:tcW w:w="472"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2.25</w:t>
            </w:r>
          </w:p>
        </w:tc>
        <w:tc>
          <w:tcPr>
            <w:tcW w:w="470"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2.65</w:t>
            </w:r>
          </w:p>
        </w:tc>
        <w:tc>
          <w:tcPr>
            <w:tcW w:w="47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2.95</w:t>
            </w:r>
          </w:p>
        </w:tc>
      </w:tr>
      <w:tr>
        <w:trPr/>
        <w:tc>
          <w:tcPr>
            <w:tcW w:w="2039" w:type="dxa"/>
            <w:tcBorders>
              <w:top w:val="nil"/>
              <w:left w:val="single" w:sz="4" w:space="0" w:color="00000A"/>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Peso total de las lombrices por pileta (g).</w:t>
            </w:r>
          </w:p>
        </w:tc>
        <w:tc>
          <w:tcPr>
            <w:tcW w:w="471" w:type="dxa"/>
            <w:tcBorders>
              <w:top w:val="nil"/>
              <w:left w:val="single" w:sz="4" w:space="0" w:color="00000A"/>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0.1043</w:t>
            </w:r>
          </w:p>
        </w:tc>
        <w:tc>
          <w:tcPr>
            <w:tcW w:w="471"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0.1303</w:t>
            </w:r>
          </w:p>
        </w:tc>
        <w:tc>
          <w:tcPr>
            <w:tcW w:w="472"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0.1827</w:t>
            </w:r>
          </w:p>
        </w:tc>
        <w:tc>
          <w:tcPr>
            <w:tcW w:w="470" w:type="dxa"/>
            <w:tcBorders>
              <w:top w:val="nil"/>
              <w:bottom w:val="nil"/>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0.2317</w:t>
            </w:r>
          </w:p>
        </w:tc>
        <w:tc>
          <w:tcPr>
            <w:tcW w:w="471" w:type="dxa"/>
            <w:tcBorders>
              <w:top w:val="nil"/>
              <w:bottom w:val="nil"/>
              <w:right w:val="single" w:sz="4" w:space="0" w:color="00000A"/>
            </w:tcBorders>
            <w:shd w:color="auto" w:fill="auto" w:val="clear"/>
            <w:vAlign w:val="center"/>
          </w:tcPr>
          <w:p>
            <w:pPr>
              <w:pStyle w:val="Normal"/>
              <w:widowControl w:val="false"/>
              <w:bidi w:val="0"/>
              <w:spacing w:lineRule="auto" w:line="240" w:before="0" w:after="0"/>
              <w:jc w:val="both"/>
              <w:rPr>
                <w:rFonts w:ascii="Times New Roman" w:hAnsi="Times New Roman"/>
                <w:color w:val="000000"/>
                <w:kern w:val="0"/>
                <w:sz w:val="12"/>
                <w:szCs w:val="12"/>
                <w:lang w:val="es-MX" w:eastAsia="es-MX" w:bidi="ar-SA"/>
              </w:rPr>
            </w:pPr>
            <w:r>
              <w:rPr>
                <w:rFonts w:eastAsia="Calibri" w:cs="Times New Roman" w:ascii="Times New Roman" w:hAnsi="Times New Roman"/>
                <w:color w:val="000000"/>
                <w:kern w:val="0"/>
                <w:sz w:val="12"/>
                <w:szCs w:val="12"/>
                <w:lang w:val="es-MX" w:eastAsia="es-MX" w:bidi="ar-SA"/>
              </w:rPr>
              <w:t>0.2430</w:t>
            </w:r>
          </w:p>
        </w:tc>
      </w:tr>
    </w:tbl>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874645" cy="1705610"/>
            <wp:effectExtent l="0" t="0" r="0" b="0"/>
            <wp:docPr id="1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
                    <pic:cNvPicPr>
                      <a:picLocks noChangeAspect="1" noChangeArrowheads="1"/>
                    </pic:cNvPicPr>
                  </pic:nvPicPr>
                  <pic:blipFill>
                    <a:blip r:embed="rId21"/>
                    <a:srcRect l="33479" t="28214" r="17788" b="20354"/>
                    <a:stretch>
                      <a:fillRect/>
                    </a:stretch>
                  </pic:blipFill>
                  <pic:spPr bwMode="auto">
                    <a:xfrm>
                      <a:off x="0" y="0"/>
                      <a:ext cx="2874645" cy="1705610"/>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Figura</w:t>
      </w:r>
      <w:r>
        <w:rPr>
          <w:rFonts w:cs="Times New Roman" w:ascii="Times New Roman" w:hAnsi="Times New Roman"/>
          <w:b/>
          <w:color w:val="000000"/>
          <w:sz w:val="20"/>
          <w:szCs w:val="20"/>
        </w:rPr>
        <w:t xml:space="preserve"> 10</w:t>
      </w:r>
      <w:r>
        <w:rPr>
          <w:rFonts w:cs="Times New Roman" w:ascii="Times New Roman" w:hAnsi="Times New Roman"/>
          <w:color w:val="000000"/>
          <w:sz w:val="20"/>
          <w:szCs w:val="20"/>
        </w:rPr>
        <w:t xml:space="preserve">. Longitud promedio y peso promedio de las lombrices de la semana 2.Fuente: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Caption"/>
        <w:bidi w:val="0"/>
        <w:spacing w:lineRule="auto" w:line="240" w:before="0" w:after="0"/>
        <w:jc w:val="center"/>
        <w:rPr>
          <w:rFonts w:ascii="Times New Roman" w:hAnsi="Times New Roman" w:cs="Times New Roman"/>
          <w:b/>
          <w:b/>
          <w:color w:val="000000"/>
          <w:sz w:val="20"/>
          <w:szCs w:val="20"/>
        </w:rPr>
      </w:pPr>
      <w:r>
        <w:rPr>
          <w:rFonts w:cs="Times New Roman" w:ascii="Times New Roman" w:hAnsi="Times New Roman"/>
          <w:b/>
          <w:color w:val="000000"/>
          <w:sz w:val="20"/>
          <w:szCs w:val="20"/>
        </w:rPr>
      </w:r>
    </w:p>
    <w:p>
      <w:pPr>
        <w:pStyle w:val="Ttulo1"/>
        <w:spacing w:lineRule="auto" w:line="240" w:before="0" w:after="0"/>
        <w:jc w:val="both"/>
        <w:rPr>
          <w:rFonts w:ascii="Times New Roman" w:hAnsi="Times New Roman"/>
          <w:color w:val="000000"/>
          <w:sz w:val="20"/>
          <w:szCs w:val="20"/>
        </w:rPr>
      </w:pPr>
      <w:r>
        <w:rPr>
          <w:rFonts w:cs="Times New Roman" w:ascii="Times New Roman" w:hAnsi="Times New Roman"/>
          <w:b/>
          <w:color w:val="000000"/>
          <w:sz w:val="20"/>
          <w:szCs w:val="20"/>
        </w:rPr>
        <w:t xml:space="preserve">IV. </w:t>
      </w:r>
      <w:r>
        <w:rPr>
          <w:rFonts w:cs="Times New Roman" w:ascii="Times New Roman" w:hAnsi="Times New Roman"/>
          <w:b/>
          <w:color w:val="000000"/>
          <w:sz w:val="20"/>
          <w:szCs w:val="20"/>
        </w:rPr>
        <w:t>DISCUSIÓN</w:t>
      </w:r>
    </w:p>
    <w:p>
      <w:pPr>
        <w:pStyle w:val="Normal"/>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En la primera prueba se puso 250 ml de agua a cada pileta y a la semana ya no había lombrices, esto se debe a que fue insuficiente el agua en las piletas de concreto y las piedras que se encontraban al fondo </w:t>
      </w:r>
      <w:r>
        <w:rPr>
          <w:rFonts w:cs="Times New Roman" w:ascii="Times New Roman" w:hAnsi="Times New Roman"/>
          <w:color w:val="000000"/>
          <w:sz w:val="20"/>
          <w:szCs w:val="20"/>
        </w:rPr>
        <w:t>absorbieron el agua y las lombrices murieron ya que ellas viven en una humedad del 60 a 80%. En las otras pruebas se le puso medio lit</w:t>
      </w:r>
      <w:r>
        <w:rPr>
          <w:rFonts w:cs="Times New Roman" w:ascii="Times New Roman" w:hAnsi="Times New Roman"/>
          <w:color w:val="000000"/>
          <w:sz w:val="20"/>
          <w:szCs w:val="20"/>
        </w:rPr>
        <w:t>ro de agua cada semana teniendo la tierra húmeda y a las lombrices en su habitad adecuado de humedad, pero no hubo lixiviado.</w:t>
      </w:r>
    </w:p>
    <w:p>
      <w:pPr>
        <w:pStyle w:val="Normal"/>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La </w:t>
      </w:r>
      <w:r>
        <w:rPr>
          <w:rFonts w:cs="Times New Roman" w:ascii="Times New Roman" w:hAnsi="Times New Roman"/>
          <w:color w:val="000000"/>
          <w:sz w:val="20"/>
          <w:szCs w:val="20"/>
        </w:rPr>
        <w:t>T</w:t>
      </w:r>
      <w:r>
        <w:rPr>
          <w:rFonts w:cs="Times New Roman" w:ascii="Times New Roman" w:hAnsi="Times New Roman"/>
          <w:color w:val="000000"/>
          <w:sz w:val="20"/>
          <w:szCs w:val="20"/>
        </w:rPr>
        <w:t>abla 2 muestra los porcentajes de alimento administrados en una cantidad de mezcla de 5 gramos ya que en base a los promedios de peso de las lombrices iniciales se determinó esa cantidad de alimento con la finalidad que dure en un lapso de 7 días. De igual manera las tallas de las lombrices son variadas tal y como se muestra en la Figura 11 donde hay 15 lombrices por grupo.</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339340" cy="1367155"/>
            <wp:effectExtent l="0" t="0" r="0" b="0"/>
            <wp:docPr id="1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
                    <pic:cNvPicPr>
                      <a:picLocks noChangeAspect="1" noChangeArrowheads="1"/>
                    </pic:cNvPicPr>
                  </pic:nvPicPr>
                  <pic:blipFill>
                    <a:blip r:embed="rId22"/>
                    <a:srcRect l="0" t="0" r="0" b="22077"/>
                    <a:stretch>
                      <a:fillRect/>
                    </a:stretch>
                  </pic:blipFill>
                  <pic:spPr bwMode="auto">
                    <a:xfrm>
                      <a:off x="0" y="0"/>
                      <a:ext cx="2339340" cy="1367155"/>
                    </a:xfrm>
                    <a:prstGeom prst="rect">
                      <a:avLst/>
                    </a:prstGeom>
                  </pic:spPr>
                </pic:pic>
              </a:graphicData>
            </a:graphic>
          </wp:inline>
        </w:drawing>
      </w:r>
    </w:p>
    <w:p>
      <w:pPr>
        <w:pStyle w:val="Caption"/>
        <w:bidi w:val="0"/>
        <w:spacing w:lineRule="auto" w:line="240" w:before="0" w:after="0"/>
        <w:jc w:val="center"/>
        <w:rPr>
          <w:rFonts w:ascii="Times New Roman" w:hAnsi="Times New Roman"/>
          <w:color w:val="000000"/>
          <w:sz w:val="20"/>
          <w:szCs w:val="20"/>
        </w:rPr>
      </w:pPr>
      <w:r>
        <w:rPr>
          <w:rFonts w:cs="Times New Roman" w:ascii="Times New Roman" w:hAnsi="Times New Roman"/>
          <w:color w:val="000000"/>
          <w:sz w:val="20"/>
          <w:szCs w:val="20"/>
        </w:rPr>
        <w:t>Figura</w:t>
      </w:r>
      <w:r>
        <w:rPr>
          <w:rFonts w:cs="Times New Roman" w:ascii="Times New Roman" w:hAnsi="Times New Roman"/>
          <w:b/>
          <w:i w:val="false"/>
          <w:color w:val="000000"/>
          <w:sz w:val="20"/>
          <w:szCs w:val="20"/>
        </w:rPr>
        <w:t xml:space="preserve"> 11</w:t>
      </w:r>
      <w:r>
        <w:rPr>
          <w:rFonts w:cs="Times New Roman" w:ascii="Times New Roman" w:hAnsi="Times New Roman"/>
          <w:color w:val="000000"/>
          <w:sz w:val="20"/>
          <w:szCs w:val="20"/>
        </w:rPr>
        <w:t xml:space="preserve">. Tallas por longitud de las lombrices californianas. Fuente: </w:t>
      </w:r>
      <w:r>
        <w:rPr>
          <w:rFonts w:cs="Times New Roman" w:ascii="Times New Roman" w:hAnsi="Times New Roman"/>
          <w:color w:val="000000"/>
          <w:sz w:val="20"/>
          <w:szCs w:val="20"/>
        </w:rPr>
        <w:t>Elaboración</w:t>
      </w:r>
      <w:r>
        <w:rPr>
          <w:rFonts w:cs="Times New Roman" w:ascii="Times New Roman" w:hAnsi="Times New Roman"/>
          <w:color w:val="000000"/>
          <w:sz w:val="20"/>
          <w:szCs w:val="20"/>
        </w:rPr>
        <w:t xml:space="preserve"> propia.</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Sin embargo, en todas las piletas se encuentra el mismo número de lombrices combinadas por sus tallas, lo que significa que existen 3 lombrices de cada grupo en cada pileta obteniendo así las 15 lombrices necesarias. </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Se considera necesario mencionar que en esta primera semana de evaluación se observó la disminución de lombrices de las dos tallas más pequeñas en las piletas todas en una cantidad similar como se muestra en la Tabla 2, por lo que se concluye que estas tallas de lombrices no soportaron el periodo de adaptación a un nuevo hábita</w:t>
      </w:r>
      <w:r>
        <w:rPr>
          <w:rFonts w:cs="Times New Roman" w:ascii="Times New Roman" w:hAnsi="Times New Roman"/>
          <w:color w:val="000000"/>
          <w:sz w:val="20"/>
          <w:szCs w:val="20"/>
        </w:rPr>
        <w:t>t</w:t>
      </w:r>
      <w:r>
        <w:rPr>
          <w:rFonts w:cs="Times New Roman" w:ascii="Times New Roman" w:hAnsi="Times New Roman"/>
          <w:color w:val="000000"/>
          <w:sz w:val="20"/>
          <w:szCs w:val="20"/>
        </w:rPr>
        <w:t xml:space="preserve">. </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La adaptabilidad de las lombrices se da en la semana dos que cumplen de un rango de 2 a 2.5 centímetros, esto se debe a que la literatura menciona que las lombrices entre este rango de medida tienen una vida de aproximadamente 45 días a comparación de las que se encuentran por debajo de los 2 centímetros que aún están en una etapa muy temprana para cambiar de hábitat. Por parte del crecimiento este se vio mejor y más eficaz en la pileta con 100% de materia orgánica.</w:t>
      </w:r>
    </w:p>
    <w:p>
      <w:pPr>
        <w:pStyle w:val="Normal"/>
        <w:widowControl w:val="false"/>
        <w:bidi w:val="0"/>
        <w:spacing w:lineRule="auto" w:line="24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Ttulo1"/>
        <w:spacing w:lineRule="auto" w:line="240" w:before="0" w:after="0"/>
        <w:jc w:val="both"/>
        <w:rPr>
          <w:rFonts w:ascii="Times New Roman" w:hAnsi="Times New Roman"/>
          <w:color w:val="000000"/>
          <w:sz w:val="20"/>
          <w:szCs w:val="20"/>
        </w:rPr>
      </w:pPr>
      <w:r>
        <w:rPr>
          <w:rFonts w:cs="Times New Roman" w:ascii="Times New Roman" w:hAnsi="Times New Roman"/>
          <w:b/>
          <w:color w:val="000000"/>
          <w:sz w:val="20"/>
          <w:szCs w:val="20"/>
        </w:rPr>
        <w:t xml:space="preserve">V. </w:t>
      </w:r>
      <w:r>
        <w:rPr>
          <w:rFonts w:cs="Times New Roman" w:ascii="Times New Roman" w:hAnsi="Times New Roman"/>
          <w:b/>
          <w:color w:val="000000"/>
          <w:sz w:val="20"/>
          <w:szCs w:val="20"/>
        </w:rPr>
        <w:t>CONCLUSIONES Y RECOMENDACIONES</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Los resultados muestran que la adaptabilidad de las lombrices se da en la semana dos que cumplen de un rango de 2 a 2.5 </w:t>
      </w:r>
      <w:r>
        <w:rPr>
          <w:rFonts w:cs="Times New Roman" w:ascii="Times New Roman" w:hAnsi="Times New Roman"/>
          <w:color w:val="000000"/>
          <w:sz w:val="20"/>
          <w:szCs w:val="20"/>
        </w:rPr>
        <w:t xml:space="preserve">centímetros, según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Som04 \l 2058 </w:instrText>
          </w:r>
          <w:r>
            <w:rPr>
              <w:sz w:val="20"/>
              <w:szCs w:val="20"/>
              <w:rFonts w:ascii="Times New Roman" w:hAnsi="Times New Roman"/>
              <w:color w:val="000000"/>
            </w:rPr>
            <w:fldChar w:fldCharType="separate"/>
          </w:r>
          <w:r>
            <w:rPr>
              <w:sz w:val="20"/>
              <w:szCs w:val="20"/>
              <w:rFonts w:ascii="Times New Roman" w:hAnsi="Times New Roman"/>
              <w:color w:val="000000"/>
            </w:rPr>
            <w:t>(Somarriba Reyes &amp; Guzmán Guillén, 2004)</w:t>
          </w:r>
          <w:r>
            <w:rPr>
              <w:sz w:val="20"/>
              <w:szCs w:val="20"/>
              <w:rFonts w:ascii="Times New Roman" w:hAnsi="Times New Roman"/>
              <w:color w:val="000000"/>
            </w:rPr>
            <w:fldChar w:fldCharType="end"/>
          </w:r>
        </w:sdtContent>
      </w:sdt>
      <w:r>
        <w:rPr>
          <w:rFonts w:cs="Times New Roman" w:ascii="Times New Roman" w:hAnsi="Times New Roman"/>
          <w:color w:val="000000"/>
          <w:sz w:val="20"/>
          <w:szCs w:val="20"/>
        </w:rPr>
        <w:t xml:space="preserve"> menciona </w:t>
      </w:r>
      <w:r>
        <w:rPr>
          <w:rFonts w:cs="Times New Roman" w:ascii="Times New Roman" w:hAnsi="Times New Roman"/>
          <w:color w:val="000000"/>
          <w:sz w:val="20"/>
          <w:szCs w:val="20"/>
        </w:rPr>
        <w:t>que las lombrices entre este rango de medida tienen una vida de aproximadamente 45 días a comparación de las que se encuentran por debajo de los 2 centímetros que aún están en una etapa muy temprana para cambiar de hábitat. Por parte del crecimiento este se vio mejor y más eficaz en la pileta con 100 por ciento de materia orgánica.</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El estudio demostró que las lombrices tienen una mejor adaptabilidad, así como un mayor crecimiento a base de una alimentación total de biomasa orgánica (repollo), siendo un dato importante la observación del efecto de la biomasa vegetal marina (Sargazo arribazón) en las mezclas de alimentos, donde se concluyó que a mayor porcentaje de biomasa vegetal marina menor es el crecimiento y adaptabilidad de las lombrices.</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Como primera recomendación utilizar algún método para dividir las dos capas del habitad de las lombrices, por una parte las piletas utilizan una capa de grava en la parte inferior a fin de que se reúna el lixiviado en el final, seguidamente se le coloca la capa de tierra donde </w:t>
      </w:r>
      <w:r>
        <w:rPr>
          <w:rFonts w:cs="Times New Roman" w:ascii="Times New Roman" w:hAnsi="Times New Roman"/>
          <w:color w:val="000000"/>
          <w:sz w:val="20"/>
          <w:szCs w:val="20"/>
        </w:rPr>
        <w:t xml:space="preserve">viven las lombrices, se recomienda utilizar </w:t>
      </w:r>
      <w:r>
        <w:rPr>
          <w:rFonts w:cs="Times New Roman" w:ascii="Times New Roman" w:hAnsi="Times New Roman"/>
          <w:color w:val="000000"/>
          <w:sz w:val="20"/>
          <w:szCs w:val="20"/>
        </w:rPr>
        <w:t xml:space="preserve">algún tipo de malla para poder dividir estas dos secciones evitando que la tierra pueda escabullirse a través de los huecos que deja la grava y que ahí puedan irse las lombrices. </w:t>
      </w:r>
    </w:p>
    <w:p>
      <w:pPr>
        <w:pStyle w:val="Normal"/>
        <w:widowControl w:val="false"/>
        <w:bidi w:val="0"/>
        <w:spacing w:lineRule="auto" w:line="240" w:before="0" w:after="0"/>
        <w:jc w:val="both"/>
        <w:rPr>
          <w:rFonts w:cs="Times New Roman"/>
        </w:rPr>
      </w:pPr>
      <w:r>
        <w:rPr>
          <w:rFonts w:ascii="Times New Roman" w:hAnsi="Times New Roman"/>
          <w:color w:val="000000"/>
          <w:sz w:val="20"/>
          <w:szCs w:val="20"/>
        </w:rPr>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Como segunda recomendación cambiar la consistencia de la tierra en las piletas ya que la tierra tomaba una condición compactada lo que podría perjudicar al movimiento de las lombrices y dificulta la búsqueda de las mismas, es por ello que es colocar hojas o papel dentro de la tierra podrían ayudar a la retención de humedad, esto según diversas fuentes, además esto podría funcionar como algún tipo de refugio para las lombrices lo que haría que se agruparan en puntos específicos y su búsqueda se realice de manera más sencilla.</w:t>
      </w:r>
    </w:p>
    <w:p>
      <w:pPr>
        <w:pStyle w:val="Normal"/>
        <w:widowControl w:val="false"/>
        <w:bidi w:val="0"/>
        <w:spacing w:lineRule="auto" w:line="240" w:before="0" w:after="0"/>
        <w:jc w:val="both"/>
        <w:rPr>
          <w:rFonts w:ascii="Times New Roman" w:hAnsi="Times New Roman"/>
          <w:color w:val="000000"/>
          <w:sz w:val="20"/>
          <w:szCs w:val="20"/>
        </w:rPr>
      </w:pPr>
      <w:r>
        <w:rPr>
          <w:rFonts w:cs="Times New Roman" w:ascii="Times New Roman" w:hAnsi="Times New Roman"/>
          <w:color w:val="000000"/>
          <w:sz w:val="20"/>
          <w:szCs w:val="20"/>
        </w:rPr>
        <w:t xml:space="preserve">Como última recomendación es proponer algún otro tipo de material para las piletas ya que el concreto es un material que absorbe mucha humedad, </w:t>
      </w:r>
    </w:p>
    <w:p>
      <w:pPr>
        <w:pStyle w:val="Ttulo2"/>
        <w:spacing w:lineRule="auto" w:line="240" w:before="0" w:after="0"/>
        <w:jc w:val="both"/>
        <w:rPr>
          <w:rFonts w:ascii="Times New Roman" w:hAnsi="Times New Roman" w:cs="Times New Roman"/>
          <w:b/>
          <w:b/>
          <w:color w:val="000000"/>
          <w:sz w:val="20"/>
          <w:szCs w:val="20"/>
        </w:rPr>
      </w:pPr>
      <w:r>
        <w:rPr>
          <w:rFonts w:cs="Times New Roman" w:ascii="Times New Roman" w:hAnsi="Times New Roman"/>
          <w:b/>
          <w:color w:val="000000"/>
          <w:sz w:val="20"/>
          <w:szCs w:val="20"/>
        </w:rPr>
      </w:r>
    </w:p>
    <w:p>
      <w:pPr>
        <w:pStyle w:val="Ttulo2"/>
        <w:spacing w:lineRule="auto" w:line="240" w:before="0" w:after="0"/>
        <w:jc w:val="both"/>
        <w:rPr>
          <w:rFonts w:ascii="Times New Roman" w:hAnsi="Times New Roman"/>
          <w:color w:val="000000"/>
          <w:sz w:val="20"/>
          <w:szCs w:val="20"/>
        </w:rPr>
      </w:pPr>
      <w:r>
        <w:rPr>
          <w:rFonts w:cs="Times New Roman" w:ascii="Times New Roman" w:hAnsi="Times New Roman"/>
          <w:b/>
          <w:color w:val="000000"/>
          <w:sz w:val="20"/>
          <w:szCs w:val="20"/>
        </w:rPr>
        <w:t>REFERENCIAS</w:t>
      </w:r>
    </w:p>
    <w:p>
      <w:pPr>
        <w:pStyle w:val="Normal"/>
        <w:bidi w:val="0"/>
        <w:spacing w:lineRule="auto" w:line="240" w:before="0" w:after="0"/>
        <w:jc w:val="both"/>
        <w:rPr>
          <w:rFonts w:cs="Times New Roman"/>
          <w:b/>
          <w:b/>
        </w:rPr>
      </w:pPr>
      <w:r>
        <w:rPr>
          <w:rFonts w:ascii="Times New Roman" w:hAnsi="Times New Roman"/>
          <w:color w:val="000000"/>
          <w:sz w:val="20"/>
          <w:szCs w:val="20"/>
        </w:rPr>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Canales Gutiérrez , A., Solís Ramos, B., Panca Castañeda, J., &amp; Quispe Caceres, B. (2020). </w:t>
      </w:r>
      <w:r>
        <w:rPr>
          <w:rFonts w:ascii="Times New Roman" w:hAnsi="Times New Roman"/>
          <w:i/>
          <w:iCs/>
          <w:color w:val="000000"/>
          <w:sz w:val="20"/>
          <w:szCs w:val="20"/>
        </w:rPr>
        <w:t>Crianza de lombriz roja (Eisenia Foetida) en diferentes sustratos de desarrollo biologico.</w:t>
      </w:r>
      <w:r>
        <w:rPr>
          <w:rFonts w:ascii="Times New Roman" w:hAnsi="Times New Roman"/>
          <w:color w:val="000000"/>
          <w:sz w:val="20"/>
          <w:szCs w:val="20"/>
        </w:rPr>
        <w:t xml:space="preserve"> </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de lucas Hergueda, A. I., &amp; Taranco, C. (2012). </w:t>
      </w:r>
      <w:r>
        <w:rPr>
          <w:rFonts w:ascii="Times New Roman" w:hAnsi="Times New Roman"/>
          <w:i/>
          <w:iCs/>
          <w:color w:val="000000"/>
          <w:sz w:val="20"/>
          <w:szCs w:val="20"/>
        </w:rPr>
        <w:t>Biomasa, biocombutibles y sostenibilidad.</w:t>
      </w:r>
      <w:r>
        <w:rPr>
          <w:rFonts w:ascii="Times New Roman" w:hAnsi="Times New Roman"/>
          <w:color w:val="000000"/>
          <w:sz w:val="20"/>
          <w:szCs w:val="20"/>
        </w:rPr>
        <w:t xml:space="preserve"> Transbioma FP.</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Durán , L., &amp; Henriquez, C. (2009). </w:t>
      </w:r>
      <w:r>
        <w:rPr>
          <w:rFonts w:ascii="Times New Roman" w:hAnsi="Times New Roman"/>
          <w:i/>
          <w:iCs/>
          <w:color w:val="000000"/>
          <w:sz w:val="20"/>
          <w:szCs w:val="20"/>
        </w:rPr>
        <w:t>Crecimiento y reporduccion de la lombriz roja californiana (Eisenia Foetida) en cinco sustratos orgánicos.</w:t>
      </w:r>
      <w:r>
        <w:rPr>
          <w:rFonts w:ascii="Times New Roman" w:hAnsi="Times New Roman"/>
          <w:color w:val="000000"/>
          <w:sz w:val="20"/>
          <w:szCs w:val="20"/>
        </w:rPr>
        <w:t xml:space="preserve"> </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Gabriel, P., Loza Murguía, M., Mamani, F., &amp; Sainz, H. (2012). </w:t>
      </w:r>
      <w:r>
        <w:rPr>
          <w:rFonts w:ascii="Times New Roman" w:hAnsi="Times New Roman"/>
          <w:i/>
          <w:iCs/>
          <w:color w:val="000000"/>
          <w:sz w:val="20"/>
          <w:szCs w:val="20"/>
        </w:rPr>
        <w:t>Efecto de la lombri roja californiana (Eisena Foetida) durante el compostéo y vermicomposteo en predios de la estacion experimental de la Unidad Academica Campesina Carmen Pampa.</w:t>
      </w:r>
      <w:r>
        <w:rPr>
          <w:rFonts w:ascii="Times New Roman" w:hAnsi="Times New Roman"/>
          <w:color w:val="000000"/>
          <w:sz w:val="20"/>
          <w:szCs w:val="20"/>
        </w:rPr>
        <w:t xml:space="preserve"> </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Guanche García, A. (2015). </w:t>
      </w:r>
      <w:r>
        <w:rPr>
          <w:rFonts w:ascii="Times New Roman" w:hAnsi="Times New Roman"/>
          <w:i/>
          <w:iCs/>
          <w:color w:val="000000"/>
          <w:sz w:val="20"/>
          <w:szCs w:val="20"/>
        </w:rPr>
        <w:t>Las lombrices y la agricultura.</w:t>
      </w:r>
      <w:r>
        <w:rPr>
          <w:rFonts w:ascii="Times New Roman" w:hAnsi="Times New Roman"/>
          <w:color w:val="000000"/>
          <w:sz w:val="20"/>
          <w:szCs w:val="20"/>
        </w:rPr>
        <w:t xml:space="preserve"> </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Herrera González, Y. P., &amp; López Calero, C. D. (2018). </w:t>
      </w:r>
      <w:r>
        <w:rPr>
          <w:rFonts w:ascii="Times New Roman" w:hAnsi="Times New Roman"/>
          <w:i/>
          <w:iCs/>
          <w:color w:val="000000"/>
          <w:sz w:val="20"/>
          <w:szCs w:val="20"/>
        </w:rPr>
        <w:t>Propuesta para el aprovechamiento de lodos del sistema de tratamiento de aguas residuales de la cuidad de Estelí.</w:t>
      </w:r>
      <w:r>
        <w:rPr>
          <w:rFonts w:ascii="Times New Roman" w:hAnsi="Times New Roman"/>
          <w:color w:val="000000"/>
          <w:sz w:val="20"/>
          <w:szCs w:val="20"/>
        </w:rPr>
        <w:t xml:space="preserve"> </w:t>
      </w:r>
    </w:p>
    <w:p>
      <w:pPr>
        <w:pStyle w:val="Bibliography"/>
        <w:bidi w:val="0"/>
        <w:spacing w:lineRule="auto" w:line="240" w:before="0" w:after="0"/>
        <w:ind w:left="720" w:hanging="720"/>
        <w:jc w:val="both"/>
        <w:rPr>
          <w:rFonts w:ascii="Times New Roman" w:hAnsi="Times New Roman"/>
          <w:color w:val="000000"/>
          <w:sz w:val="20"/>
          <w:szCs w:val="20"/>
        </w:rPr>
      </w:pPr>
      <w:r>
        <w:rPr>
          <w:rFonts w:ascii="Times New Roman" w:hAnsi="Times New Roman"/>
          <w:color w:val="000000"/>
          <w:sz w:val="20"/>
          <w:szCs w:val="20"/>
        </w:rPr>
        <w:t xml:space="preserve">Somarriba Reyes , R. J., &amp; Guzmán Guillén, F. (2004). </w:t>
      </w:r>
      <w:r>
        <w:rPr>
          <w:rFonts w:ascii="Times New Roman" w:hAnsi="Times New Roman"/>
          <w:i/>
          <w:iCs/>
          <w:color w:val="000000"/>
          <w:sz w:val="20"/>
          <w:szCs w:val="20"/>
        </w:rPr>
        <w:t>Guía de lombricultura.</w:t>
      </w:r>
      <w:r>
        <w:rPr>
          <w:rFonts w:ascii="Times New Roman" w:hAnsi="Times New Roman"/>
          <w:color w:val="000000"/>
          <w:sz w:val="20"/>
          <w:szCs w:val="20"/>
        </w:rPr>
        <w:t xml:space="preserve"> </w:t>
      </w:r>
    </w:p>
    <w:p>
      <w:pPr>
        <w:pStyle w:val="Bibliography"/>
        <w:widowControl w:val="false"/>
        <w:bidi w:val="0"/>
        <w:spacing w:lineRule="auto" w:line="240" w:before="0" w:after="0"/>
        <w:ind w:left="720" w:hanging="720"/>
        <w:jc w:val="both"/>
        <w:rPr>
          <w:rFonts w:ascii="Times New Roman" w:hAnsi="Times New Roman"/>
          <w:b w:val="false"/>
          <w:b w:val="false"/>
          <w:bCs w:val="false"/>
          <w:i w:val="false"/>
          <w:i w:val="false"/>
          <w:iCs w:val="false"/>
          <w:color w:val="000000"/>
          <w:sz w:val="20"/>
          <w:szCs w:val="20"/>
        </w:rPr>
      </w:pPr>
      <w:r>
        <w:rPr>
          <w:rFonts w:cs="Times New Roman" w:ascii="Times New Roman" w:hAnsi="Times New Roman"/>
          <w:b w:val="false"/>
          <w:bCs w:val="false"/>
          <w:i w:val="false"/>
          <w:iCs w:val="false"/>
          <w:color w:val="000000"/>
          <w:sz w:val="20"/>
          <w:szCs w:val="20"/>
        </w:rPr>
        <w:t>Vignote Peña, S. (2016). La biomasa: Importancia, tipos, caracteristicas y formas de preparación.</w:t>
      </w:r>
    </w:p>
    <w:p>
      <w:pPr>
        <w:sectPr>
          <w:type w:val="continuous"/>
          <w:pgSz w:w="11906" w:h="16838"/>
          <w:pgMar w:left="1417" w:right="1417" w:header="1417" w:top="1983" w:footer="1417" w:bottom="2012" w:gutter="0"/>
          <w:cols w:num="2" w:space="282" w:equalWidth="true" w:sep="false"/>
          <w:formProt w:val="false"/>
          <w:textDirection w:val="lrTb"/>
        </w:sectPr>
      </w:pPr>
    </w:p>
    <w:sectPr>
      <w:headerReference w:type="even" r:id="rId23"/>
      <w:headerReference w:type="default" r:id="rId24"/>
      <w:headerReference w:type="first" r:id="rId25"/>
      <w:footerReference w:type="even" r:id="rId26"/>
      <w:footerReference w:type="default" r:id="rId27"/>
      <w:footerReference w:type="first" r:id="rId28"/>
      <w:type w:val="continuous"/>
      <w:pgSz w:w="11906" w:h="16838"/>
      <w:pgMar w:left="1417" w:right="1417" w:header="1417" w:top="1983" w:footer="1417" w:bottom="2012" w:gutter="0"/>
      <w:pgNumType w:fmt="decimal"/>
      <w:formProt w:val="false"/>
      <w:titlePg/>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Calibri">
    <w:charset w:val="01"/>
    <w:family w:val="roman"/>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7"/>
      <w:gridCol w:w="4140"/>
      <w:gridCol w:w="2778"/>
    </w:tblGrid>
    <w:tr>
      <w:trPr/>
      <w:tc>
        <w:tcPr>
          <w:tcW w:w="2487"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07</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30</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w:t>
          </w:r>
          <w:r>
            <w:rPr>
              <w:rFonts w:ascii="Times new roman" w:hAnsi="Times new roman"/>
              <w:sz w:val="16"/>
              <w:szCs w:val="16"/>
            </w:rPr>
            <w:t>2</w:t>
          </w:r>
        </w:p>
      </w:tc>
      <w:tc>
        <w:tcPr>
          <w:tcW w:w="4140"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78" w:type="dxa"/>
          <w:tcBorders/>
          <w:shd w:fill="auto" w:val="clear"/>
        </w:tcPr>
        <w:p>
          <w:pPr>
            <w:pStyle w:val="Contenidodelatabla"/>
            <w:widowControl w:val="false"/>
            <w:bidi w:val="0"/>
            <w:spacing w:before="120" w:after="60"/>
            <w:jc w:val="left"/>
            <w:rPr/>
          </w:pPr>
          <w:r>
            <w:rPr/>
          </w:r>
        </w:p>
      </w:tc>
    </w:tr>
  </w:tbl>
  <w:p>
    <w:pPr>
      <w:pStyle w:val="Normal"/>
      <w:bidi w:val="0"/>
      <w:jc w:val="lef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7"/>
      <w:gridCol w:w="4140"/>
      <w:gridCol w:w="2778"/>
    </w:tblGrid>
    <w:tr>
      <w:trPr/>
      <w:tc>
        <w:tcPr>
          <w:tcW w:w="2487"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07</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30</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w:t>
          </w:r>
          <w:r>
            <w:rPr>
              <w:rFonts w:ascii="Times new roman" w:hAnsi="Times new roman"/>
              <w:sz w:val="16"/>
              <w:szCs w:val="16"/>
            </w:rPr>
            <w:t>2</w:t>
          </w:r>
        </w:p>
      </w:tc>
      <w:tc>
        <w:tcPr>
          <w:tcW w:w="4140"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78" w:type="dxa"/>
          <w:tcBorders/>
          <w:shd w:fill="auto" w:val="clear"/>
        </w:tcPr>
        <w:p>
          <w:pPr>
            <w:pStyle w:val="Contenidodelatabla"/>
            <w:widowControl w:val="false"/>
            <w:bidi w:val="0"/>
            <w:spacing w:before="120" w:after="60"/>
            <w:jc w:val="left"/>
            <w:rPr/>
          </w:pPr>
          <w:r>
            <w:rPr/>
          </w:r>
        </w:p>
      </w:tc>
    </w:tr>
  </w:tbl>
  <w:p>
    <w:pPr>
      <w:pStyle w:val="Normal"/>
      <w:bidi w:val="0"/>
      <w:jc w:val="lef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9"/>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 No. 1</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 pp. 1</w:t>
          </w:r>
          <w:r>
            <w:rPr>
              <w:rFonts w:eastAsia="Times New Roman" w:cs="Times New Roman" w:ascii="Times new roman" w:hAnsi="Times new roman"/>
              <w:sz w:val="20"/>
              <w:szCs w:val="20"/>
            </w:rPr>
            <w:t>0</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Julio - </w:t>
          </w:r>
          <w:r>
            <w:rPr>
              <w:rFonts w:eastAsia="Times New Roman" w:cs="Times New Roman" w:ascii="Times new roman" w:hAnsi="Times new roman"/>
              <w:sz w:val="20"/>
              <w:szCs w:val="20"/>
            </w:rPr>
            <w:t>Diciembre 202</w:t>
          </w:r>
          <w:r>
            <w:rPr>
              <w:rFonts w:eastAsia="Times New Roman" w:cs="Times New Roman" w:ascii="Times new roman" w:hAnsi="Times new roman"/>
              <w:sz w:val="20"/>
              <w:szCs w:val="20"/>
            </w:rPr>
            <w:t>2</w:t>
          </w:r>
        </w:p>
      </w:tc>
      <w:tc>
        <w:tcPr>
          <w:tcW w:w="3689" w:type="dxa"/>
          <w:tcBorders/>
          <w:shd w:fill="auto" w:val="clear"/>
        </w:tcPr>
        <w:p>
          <w:pPr>
            <w:pStyle w:val="Normal"/>
            <w:widowControl w:val="false"/>
            <w:tabs>
              <w:tab w:val="clear" w:pos="709"/>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bidi w:val="0"/>
      <w:jc w:val="left"/>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3"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9"/>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 No. 1</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 pp. 1</w:t>
          </w:r>
          <w:r>
            <w:rPr>
              <w:rFonts w:eastAsia="Times New Roman" w:cs="Times New Roman" w:ascii="Times new roman" w:hAnsi="Times new roman"/>
              <w:sz w:val="20"/>
              <w:szCs w:val="20"/>
            </w:rPr>
            <w:t>0</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p>
        <w:p>
          <w:pPr>
            <w:pStyle w:val="Normal"/>
            <w:widowControl w:val="false"/>
            <w:tabs>
              <w:tab w:val="clear" w:pos="709"/>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Julio - </w:t>
          </w:r>
          <w:r>
            <w:rPr>
              <w:rFonts w:eastAsia="Times New Roman" w:cs="Times New Roman" w:ascii="Times new roman" w:hAnsi="Times new roman"/>
              <w:sz w:val="20"/>
              <w:szCs w:val="20"/>
            </w:rPr>
            <w:t>Diciembre 202</w:t>
          </w:r>
          <w:r>
            <w:rPr>
              <w:rFonts w:eastAsia="Times New Roman" w:cs="Times New Roman" w:ascii="Times new roman" w:hAnsi="Times new roman"/>
              <w:sz w:val="20"/>
              <w:szCs w:val="20"/>
            </w:rPr>
            <w:t>2</w:t>
          </w:r>
        </w:p>
      </w:tc>
      <w:tc>
        <w:tcPr>
          <w:tcW w:w="3689" w:type="dxa"/>
          <w:tcBorders/>
          <w:shd w:fill="auto" w:val="clear"/>
        </w:tcPr>
        <w:p>
          <w:pPr>
            <w:pStyle w:val="Normal"/>
            <w:widowControl w:val="false"/>
            <w:tabs>
              <w:tab w:val="clear" w:pos="709"/>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bidi w:val="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Lohit Devanagari"/>
      <w:color w:val="auto"/>
      <w:kern w:val="2"/>
      <w:sz w:val="24"/>
      <w:szCs w:val="24"/>
      <w:lang w:val="es-MX" w:eastAsia="zh-CN" w:bidi="hi-IN"/>
    </w:rPr>
  </w:style>
  <w:style w:type="paragraph" w:styleId="Ttulo1">
    <w:name w:val="Heading 1"/>
    <w:next w:val="Normal"/>
    <w:qFormat/>
    <w:pPr>
      <w:keepNext w:val="true"/>
      <w:keepLines/>
      <w:widowControl w:val="false"/>
      <w:bidi w:val="0"/>
      <w:spacing w:before="400" w:after="120"/>
      <w:contextualSpacing/>
      <w:jc w:val="left"/>
      <w:outlineLvl w:val="0"/>
    </w:pPr>
    <w:rPr>
      <w:rFonts w:ascii="Liberation Serif" w:hAnsi="Liberation Serif" w:eastAsia="Noto Serif CJK SC" w:cs="Lohit Devanagari"/>
      <w:color w:val="auto"/>
      <w:kern w:val="2"/>
      <w:sz w:val="40"/>
      <w:szCs w:val="40"/>
      <w:lang w:val="es-MX" w:eastAsia="zh-CN" w:bidi="hi-IN"/>
    </w:rPr>
  </w:style>
  <w:style w:type="paragraph" w:styleId="Ttulo2">
    <w:name w:val="Heading 2"/>
    <w:next w:val="Normal"/>
    <w:qFormat/>
    <w:pPr>
      <w:keepNext w:val="true"/>
      <w:keepLines/>
      <w:widowControl w:val="false"/>
      <w:bidi w:val="0"/>
      <w:spacing w:before="360" w:after="120"/>
      <w:contextualSpacing/>
      <w:jc w:val="left"/>
      <w:outlineLvl w:val="1"/>
    </w:pPr>
    <w:rPr>
      <w:rFonts w:ascii="Liberation Serif" w:hAnsi="Liberation Serif" w:eastAsia="Noto Serif CJK SC" w:cs="Lohit Devanagari"/>
      <w:color w:val="auto"/>
      <w:kern w:val="2"/>
      <w:sz w:val="32"/>
      <w:szCs w:val="32"/>
      <w:lang w:val="es-MX" w:eastAsia="zh-CN" w:bidi="hi-IN"/>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Bibliography">
    <w:name w:val="Bibliography"/>
    <w:basedOn w:val="Normal"/>
    <w:next w:val="Normal"/>
    <w:qFormat/>
    <w:pPr>
      <w:spacing w:before="0" w:after="200"/>
    </w:pPr>
    <w:rPr>
      <w:rFonts w:ascii="Calibri" w:hAnsi="Calibri" w:eastAsia="Calibri" w:cs="Times New Roman"/>
      <w:color w:val="00000A"/>
      <w:lang w:eastAsia="en-US" w:bidi="ar-SA"/>
    </w:rPr>
  </w:style>
  <w:style w:type="paragraph" w:styleId="ListParagraph">
    <w:name w:val="List Paragraph"/>
    <w:basedOn w:val="Normal"/>
    <w:qFormat/>
    <w:pPr>
      <w:spacing w:before="0" w:after="200"/>
      <w:ind w:left="720" w:hanging="0"/>
      <w:contextualSpacing/>
    </w:pPr>
    <w:rPr>
      <w:rFonts w:ascii="Calibri" w:hAnsi="Calibri" w:eastAsia="Calibri" w:cs="Times New Roman"/>
      <w:color w:val="00000A"/>
      <w:lang w:eastAsia="en-US" w:bidi="ar-SA"/>
    </w:rPr>
  </w:style>
  <w:style w:type="paragraph" w:styleId="Caption">
    <w:name w:val="caption"/>
    <w:basedOn w:val="Normal"/>
    <w:qFormat/>
    <w:pPr>
      <w:suppressLineNumbers/>
      <w:spacing w:before="120" w:after="120"/>
    </w:pPr>
    <w:rPr>
      <w:rFonts w:cs="FreeSans"/>
      <w:i/>
      <w:iCs/>
      <w:sz w:val="24"/>
      <w:szCs w:val="24"/>
    </w:rPr>
  </w:style>
  <w:style w:type="paragraph" w:styleId="Cabeceraypie">
    <w:name w:val="Cabecera y pie"/>
    <w:basedOn w:val="Normal"/>
    <w:qFormat/>
    <w:pPr>
      <w:suppressLineNumbers/>
      <w:tabs>
        <w:tab w:val="clear" w:pos="709"/>
        <w:tab w:val="center" w:pos="4819" w:leader="none"/>
        <w:tab w:val="right" w:pos="9638"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Cabeceraizquierda">
    <w:name w:val="Cabecera izquierda"/>
    <w:basedOn w:val="Cabecera"/>
    <w:qFormat/>
    <w:pPr>
      <w:suppressLineNumbers/>
    </w:pPr>
    <w:rPr/>
  </w:style>
  <w:style w:type="paragraph" w:styleId="Contenidodelatabla">
    <w:name w:val="Contenido de la tabla"/>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diagramData" Target="diagrams/data3.xml"/><Relationship Id="rId10" Type="http://schemas.openxmlformats.org/officeDocument/2006/relationships/diagramLayout" Target="diagrams/layout3.xml"/><Relationship Id="rId11" Type="http://schemas.openxmlformats.org/officeDocument/2006/relationships/diagramQuickStyle" Target="diagrams/quickStyle3.xml"/><Relationship Id="rId12" Type="http://schemas.openxmlformats.org/officeDocument/2006/relationships/diagramColors" Target="diagrams/colors3.xml"/><Relationship Id="rId13" Type="http://schemas.microsoft.com/office/2007/relationships/diagramDrawing" Target="diagrams/drawing3.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12.png"/>
</Relationships>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3.xml><?xml version="1.0" encoding="utf-8"?>
<dgm:dataModel xmlns:dgm="http://schemas.openxmlformats.org/drawingml/2006/diagram" xmlns:a="http://schemas.openxmlformats.org/drawingml/2006/main">
  <dgm:ptLst>
    <dgm:pt modelId="{767E6527-0947-49D6-BFD7-E64078DACDFB}"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s-ES"/>
        </a:p>
      </dgm:t>
    </dgm:pt>
    <dgm:pt modelId="{F3EC67BC-1830-4834-A062-8B9BF9AAC767}">
      <dgm:prSet phldrT="[Texto]"/>
      <dgm:spPr/>
      <dgm:t>
        <a:bodyPr/>
        <a:lstStyle/>
        <a:p>
          <a:pPr algn="ctr"/>
          <a:r>
            <a:rPr lang="es-ES"/>
            <a:t>Alimento 1 </a:t>
          </a:r>
        </a:p>
      </dgm:t>
    </dgm:pt>
    <dgm:pt modelId="{1CF73191-7EF1-4BF5-AB4D-833ADBAF5E3D}" type="parTrans" cxnId="{E160D767-8A52-449A-ADC9-C6EC8ABDAEBE}">
      <dgm:prSet/>
      <dgm:spPr/>
      <dgm:t>
        <a:bodyPr/>
        <a:lstStyle/>
        <a:p>
          <a:pPr algn="ctr"/>
          <a:endParaRPr lang="es-ES"/>
        </a:p>
      </dgm:t>
    </dgm:pt>
    <dgm:pt modelId="{8493A566-F3DC-4DCB-9C8F-8B04445EE910}" type="sibTrans" cxnId="{E160D767-8A52-449A-ADC9-C6EC8ABDAEBE}">
      <dgm:prSet/>
      <dgm:spPr/>
    </dgm:pt>
    <dgm:pt modelId="{F667B7FE-8348-412B-B56E-5BFBCD749F54}">
      <dgm:prSet phldrT="[Texto]"/>
      <dgm:spPr/>
      <dgm:t>
        <a:bodyPr/>
        <a:lstStyle/>
        <a:p>
          <a:pPr algn="ctr"/>
          <a:r>
            <a:rPr lang="es-ES"/>
            <a:t>Alimento 2</a:t>
          </a:r>
        </a:p>
      </dgm:t>
    </dgm:pt>
    <dgm:pt modelId="{EEEF7345-6D05-45E4-8591-ABF77C79EEC1}" type="parTrans" cxnId="{2BE81A97-EC94-4351-BE0F-33DF8E2B9B05}">
      <dgm:prSet/>
      <dgm:spPr/>
      <dgm:t>
        <a:bodyPr/>
        <a:lstStyle/>
        <a:p>
          <a:pPr algn="ctr"/>
          <a:endParaRPr lang="es-ES"/>
        </a:p>
      </dgm:t>
    </dgm:pt>
    <dgm:pt modelId="{9EE47F14-B7E4-48D0-8498-E44100A7C35C}" type="sibTrans" cxnId="{2BE81A97-EC94-4351-BE0F-33DF8E2B9B05}">
      <dgm:prSet/>
      <dgm:spPr/>
    </dgm:pt>
    <dgm:pt modelId="{F2954A18-FF38-4466-B221-878B47C65990}">
      <dgm:prSet phldrT="[Texto]"/>
      <dgm:spPr/>
      <dgm:t>
        <a:bodyPr/>
        <a:lstStyle/>
        <a:p>
          <a:pPr algn="ctr"/>
          <a:r>
            <a:rPr lang="es-ES"/>
            <a:t>Alimento 3</a:t>
          </a:r>
        </a:p>
      </dgm:t>
    </dgm:pt>
    <dgm:pt modelId="{9254D722-42CE-405F-BA68-87CBA8C87416}" type="parTrans" cxnId="{4E66EE59-DA45-4B46-B7B0-042325CF4D13}">
      <dgm:prSet/>
      <dgm:spPr/>
      <dgm:t>
        <a:bodyPr/>
        <a:lstStyle/>
        <a:p>
          <a:pPr algn="ctr"/>
          <a:endParaRPr lang="es-ES"/>
        </a:p>
      </dgm:t>
    </dgm:pt>
    <dgm:pt modelId="{BA296E97-B8FA-4956-8154-3F8B650CF3F9}" type="sibTrans" cxnId="{4E66EE59-DA45-4B46-B7B0-042325CF4D13}">
      <dgm:prSet/>
      <dgm:spPr/>
    </dgm:pt>
    <dgm:pt modelId="{1D62B541-8508-4C0C-96AE-9855432B6980}">
      <dgm:prSet phldrT="[Texto]"/>
      <dgm:spPr/>
      <dgm:t>
        <a:bodyPr/>
        <a:lstStyle/>
        <a:p>
          <a:pPr algn="ctr"/>
          <a:r>
            <a:rPr lang="es-ES"/>
            <a:t>Alimento 4</a:t>
          </a:r>
        </a:p>
      </dgm:t>
    </dgm:pt>
    <dgm:pt modelId="{1FAF0B5B-E3AE-4ECA-A2D6-7E1FF9419A5D}" type="parTrans" cxnId="{DB7612AD-3716-4C31-92DB-69020DD45B27}">
      <dgm:prSet/>
      <dgm:spPr/>
      <dgm:t>
        <a:bodyPr/>
        <a:lstStyle/>
        <a:p>
          <a:pPr algn="ctr"/>
          <a:endParaRPr lang="es-ES"/>
        </a:p>
      </dgm:t>
    </dgm:pt>
    <dgm:pt modelId="{E6145C63-EA76-47CE-83E7-05B4C06D9D23}" type="sibTrans" cxnId="{DB7612AD-3716-4C31-92DB-69020DD45B27}">
      <dgm:prSet/>
      <dgm:spPr/>
    </dgm:pt>
    <dgm:pt modelId="{417FCC19-1CC8-4E58-8E7A-9DC67AF689F9}">
      <dgm:prSet phldrT="[Texto]"/>
      <dgm:spPr/>
      <dgm:t>
        <a:bodyPr/>
        <a:lstStyle/>
        <a:p>
          <a:pPr algn="ctr"/>
          <a:r>
            <a:rPr lang="es-ES"/>
            <a:t>Alimento 5</a:t>
          </a:r>
        </a:p>
      </dgm:t>
    </dgm:pt>
    <dgm:pt modelId="{2829FACE-EB81-407F-8213-4CCDCE839647}" type="parTrans" cxnId="{C3AC0C4E-C600-4F23-97BE-CD44B00DD63C}">
      <dgm:prSet/>
      <dgm:spPr/>
      <dgm:t>
        <a:bodyPr/>
        <a:lstStyle/>
        <a:p>
          <a:pPr algn="ctr"/>
          <a:endParaRPr lang="es-ES"/>
        </a:p>
      </dgm:t>
    </dgm:pt>
    <dgm:pt modelId="{5A6C044C-204F-4376-91B3-B9D0BC4257FC}" type="sibTrans" cxnId="{C3AC0C4E-C600-4F23-97BE-CD44B00DD63C}">
      <dgm:prSet/>
      <dgm:spPr/>
    </dgm:pt>
    <dgm:pt modelId="{B9325BBE-5432-4CE1-AF07-74CB14060984}">
      <dgm:prSet phldrT="[Texto]"/>
      <dgm:spPr/>
      <dgm:t>
        <a:bodyPr/>
        <a:lstStyle/>
        <a:p>
          <a:pPr algn="ctr"/>
          <a:r>
            <a:rPr lang="es-ES"/>
            <a:t>Numero de lombrices por pileta.</a:t>
          </a:r>
        </a:p>
      </dgm:t>
    </dgm:pt>
    <dgm:pt modelId="{D2FD3713-D352-4192-89D7-19FD42D8A47C}" type="parTrans" cxnId="{34498129-A735-48E3-983D-E7DAE51851A8}">
      <dgm:prSet/>
      <dgm:spPr/>
      <dgm:t>
        <a:bodyPr/>
        <a:lstStyle/>
        <a:p>
          <a:pPr algn="ctr"/>
          <a:endParaRPr lang="es-ES"/>
        </a:p>
      </dgm:t>
    </dgm:pt>
    <dgm:pt modelId="{6FAB6FAC-2DDA-4013-A822-C5951311A38C}" type="sibTrans" cxnId="{34498129-A735-48E3-983D-E7DAE51851A8}">
      <dgm:prSet/>
      <dgm:spPr/>
    </dgm:pt>
    <dgm:pt modelId="{F2D22C35-CFF8-4C5D-AEA6-816C8CD80E84}">
      <dgm:prSet/>
      <dgm:spPr/>
      <dgm:t>
        <a:bodyPr/>
        <a:lstStyle/>
        <a:p>
          <a:pPr algn="ctr"/>
          <a:r>
            <a:rPr lang="es-MX"/>
            <a:t>0% Sargazo arribazón</a:t>
          </a:r>
        </a:p>
      </dgm:t>
    </dgm:pt>
    <dgm:pt modelId="{EB4F3926-561D-43C9-BFA8-E839D8FF5420}" type="parTrans" cxnId="{AA0B69FF-5C0D-4A5F-A062-7D0C6E34209A}">
      <dgm:prSet/>
      <dgm:spPr/>
      <dgm:t>
        <a:bodyPr/>
        <a:lstStyle/>
        <a:p>
          <a:pPr algn="ctr"/>
          <a:endParaRPr lang="es-MX"/>
        </a:p>
      </dgm:t>
    </dgm:pt>
    <dgm:pt modelId="{9A6CE199-167E-4E4B-940F-47032F7B2A4D}" type="sibTrans" cxnId="{AA0B69FF-5C0D-4A5F-A062-7D0C6E34209A}">
      <dgm:prSet/>
      <dgm:spPr/>
      <dgm:t>
        <a:bodyPr/>
        <a:lstStyle/>
        <a:p>
          <a:pPr algn="ctr"/>
          <a:endParaRPr lang="es-MX"/>
        </a:p>
      </dgm:t>
    </dgm:pt>
    <dgm:pt modelId="{CA689AF8-838B-4EBB-B664-DF25CEC69A96}">
      <dgm:prSet/>
      <dgm:spPr/>
      <dgm:t>
        <a:bodyPr/>
        <a:lstStyle/>
        <a:p>
          <a:pPr algn="ctr"/>
          <a:r>
            <a:rPr lang="es-MX"/>
            <a:t>25% Sargazo Arribazón</a:t>
          </a:r>
        </a:p>
      </dgm:t>
    </dgm:pt>
    <dgm:pt modelId="{AB098700-F970-4491-9EF2-C5D1BD475820}" type="parTrans" cxnId="{747EEF62-D2A7-4DF0-A196-4A1EB88A142E}">
      <dgm:prSet/>
      <dgm:spPr/>
      <dgm:t>
        <a:bodyPr/>
        <a:lstStyle/>
        <a:p>
          <a:pPr algn="ctr"/>
          <a:endParaRPr lang="es-MX"/>
        </a:p>
      </dgm:t>
    </dgm:pt>
    <dgm:pt modelId="{BDE0AB23-1513-46D2-868B-3620FFCF64CF}" type="sibTrans" cxnId="{747EEF62-D2A7-4DF0-A196-4A1EB88A142E}">
      <dgm:prSet/>
      <dgm:spPr/>
      <dgm:t>
        <a:bodyPr/>
        <a:lstStyle/>
        <a:p>
          <a:pPr algn="ctr"/>
          <a:endParaRPr lang="es-MX"/>
        </a:p>
      </dgm:t>
    </dgm:pt>
    <dgm:pt modelId="{25F1C117-F411-4E3E-AACB-5F010F26825E}">
      <dgm:prSet/>
      <dgm:spPr/>
      <dgm:t>
        <a:bodyPr/>
        <a:lstStyle/>
        <a:p>
          <a:pPr algn="ctr"/>
          <a:r>
            <a:rPr lang="es-MX"/>
            <a:t>50% Sargazo Arribazón</a:t>
          </a:r>
        </a:p>
      </dgm:t>
    </dgm:pt>
    <dgm:pt modelId="{7E1BC9C4-137C-4F2D-85E2-314D131A86F0}" type="parTrans" cxnId="{463A3809-A6EC-465A-96BC-F644BB0CEFC0}">
      <dgm:prSet/>
      <dgm:spPr/>
      <dgm:t>
        <a:bodyPr/>
        <a:lstStyle/>
        <a:p>
          <a:pPr algn="ctr"/>
          <a:endParaRPr lang="es-MX"/>
        </a:p>
      </dgm:t>
    </dgm:pt>
    <dgm:pt modelId="{87C91205-8B62-4634-B8F9-8AF73B6DC46C}" type="sibTrans" cxnId="{463A3809-A6EC-465A-96BC-F644BB0CEFC0}">
      <dgm:prSet/>
      <dgm:spPr/>
      <dgm:t>
        <a:bodyPr/>
        <a:lstStyle/>
        <a:p>
          <a:pPr algn="ctr"/>
          <a:endParaRPr lang="es-MX"/>
        </a:p>
      </dgm:t>
    </dgm:pt>
    <dgm:pt modelId="{C9084ED9-D907-4C5E-A760-F2EB1A2FD953}">
      <dgm:prSet/>
      <dgm:spPr/>
      <dgm:t>
        <a:bodyPr/>
        <a:lstStyle/>
        <a:p>
          <a:pPr algn="ctr"/>
          <a:r>
            <a:rPr lang="es-MX"/>
            <a:t>75% Sargazo Arribazón</a:t>
          </a:r>
        </a:p>
      </dgm:t>
    </dgm:pt>
    <dgm:pt modelId="{EB352B83-C64F-41D9-937B-2654AEEE04D5}" type="parTrans" cxnId="{69F0F48F-0679-4E34-A8BB-1FACBA6697E5}">
      <dgm:prSet/>
      <dgm:spPr/>
      <dgm:t>
        <a:bodyPr/>
        <a:lstStyle/>
        <a:p>
          <a:pPr algn="ctr"/>
          <a:endParaRPr lang="es-MX"/>
        </a:p>
      </dgm:t>
    </dgm:pt>
    <dgm:pt modelId="{334B8E36-344A-47E4-B0CC-06CA9D39A3CE}" type="sibTrans" cxnId="{69F0F48F-0679-4E34-A8BB-1FACBA6697E5}">
      <dgm:prSet/>
      <dgm:spPr/>
      <dgm:t>
        <a:bodyPr/>
        <a:lstStyle/>
        <a:p>
          <a:pPr algn="ctr"/>
          <a:endParaRPr lang="es-MX"/>
        </a:p>
      </dgm:t>
    </dgm:pt>
    <dgm:pt modelId="{2E320FE4-0546-47AB-B6FA-FA34BB34F632}">
      <dgm:prSet/>
      <dgm:spPr/>
      <dgm:t>
        <a:bodyPr/>
        <a:lstStyle/>
        <a:p>
          <a:pPr algn="ctr"/>
          <a:r>
            <a:rPr lang="es-MX"/>
            <a:t>100% Sargazo Arribazón</a:t>
          </a:r>
        </a:p>
      </dgm:t>
    </dgm:pt>
    <dgm:pt modelId="{0F2CDF5E-3501-4238-8E84-69458857667D}" type="parTrans" cxnId="{27D21EB9-2DAC-4B25-BB1F-9990095CE2FA}">
      <dgm:prSet/>
      <dgm:spPr/>
      <dgm:t>
        <a:bodyPr/>
        <a:lstStyle/>
        <a:p>
          <a:pPr algn="ctr"/>
          <a:endParaRPr lang="es-MX"/>
        </a:p>
      </dgm:t>
    </dgm:pt>
    <dgm:pt modelId="{A9AC9510-EE7D-4012-B92B-01708418B64F}" type="sibTrans" cxnId="{27D21EB9-2DAC-4B25-BB1F-9990095CE2FA}">
      <dgm:prSet/>
      <dgm:spPr/>
      <dgm:t>
        <a:bodyPr/>
        <a:lstStyle/>
        <a:p>
          <a:pPr algn="ctr"/>
          <a:endParaRPr lang="es-MX"/>
        </a:p>
      </dgm:t>
    </dgm:pt>
    <dgm:pt modelId="{92D4FF31-2165-406D-A3B1-1B6CD07C8232}">
      <dgm:prSet/>
      <dgm:spPr/>
      <dgm:t>
        <a:bodyPr/>
        <a:lstStyle/>
        <a:p>
          <a:pPr algn="ctr"/>
          <a:r>
            <a:rPr lang="es-MX"/>
            <a:t>75% Materia organica</a:t>
          </a:r>
        </a:p>
      </dgm:t>
    </dgm:pt>
    <dgm:pt modelId="{AE71448A-8D38-4628-9A9E-47CB4CB2A4F0}" type="parTrans" cxnId="{07216A06-D0D4-44D4-96E0-369E9386C373}">
      <dgm:prSet/>
      <dgm:spPr/>
      <dgm:t>
        <a:bodyPr/>
        <a:lstStyle/>
        <a:p>
          <a:pPr algn="ctr"/>
          <a:endParaRPr lang="es-MX"/>
        </a:p>
      </dgm:t>
    </dgm:pt>
    <dgm:pt modelId="{1AE820B0-FDAC-4552-A430-CF67E6AB77D6}" type="sibTrans" cxnId="{07216A06-D0D4-44D4-96E0-369E9386C373}">
      <dgm:prSet/>
      <dgm:spPr/>
      <dgm:t>
        <a:bodyPr/>
        <a:lstStyle/>
        <a:p>
          <a:pPr algn="ctr"/>
          <a:endParaRPr lang="es-MX"/>
        </a:p>
      </dgm:t>
    </dgm:pt>
    <dgm:pt modelId="{A06F9AD8-C563-4E0D-A599-1BDF24618DFB}">
      <dgm:prSet/>
      <dgm:spPr/>
      <dgm:t>
        <a:bodyPr/>
        <a:lstStyle/>
        <a:p>
          <a:pPr algn="ctr"/>
          <a:r>
            <a:rPr lang="es-MX"/>
            <a:t>50% Materia organica</a:t>
          </a:r>
        </a:p>
      </dgm:t>
    </dgm:pt>
    <dgm:pt modelId="{5DE27FF4-E0EC-45BB-BE14-6FBC9528D2B1}" type="parTrans" cxnId="{10998B8C-0E59-4261-B21D-F18F2D410D5E}">
      <dgm:prSet/>
      <dgm:spPr/>
      <dgm:t>
        <a:bodyPr/>
        <a:lstStyle/>
        <a:p>
          <a:pPr algn="ctr"/>
          <a:endParaRPr lang="es-MX"/>
        </a:p>
      </dgm:t>
    </dgm:pt>
    <dgm:pt modelId="{6F3A4A6F-503F-4B62-A417-B42E8C17BA5F}" type="sibTrans" cxnId="{10998B8C-0E59-4261-B21D-F18F2D410D5E}">
      <dgm:prSet/>
      <dgm:spPr/>
      <dgm:t>
        <a:bodyPr/>
        <a:lstStyle/>
        <a:p>
          <a:pPr algn="ctr"/>
          <a:endParaRPr lang="es-MX"/>
        </a:p>
      </dgm:t>
    </dgm:pt>
    <dgm:pt modelId="{D9B326BF-CF43-4C5D-96C8-39E8C5CBC108}">
      <dgm:prSet/>
      <dgm:spPr/>
      <dgm:t>
        <a:bodyPr/>
        <a:lstStyle/>
        <a:p>
          <a:pPr algn="ctr"/>
          <a:r>
            <a:rPr lang="es-MX"/>
            <a:t>25% Materia organica</a:t>
          </a:r>
        </a:p>
      </dgm:t>
    </dgm:pt>
    <dgm:pt modelId="{6886BFFB-319F-41C3-9AFC-F54592B8E439}" type="parTrans" cxnId="{64D9683B-C086-42E5-9B54-458DE947316B}">
      <dgm:prSet/>
      <dgm:spPr/>
      <dgm:t>
        <a:bodyPr/>
        <a:lstStyle/>
        <a:p>
          <a:pPr algn="ctr"/>
          <a:endParaRPr lang="es-MX"/>
        </a:p>
      </dgm:t>
    </dgm:pt>
    <dgm:pt modelId="{80ACA9E4-3B81-49A4-8707-CF2773133D28}" type="sibTrans" cxnId="{64D9683B-C086-42E5-9B54-458DE947316B}">
      <dgm:prSet/>
      <dgm:spPr/>
      <dgm:t>
        <a:bodyPr/>
        <a:lstStyle/>
        <a:p>
          <a:pPr algn="ctr"/>
          <a:endParaRPr lang="es-MX"/>
        </a:p>
      </dgm:t>
    </dgm:pt>
    <dgm:pt modelId="{03250690-881C-4BC7-91BC-136A92428BD2}">
      <dgm:prSet/>
      <dgm:spPr/>
      <dgm:t>
        <a:bodyPr/>
        <a:lstStyle/>
        <a:p>
          <a:pPr algn="ctr"/>
          <a:r>
            <a:rPr lang="es-MX"/>
            <a:t>0% Materia organica</a:t>
          </a:r>
        </a:p>
      </dgm:t>
    </dgm:pt>
    <dgm:pt modelId="{5EB36693-DAF0-4B44-84BA-B61D76A68074}" type="parTrans" cxnId="{4E0F8041-9200-4801-BC0D-E6090CCD0259}">
      <dgm:prSet/>
      <dgm:spPr/>
      <dgm:t>
        <a:bodyPr/>
        <a:lstStyle/>
        <a:p>
          <a:pPr algn="ctr"/>
          <a:endParaRPr lang="es-MX"/>
        </a:p>
      </dgm:t>
    </dgm:pt>
    <dgm:pt modelId="{55B5B4B8-DD30-40F3-B341-A61CDEFDE018}" type="sibTrans" cxnId="{4E0F8041-9200-4801-BC0D-E6090CCD0259}">
      <dgm:prSet/>
      <dgm:spPr/>
      <dgm:t>
        <a:bodyPr/>
        <a:lstStyle/>
        <a:p>
          <a:pPr algn="ctr"/>
          <a:endParaRPr lang="es-MX"/>
        </a:p>
      </dgm:t>
    </dgm:pt>
    <dgm:pt modelId="{B9285E6F-59C8-4580-AD37-F8CFB7094EA1}">
      <dgm:prSet/>
      <dgm:spPr/>
      <dgm:t>
        <a:bodyPr/>
        <a:lstStyle/>
        <a:p>
          <a:pPr algn="ctr"/>
          <a:r>
            <a:rPr lang="es-MX"/>
            <a:t>100% Materia organica</a:t>
          </a:r>
        </a:p>
      </dgm:t>
    </dgm:pt>
    <dgm:pt modelId="{7081154B-B035-466E-88A8-0EB6593BE134}" type="parTrans" cxnId="{635750D9-9DC5-4477-A52E-655237F7BE75}">
      <dgm:prSet/>
      <dgm:spPr/>
      <dgm:t>
        <a:bodyPr/>
        <a:lstStyle/>
        <a:p>
          <a:pPr algn="ctr"/>
          <a:endParaRPr lang="es-MX"/>
        </a:p>
      </dgm:t>
    </dgm:pt>
    <dgm:pt modelId="{6B844C3F-DC87-4513-953A-9BDC27294116}" type="sibTrans" cxnId="{635750D9-9DC5-4477-A52E-655237F7BE75}">
      <dgm:prSet/>
      <dgm:spPr/>
      <dgm:t>
        <a:bodyPr/>
        <a:lstStyle/>
        <a:p>
          <a:pPr algn="ctr"/>
          <a:endParaRPr lang="es-MX"/>
        </a:p>
      </dgm:t>
    </dgm:pt>
    <dgm:pt modelId="{E14711B2-814A-4A19-8471-2B5C192ECA55}">
      <dgm:prSet/>
      <dgm:spPr/>
      <dgm:t>
        <a:bodyPr/>
        <a:lstStyle/>
        <a:p>
          <a:pPr algn="ctr"/>
          <a:r>
            <a:rPr lang="es-MX"/>
            <a:t>15 lombrices por pileta</a:t>
          </a:r>
        </a:p>
      </dgm:t>
    </dgm:pt>
    <dgm:pt modelId="{88B08648-677D-4663-B5D3-C9EE1CE6EF2F}" type="parTrans" cxnId="{D4ACD6BA-90B7-48B1-B1D2-8FE777271940}">
      <dgm:prSet/>
      <dgm:spPr/>
      <dgm:t>
        <a:bodyPr/>
        <a:lstStyle/>
        <a:p>
          <a:pPr algn="ctr"/>
          <a:endParaRPr lang="es-MX"/>
        </a:p>
      </dgm:t>
    </dgm:pt>
    <dgm:pt modelId="{B9E44A9A-1A07-455F-8426-D5848AB846A1}" type="sibTrans" cxnId="{D4ACD6BA-90B7-48B1-B1D2-8FE777271940}">
      <dgm:prSet/>
      <dgm:spPr/>
      <dgm:t>
        <a:bodyPr/>
        <a:lstStyle/>
        <a:p>
          <a:pPr algn="ctr"/>
          <a:endParaRPr lang="es-MX"/>
        </a:p>
      </dgm:t>
    </dgm:pt>
    <dgm:pt modelId="{5B2E33E5-C16B-44B2-B7C0-C98F6814EF06}" type="pres">
      <dgm:prSet presAssocID="{767E6527-0947-49D6-BFD7-E64078DACDFB}" presName="theList" presStyleCnt="0">
        <dgm:presLayoutVars>
          <dgm:dir/>
          <dgm:animLvl val="lvl"/>
          <dgm:resizeHandles val="exact"/>
        </dgm:presLayoutVars>
      </dgm:prSet>
      <dgm:spPr/>
      <dgm:t>
        <a:bodyPr/>
        <a:lstStyle/>
        <a:p>
          <a:endParaRPr lang="es-MX"/>
        </a:p>
      </dgm:t>
    </dgm:pt>
    <dgm:pt modelId="{12A20983-C6A4-4733-B143-C4803F994227}" type="pres">
      <dgm:prSet presAssocID="{F3EC67BC-1830-4834-A062-8B9BF9AAC767}" presName="compNode" presStyleCnt="0"/>
      <dgm:spPr/>
    </dgm:pt>
    <dgm:pt modelId="{C68F0822-C837-45DB-97DE-8B4755B4FC3E}" type="pres">
      <dgm:prSet presAssocID="{F3EC67BC-1830-4834-A062-8B9BF9AAC767}" presName="aNode" presStyleLbl="bgShp" presStyleIdx="0" presStyleCnt="6"/>
      <dgm:spPr/>
      <dgm:t>
        <a:bodyPr/>
        <a:lstStyle/>
        <a:p>
          <a:endParaRPr lang="es-MX"/>
        </a:p>
      </dgm:t>
    </dgm:pt>
    <dgm:pt modelId="{8E1FDC99-0FA4-43E4-BAAA-7F0A4B2D2E7D}" type="pres">
      <dgm:prSet presAssocID="{F3EC67BC-1830-4834-A062-8B9BF9AAC767}" presName="textNode" presStyleLbl="bgShp" presStyleIdx="0" presStyleCnt="6"/>
      <dgm:spPr/>
      <dgm:t>
        <a:bodyPr/>
        <a:lstStyle/>
        <a:p>
          <a:endParaRPr lang="es-MX"/>
        </a:p>
      </dgm:t>
    </dgm:pt>
    <dgm:pt modelId="{FCDB51C5-0E66-4B71-9698-36940FB31531}" type="pres">
      <dgm:prSet presAssocID="{F3EC67BC-1830-4834-A062-8B9BF9AAC767}" presName="compChildNode" presStyleCnt="0"/>
      <dgm:spPr/>
    </dgm:pt>
    <dgm:pt modelId="{91C80DF3-9169-455B-9FA2-FE475549075D}" type="pres">
      <dgm:prSet presAssocID="{F3EC67BC-1830-4834-A062-8B9BF9AAC767}" presName="theInnerList" presStyleCnt="0"/>
      <dgm:spPr/>
    </dgm:pt>
    <dgm:pt modelId="{5D41EBF6-96A8-4E82-8AE6-57E1BE8E43EB}" type="pres">
      <dgm:prSet presAssocID="{F2D22C35-CFF8-4C5D-AEA6-816C8CD80E84}" presName="childNode" presStyleLbl="node1" presStyleIdx="0" presStyleCnt="11">
        <dgm:presLayoutVars>
          <dgm:bulletEnabled val="1"/>
        </dgm:presLayoutVars>
      </dgm:prSet>
      <dgm:spPr/>
      <dgm:t>
        <a:bodyPr/>
        <a:lstStyle/>
        <a:p>
          <a:endParaRPr lang="es-MX"/>
        </a:p>
      </dgm:t>
    </dgm:pt>
    <dgm:pt modelId="{43008AA5-EE9E-4EB0-9B5E-CC19A8A3413C}" type="pres">
      <dgm:prSet presAssocID="{F2D22C35-CFF8-4C5D-AEA6-816C8CD80E84}" presName="aSpace2" presStyleCnt="0"/>
      <dgm:spPr/>
    </dgm:pt>
    <dgm:pt modelId="{4D3DB9EC-D408-4218-9ABE-AE33398859C4}" type="pres">
      <dgm:prSet presAssocID="{B9285E6F-59C8-4580-AD37-F8CFB7094EA1}" presName="childNode" presStyleLbl="node1" presStyleIdx="1" presStyleCnt="11">
        <dgm:presLayoutVars>
          <dgm:bulletEnabled val="1"/>
        </dgm:presLayoutVars>
      </dgm:prSet>
      <dgm:spPr/>
      <dgm:t>
        <a:bodyPr/>
        <a:lstStyle/>
        <a:p>
          <a:endParaRPr lang="es-MX"/>
        </a:p>
      </dgm:t>
    </dgm:pt>
    <dgm:pt modelId="{A3CCFECC-7F90-452E-89A1-0C9FECD688BA}" type="pres">
      <dgm:prSet presAssocID="{F3EC67BC-1830-4834-A062-8B9BF9AAC767}" presName="aSpace" presStyleCnt="0"/>
      <dgm:spPr/>
    </dgm:pt>
    <dgm:pt modelId="{AE6D79BC-CF2D-4992-B1B4-7863CC7D500F}" type="pres">
      <dgm:prSet presAssocID="{F667B7FE-8348-412B-B56E-5BFBCD749F54}" presName="compNode" presStyleCnt="0"/>
      <dgm:spPr/>
    </dgm:pt>
    <dgm:pt modelId="{76931730-F9AB-4C7F-9EC9-53AE2D571551}" type="pres">
      <dgm:prSet presAssocID="{F667B7FE-8348-412B-B56E-5BFBCD749F54}" presName="aNode" presStyleLbl="bgShp" presStyleIdx="1" presStyleCnt="6"/>
      <dgm:spPr/>
      <dgm:t>
        <a:bodyPr/>
        <a:lstStyle/>
        <a:p>
          <a:endParaRPr lang="es-MX"/>
        </a:p>
      </dgm:t>
    </dgm:pt>
    <dgm:pt modelId="{F9BCB2FA-BDE0-4EF0-8443-47EB48BB8BB3}" type="pres">
      <dgm:prSet presAssocID="{F667B7FE-8348-412B-B56E-5BFBCD749F54}" presName="textNode" presStyleLbl="bgShp" presStyleIdx="1" presStyleCnt="6"/>
      <dgm:spPr/>
      <dgm:t>
        <a:bodyPr/>
        <a:lstStyle/>
        <a:p>
          <a:endParaRPr lang="es-MX"/>
        </a:p>
      </dgm:t>
    </dgm:pt>
    <dgm:pt modelId="{19C2E653-D40F-4990-BE3A-22BC99F02FDE}" type="pres">
      <dgm:prSet presAssocID="{F667B7FE-8348-412B-B56E-5BFBCD749F54}" presName="compChildNode" presStyleCnt="0"/>
      <dgm:spPr/>
    </dgm:pt>
    <dgm:pt modelId="{02446945-3148-4C63-BA80-507D1DD45A7B}" type="pres">
      <dgm:prSet presAssocID="{F667B7FE-8348-412B-B56E-5BFBCD749F54}" presName="theInnerList" presStyleCnt="0"/>
      <dgm:spPr/>
    </dgm:pt>
    <dgm:pt modelId="{C5520FD3-0F3C-4D11-B733-5F0A776B3AF6}" type="pres">
      <dgm:prSet presAssocID="{CA689AF8-838B-4EBB-B664-DF25CEC69A96}" presName="childNode" presStyleLbl="node1" presStyleIdx="2" presStyleCnt="11">
        <dgm:presLayoutVars>
          <dgm:bulletEnabled val="1"/>
        </dgm:presLayoutVars>
      </dgm:prSet>
      <dgm:spPr/>
      <dgm:t>
        <a:bodyPr/>
        <a:lstStyle/>
        <a:p>
          <a:endParaRPr lang="es-MX"/>
        </a:p>
      </dgm:t>
    </dgm:pt>
    <dgm:pt modelId="{DB99B2F3-314D-4270-ADBF-4F9DB2D9D3ED}" type="pres">
      <dgm:prSet presAssocID="{CA689AF8-838B-4EBB-B664-DF25CEC69A96}" presName="aSpace2" presStyleCnt="0"/>
      <dgm:spPr/>
    </dgm:pt>
    <dgm:pt modelId="{547C9B24-7214-40B0-923E-7F08055864E1}" type="pres">
      <dgm:prSet presAssocID="{92D4FF31-2165-406D-A3B1-1B6CD07C8232}" presName="childNode" presStyleLbl="node1" presStyleIdx="3" presStyleCnt="11">
        <dgm:presLayoutVars>
          <dgm:bulletEnabled val="1"/>
        </dgm:presLayoutVars>
      </dgm:prSet>
      <dgm:spPr/>
      <dgm:t>
        <a:bodyPr/>
        <a:lstStyle/>
        <a:p>
          <a:endParaRPr lang="es-MX"/>
        </a:p>
      </dgm:t>
    </dgm:pt>
    <dgm:pt modelId="{2C6F9B3E-C74F-4470-B7D6-9934B1B9E139}" type="pres">
      <dgm:prSet presAssocID="{F667B7FE-8348-412B-B56E-5BFBCD749F54}" presName="aSpace" presStyleCnt="0"/>
      <dgm:spPr/>
    </dgm:pt>
    <dgm:pt modelId="{25AE8DD4-3D3C-45B8-A817-F68197C90167}" type="pres">
      <dgm:prSet presAssocID="{F2954A18-FF38-4466-B221-878B47C65990}" presName="compNode" presStyleCnt="0"/>
      <dgm:spPr/>
    </dgm:pt>
    <dgm:pt modelId="{A3B9A9E5-F0CA-4BAD-9766-612520202229}" type="pres">
      <dgm:prSet presAssocID="{F2954A18-FF38-4466-B221-878B47C65990}" presName="aNode" presStyleLbl="bgShp" presStyleIdx="2" presStyleCnt="6"/>
      <dgm:spPr/>
      <dgm:t>
        <a:bodyPr/>
        <a:lstStyle/>
        <a:p>
          <a:endParaRPr lang="es-MX"/>
        </a:p>
      </dgm:t>
    </dgm:pt>
    <dgm:pt modelId="{073A44AD-858A-4CC6-A747-D4F43002601E}" type="pres">
      <dgm:prSet presAssocID="{F2954A18-FF38-4466-B221-878B47C65990}" presName="textNode" presStyleLbl="bgShp" presStyleIdx="2" presStyleCnt="6"/>
      <dgm:spPr/>
      <dgm:t>
        <a:bodyPr/>
        <a:lstStyle/>
        <a:p>
          <a:endParaRPr lang="es-MX"/>
        </a:p>
      </dgm:t>
    </dgm:pt>
    <dgm:pt modelId="{5C8B14A3-11E4-4C3B-ADA8-1A0856E133A5}" type="pres">
      <dgm:prSet presAssocID="{F2954A18-FF38-4466-B221-878B47C65990}" presName="compChildNode" presStyleCnt="0"/>
      <dgm:spPr/>
    </dgm:pt>
    <dgm:pt modelId="{4CE08434-773A-4C40-8F92-F6A57542B9ED}" type="pres">
      <dgm:prSet presAssocID="{F2954A18-FF38-4466-B221-878B47C65990}" presName="theInnerList" presStyleCnt="0"/>
      <dgm:spPr/>
    </dgm:pt>
    <dgm:pt modelId="{50063F1E-461F-4803-910B-99240B257995}" type="pres">
      <dgm:prSet presAssocID="{25F1C117-F411-4E3E-AACB-5F010F26825E}" presName="childNode" presStyleLbl="node1" presStyleIdx="4" presStyleCnt="11">
        <dgm:presLayoutVars>
          <dgm:bulletEnabled val="1"/>
        </dgm:presLayoutVars>
      </dgm:prSet>
      <dgm:spPr/>
      <dgm:t>
        <a:bodyPr/>
        <a:lstStyle/>
        <a:p>
          <a:endParaRPr lang="es-MX"/>
        </a:p>
      </dgm:t>
    </dgm:pt>
    <dgm:pt modelId="{E50B825C-49BE-48D4-BD4E-B1188352D1AC}" type="pres">
      <dgm:prSet presAssocID="{25F1C117-F411-4E3E-AACB-5F010F26825E}" presName="aSpace2" presStyleCnt="0"/>
      <dgm:spPr/>
    </dgm:pt>
    <dgm:pt modelId="{650C0589-E454-4077-9EE5-BCACF2D3D064}" type="pres">
      <dgm:prSet presAssocID="{A06F9AD8-C563-4E0D-A599-1BDF24618DFB}" presName="childNode" presStyleLbl="node1" presStyleIdx="5" presStyleCnt="11">
        <dgm:presLayoutVars>
          <dgm:bulletEnabled val="1"/>
        </dgm:presLayoutVars>
      </dgm:prSet>
      <dgm:spPr/>
      <dgm:t>
        <a:bodyPr/>
        <a:lstStyle/>
        <a:p>
          <a:endParaRPr lang="es-MX"/>
        </a:p>
      </dgm:t>
    </dgm:pt>
    <dgm:pt modelId="{B5A87881-81A6-4C94-803C-625449F0D37F}" type="pres">
      <dgm:prSet presAssocID="{F2954A18-FF38-4466-B221-878B47C65990}" presName="aSpace" presStyleCnt="0"/>
      <dgm:spPr/>
    </dgm:pt>
    <dgm:pt modelId="{11DECB76-ADA5-44C6-8F9A-0E515AF4F54B}" type="pres">
      <dgm:prSet presAssocID="{1D62B541-8508-4C0C-96AE-9855432B6980}" presName="compNode" presStyleCnt="0"/>
      <dgm:spPr/>
    </dgm:pt>
    <dgm:pt modelId="{0B088575-29C5-48DA-9575-A99290D70733}" type="pres">
      <dgm:prSet presAssocID="{1D62B541-8508-4C0C-96AE-9855432B6980}" presName="aNode" presStyleLbl="bgShp" presStyleIdx="3" presStyleCnt="6"/>
      <dgm:spPr/>
      <dgm:t>
        <a:bodyPr/>
        <a:lstStyle/>
        <a:p>
          <a:endParaRPr lang="es-MX"/>
        </a:p>
      </dgm:t>
    </dgm:pt>
    <dgm:pt modelId="{4284127D-3E18-4D66-8A67-6FAB0E49554C}" type="pres">
      <dgm:prSet presAssocID="{1D62B541-8508-4C0C-96AE-9855432B6980}" presName="textNode" presStyleLbl="bgShp" presStyleIdx="3" presStyleCnt="6"/>
      <dgm:spPr/>
      <dgm:t>
        <a:bodyPr/>
        <a:lstStyle/>
        <a:p>
          <a:endParaRPr lang="es-MX"/>
        </a:p>
      </dgm:t>
    </dgm:pt>
    <dgm:pt modelId="{831F7EC6-3C87-426F-B230-CFCD62373446}" type="pres">
      <dgm:prSet presAssocID="{1D62B541-8508-4C0C-96AE-9855432B6980}" presName="compChildNode" presStyleCnt="0"/>
      <dgm:spPr/>
    </dgm:pt>
    <dgm:pt modelId="{89E3F560-D14F-4954-A38C-29C919608EF3}" type="pres">
      <dgm:prSet presAssocID="{1D62B541-8508-4C0C-96AE-9855432B6980}" presName="theInnerList" presStyleCnt="0"/>
      <dgm:spPr/>
    </dgm:pt>
    <dgm:pt modelId="{91C7D0B9-D3E2-4157-ADAB-D5A0980F3306}" type="pres">
      <dgm:prSet presAssocID="{C9084ED9-D907-4C5E-A760-F2EB1A2FD953}" presName="childNode" presStyleLbl="node1" presStyleIdx="6" presStyleCnt="11">
        <dgm:presLayoutVars>
          <dgm:bulletEnabled val="1"/>
        </dgm:presLayoutVars>
      </dgm:prSet>
      <dgm:spPr/>
      <dgm:t>
        <a:bodyPr/>
        <a:lstStyle/>
        <a:p>
          <a:endParaRPr lang="es-MX"/>
        </a:p>
      </dgm:t>
    </dgm:pt>
    <dgm:pt modelId="{40357C6C-23BB-43AA-93A7-424811B4745E}" type="pres">
      <dgm:prSet presAssocID="{C9084ED9-D907-4C5E-A760-F2EB1A2FD953}" presName="aSpace2" presStyleCnt="0"/>
      <dgm:spPr/>
    </dgm:pt>
    <dgm:pt modelId="{16A9BBA9-2309-4761-9105-17E2E9813551}" type="pres">
      <dgm:prSet presAssocID="{D9B326BF-CF43-4C5D-96C8-39E8C5CBC108}" presName="childNode" presStyleLbl="node1" presStyleIdx="7" presStyleCnt="11">
        <dgm:presLayoutVars>
          <dgm:bulletEnabled val="1"/>
        </dgm:presLayoutVars>
      </dgm:prSet>
      <dgm:spPr/>
      <dgm:t>
        <a:bodyPr/>
        <a:lstStyle/>
        <a:p>
          <a:endParaRPr lang="es-MX"/>
        </a:p>
      </dgm:t>
    </dgm:pt>
    <dgm:pt modelId="{4CB54DFD-7D62-4F26-87FA-814D9F7EC4CD}" type="pres">
      <dgm:prSet presAssocID="{1D62B541-8508-4C0C-96AE-9855432B6980}" presName="aSpace" presStyleCnt="0"/>
      <dgm:spPr/>
    </dgm:pt>
    <dgm:pt modelId="{957296D8-C800-4746-8359-7457B938E78B}" type="pres">
      <dgm:prSet presAssocID="{417FCC19-1CC8-4E58-8E7A-9DC67AF689F9}" presName="compNode" presStyleCnt="0"/>
      <dgm:spPr/>
    </dgm:pt>
    <dgm:pt modelId="{0097F198-A6D6-4A51-80A9-3103827DCA37}" type="pres">
      <dgm:prSet presAssocID="{417FCC19-1CC8-4E58-8E7A-9DC67AF689F9}" presName="aNode" presStyleLbl="bgShp" presStyleIdx="4" presStyleCnt="6"/>
      <dgm:spPr/>
      <dgm:t>
        <a:bodyPr/>
        <a:lstStyle/>
        <a:p>
          <a:endParaRPr lang="es-MX"/>
        </a:p>
      </dgm:t>
    </dgm:pt>
    <dgm:pt modelId="{ED04B801-AC95-4015-B183-BF7E30BEA47C}" type="pres">
      <dgm:prSet presAssocID="{417FCC19-1CC8-4E58-8E7A-9DC67AF689F9}" presName="textNode" presStyleLbl="bgShp" presStyleIdx="4" presStyleCnt="6"/>
      <dgm:spPr/>
      <dgm:t>
        <a:bodyPr/>
        <a:lstStyle/>
        <a:p>
          <a:endParaRPr lang="es-MX"/>
        </a:p>
      </dgm:t>
    </dgm:pt>
    <dgm:pt modelId="{12E6ADD8-E68D-4663-A581-79BD8BEC4B1C}" type="pres">
      <dgm:prSet presAssocID="{417FCC19-1CC8-4E58-8E7A-9DC67AF689F9}" presName="compChildNode" presStyleCnt="0"/>
      <dgm:spPr/>
    </dgm:pt>
    <dgm:pt modelId="{3940B665-0DBC-40B2-8238-C45671A5DB81}" type="pres">
      <dgm:prSet presAssocID="{417FCC19-1CC8-4E58-8E7A-9DC67AF689F9}" presName="theInnerList" presStyleCnt="0"/>
      <dgm:spPr/>
    </dgm:pt>
    <dgm:pt modelId="{50063934-7EF6-406B-8F16-38EAC208195B}" type="pres">
      <dgm:prSet presAssocID="{2E320FE4-0546-47AB-B6FA-FA34BB34F632}" presName="childNode" presStyleLbl="node1" presStyleIdx="8" presStyleCnt="11">
        <dgm:presLayoutVars>
          <dgm:bulletEnabled val="1"/>
        </dgm:presLayoutVars>
      </dgm:prSet>
      <dgm:spPr/>
      <dgm:t>
        <a:bodyPr/>
        <a:lstStyle/>
        <a:p>
          <a:endParaRPr lang="es-MX"/>
        </a:p>
      </dgm:t>
    </dgm:pt>
    <dgm:pt modelId="{BBD614A9-47B7-4434-B82B-D7B5B96FDCC2}" type="pres">
      <dgm:prSet presAssocID="{2E320FE4-0546-47AB-B6FA-FA34BB34F632}" presName="aSpace2" presStyleCnt="0"/>
      <dgm:spPr/>
    </dgm:pt>
    <dgm:pt modelId="{77154090-F752-45ED-94FC-532BAD06AFF0}" type="pres">
      <dgm:prSet presAssocID="{03250690-881C-4BC7-91BC-136A92428BD2}" presName="childNode" presStyleLbl="node1" presStyleIdx="9" presStyleCnt="11">
        <dgm:presLayoutVars>
          <dgm:bulletEnabled val="1"/>
        </dgm:presLayoutVars>
      </dgm:prSet>
      <dgm:spPr/>
      <dgm:t>
        <a:bodyPr/>
        <a:lstStyle/>
        <a:p>
          <a:endParaRPr lang="es-MX"/>
        </a:p>
      </dgm:t>
    </dgm:pt>
    <dgm:pt modelId="{03C2C844-7F59-4ADE-8F4F-01454DA18E9E}" type="pres">
      <dgm:prSet presAssocID="{417FCC19-1CC8-4E58-8E7A-9DC67AF689F9}" presName="aSpace" presStyleCnt="0"/>
      <dgm:spPr/>
    </dgm:pt>
    <dgm:pt modelId="{5195D901-EC49-4C97-AFFD-FEFD0B9908CE}" type="pres">
      <dgm:prSet presAssocID="{B9325BBE-5432-4CE1-AF07-74CB14060984}" presName="compNode" presStyleCnt="0"/>
      <dgm:spPr/>
    </dgm:pt>
    <dgm:pt modelId="{E6BA38B3-AA72-46D7-AB72-66B55C8148E8}" type="pres">
      <dgm:prSet presAssocID="{B9325BBE-5432-4CE1-AF07-74CB14060984}" presName="aNode" presStyleLbl="bgShp" presStyleIdx="5" presStyleCnt="6"/>
      <dgm:spPr/>
      <dgm:t>
        <a:bodyPr/>
        <a:lstStyle/>
        <a:p>
          <a:endParaRPr lang="es-MX"/>
        </a:p>
      </dgm:t>
    </dgm:pt>
    <dgm:pt modelId="{46A6910F-CD2E-4131-BB9F-9B8C73A2479E}" type="pres">
      <dgm:prSet presAssocID="{B9325BBE-5432-4CE1-AF07-74CB14060984}" presName="textNode" presStyleLbl="bgShp" presStyleIdx="5" presStyleCnt="6"/>
      <dgm:spPr/>
      <dgm:t>
        <a:bodyPr/>
        <a:lstStyle/>
        <a:p>
          <a:endParaRPr lang="es-MX"/>
        </a:p>
      </dgm:t>
    </dgm:pt>
    <dgm:pt modelId="{1A99E2FC-EA91-4F4C-B964-35C91A69BB51}" type="pres">
      <dgm:prSet presAssocID="{B9325BBE-5432-4CE1-AF07-74CB14060984}" presName="compChildNode" presStyleCnt="0"/>
      <dgm:spPr/>
    </dgm:pt>
    <dgm:pt modelId="{72FBA8DA-5AED-496A-A9F8-1A433DEABB37}" type="pres">
      <dgm:prSet presAssocID="{B9325BBE-5432-4CE1-AF07-74CB14060984}" presName="theInnerList" presStyleCnt="0"/>
      <dgm:spPr/>
    </dgm:pt>
    <dgm:pt modelId="{D8AB12C6-E750-43FB-B137-0BC8B46AFD31}" type="pres">
      <dgm:prSet presAssocID="{E14711B2-814A-4A19-8471-2B5C192ECA55}" presName="childNode" presStyleLbl="node1" presStyleIdx="10" presStyleCnt="11">
        <dgm:presLayoutVars>
          <dgm:bulletEnabled val="1"/>
        </dgm:presLayoutVars>
      </dgm:prSet>
      <dgm:spPr/>
      <dgm:t>
        <a:bodyPr/>
        <a:lstStyle/>
        <a:p>
          <a:endParaRPr lang="es-MX"/>
        </a:p>
      </dgm:t>
    </dgm:pt>
  </dgm:ptLst>
  <dgm:cxnLst>
    <dgm:cxn modelId="{CEE64E60-A71E-4066-8AD3-2FAA387E61DA}" type="presOf" srcId="{03250690-881C-4BC7-91BC-136A92428BD2}" destId="{77154090-F752-45ED-94FC-532BAD06AFF0}" srcOrd="0" destOrd="0" presId="urn:microsoft.com/office/officeart/2005/8/layout/lProcess2"/>
    <dgm:cxn modelId="{A3226703-F24A-4C6E-978C-B45DA54B579A}" type="presOf" srcId="{E14711B2-814A-4A19-8471-2B5C192ECA55}" destId="{D8AB12C6-E750-43FB-B137-0BC8B46AFD31}" srcOrd="0" destOrd="0" presId="urn:microsoft.com/office/officeart/2005/8/layout/lProcess2"/>
    <dgm:cxn modelId="{463A3809-A6EC-465A-96BC-F644BB0CEFC0}" srcId="{F2954A18-FF38-4466-B221-878B47C65990}" destId="{25F1C117-F411-4E3E-AACB-5F010F26825E}" srcOrd="0" destOrd="0" parTransId="{7E1BC9C4-137C-4F2D-85E2-314D131A86F0}" sibTransId="{87C91205-8B62-4634-B8F9-8AF73B6DC46C}"/>
    <dgm:cxn modelId="{2BE81A97-EC94-4351-BE0F-33DF8E2B9B05}" srcId="{767E6527-0947-49D6-BFD7-E64078DACDFB}" destId="{F667B7FE-8348-412B-B56E-5BFBCD749F54}" srcOrd="1" destOrd="0" parTransId="{EEEF7345-6D05-45E4-8591-ABF77C79EEC1}" sibTransId="{9EE47F14-B7E4-48D0-8498-E44100A7C35C}"/>
    <dgm:cxn modelId="{DB7612AD-3716-4C31-92DB-69020DD45B27}" srcId="{767E6527-0947-49D6-BFD7-E64078DACDFB}" destId="{1D62B541-8508-4C0C-96AE-9855432B6980}" srcOrd="3" destOrd="0" parTransId="{1FAF0B5B-E3AE-4ECA-A2D6-7E1FF9419A5D}" sibTransId="{E6145C63-EA76-47CE-83E7-05B4C06D9D23}"/>
    <dgm:cxn modelId="{C695EEC4-5102-4B27-8526-675B0E34FB63}" type="presOf" srcId="{CA689AF8-838B-4EBB-B664-DF25CEC69A96}" destId="{C5520FD3-0F3C-4D11-B733-5F0A776B3AF6}" srcOrd="0" destOrd="0" presId="urn:microsoft.com/office/officeart/2005/8/layout/lProcess2"/>
    <dgm:cxn modelId="{0B914218-4C85-442A-BC2A-14F825F50336}" type="presOf" srcId="{417FCC19-1CC8-4E58-8E7A-9DC67AF689F9}" destId="{ED04B801-AC95-4015-B183-BF7E30BEA47C}" srcOrd="1" destOrd="0" presId="urn:microsoft.com/office/officeart/2005/8/layout/lProcess2"/>
    <dgm:cxn modelId="{18396B3B-69C2-41B7-B377-529895EC2A2E}" type="presOf" srcId="{2E320FE4-0546-47AB-B6FA-FA34BB34F632}" destId="{50063934-7EF6-406B-8F16-38EAC208195B}" srcOrd="0" destOrd="0" presId="urn:microsoft.com/office/officeart/2005/8/layout/lProcess2"/>
    <dgm:cxn modelId="{0C336E85-3869-4E8A-9906-740E78304DDF}" type="presOf" srcId="{F2954A18-FF38-4466-B221-878B47C65990}" destId="{073A44AD-858A-4CC6-A747-D4F43002601E}" srcOrd="1" destOrd="0" presId="urn:microsoft.com/office/officeart/2005/8/layout/lProcess2"/>
    <dgm:cxn modelId="{C3AC0C4E-C600-4F23-97BE-CD44B00DD63C}" srcId="{767E6527-0947-49D6-BFD7-E64078DACDFB}" destId="{417FCC19-1CC8-4E58-8E7A-9DC67AF689F9}" srcOrd="4" destOrd="0" parTransId="{2829FACE-EB81-407F-8213-4CCDCE839647}" sibTransId="{5A6C044C-204F-4376-91B3-B9D0BC4257FC}"/>
    <dgm:cxn modelId="{4E0F8041-9200-4801-BC0D-E6090CCD0259}" srcId="{417FCC19-1CC8-4E58-8E7A-9DC67AF689F9}" destId="{03250690-881C-4BC7-91BC-136A92428BD2}" srcOrd="1" destOrd="0" parTransId="{5EB36693-DAF0-4B44-84BA-B61D76A68074}" sibTransId="{55B5B4B8-DD30-40F3-B341-A61CDEFDE018}"/>
    <dgm:cxn modelId="{B012F996-D7AD-43A7-A595-B2DB8F77FB80}" type="presOf" srcId="{417FCC19-1CC8-4E58-8E7A-9DC67AF689F9}" destId="{0097F198-A6D6-4A51-80A9-3103827DCA37}" srcOrd="0" destOrd="0" presId="urn:microsoft.com/office/officeart/2005/8/layout/lProcess2"/>
    <dgm:cxn modelId="{E40D88C5-9B23-4DDC-81D7-ED1510D693C8}" type="presOf" srcId="{B9325BBE-5432-4CE1-AF07-74CB14060984}" destId="{46A6910F-CD2E-4131-BB9F-9B8C73A2479E}" srcOrd="1" destOrd="0" presId="urn:microsoft.com/office/officeart/2005/8/layout/lProcess2"/>
    <dgm:cxn modelId="{88F2B8A8-6479-4445-9BDB-690A47008C78}" type="presOf" srcId="{767E6527-0947-49D6-BFD7-E64078DACDFB}" destId="{5B2E33E5-C16B-44B2-B7C0-C98F6814EF06}" srcOrd="0" destOrd="0" presId="urn:microsoft.com/office/officeart/2005/8/layout/lProcess2"/>
    <dgm:cxn modelId="{635750D9-9DC5-4477-A52E-655237F7BE75}" srcId="{F3EC67BC-1830-4834-A062-8B9BF9AAC767}" destId="{B9285E6F-59C8-4580-AD37-F8CFB7094EA1}" srcOrd="1" destOrd="0" parTransId="{7081154B-B035-466E-88A8-0EB6593BE134}" sibTransId="{6B844C3F-DC87-4513-953A-9BDC27294116}"/>
    <dgm:cxn modelId="{C29B052B-13C3-4C9F-AAFC-46B7525C0D71}" type="presOf" srcId="{92D4FF31-2165-406D-A3B1-1B6CD07C8232}" destId="{547C9B24-7214-40B0-923E-7F08055864E1}" srcOrd="0" destOrd="0" presId="urn:microsoft.com/office/officeart/2005/8/layout/lProcess2"/>
    <dgm:cxn modelId="{8D694CB0-0DE9-49B7-97B2-64E7130587E3}" type="presOf" srcId="{25F1C117-F411-4E3E-AACB-5F010F26825E}" destId="{50063F1E-461F-4803-910B-99240B257995}" srcOrd="0" destOrd="0" presId="urn:microsoft.com/office/officeart/2005/8/layout/lProcess2"/>
    <dgm:cxn modelId="{D6AF3F4D-E3AB-44F1-AE28-6A5D522B4E51}" type="presOf" srcId="{B9325BBE-5432-4CE1-AF07-74CB14060984}" destId="{E6BA38B3-AA72-46D7-AB72-66B55C8148E8}" srcOrd="0" destOrd="0" presId="urn:microsoft.com/office/officeart/2005/8/layout/lProcess2"/>
    <dgm:cxn modelId="{D4ACD6BA-90B7-48B1-B1D2-8FE777271940}" srcId="{B9325BBE-5432-4CE1-AF07-74CB14060984}" destId="{E14711B2-814A-4A19-8471-2B5C192ECA55}" srcOrd="0" destOrd="0" parTransId="{88B08648-677D-4663-B5D3-C9EE1CE6EF2F}" sibTransId="{B9E44A9A-1A07-455F-8426-D5848AB846A1}"/>
    <dgm:cxn modelId="{372124B8-8E2E-46E8-A8CC-F7A0CCA802D0}" type="presOf" srcId="{F667B7FE-8348-412B-B56E-5BFBCD749F54}" destId="{F9BCB2FA-BDE0-4EF0-8443-47EB48BB8BB3}" srcOrd="1" destOrd="0" presId="urn:microsoft.com/office/officeart/2005/8/layout/lProcess2"/>
    <dgm:cxn modelId="{5F9B4C8A-A3ED-443F-B4AF-12D1196FB0E0}" type="presOf" srcId="{1D62B541-8508-4C0C-96AE-9855432B6980}" destId="{4284127D-3E18-4D66-8A67-6FAB0E49554C}" srcOrd="1" destOrd="0" presId="urn:microsoft.com/office/officeart/2005/8/layout/lProcess2"/>
    <dgm:cxn modelId="{E160D767-8A52-449A-ADC9-C6EC8ABDAEBE}" srcId="{767E6527-0947-49D6-BFD7-E64078DACDFB}" destId="{F3EC67BC-1830-4834-A062-8B9BF9AAC767}" srcOrd="0" destOrd="0" parTransId="{1CF73191-7EF1-4BF5-AB4D-833ADBAF5E3D}" sibTransId="{8493A566-F3DC-4DCB-9C8F-8B04445EE910}"/>
    <dgm:cxn modelId="{0F144C5B-BDD0-4086-BA59-05A9A1C8B78D}" type="presOf" srcId="{F2D22C35-CFF8-4C5D-AEA6-816C8CD80E84}" destId="{5D41EBF6-96A8-4E82-8AE6-57E1BE8E43EB}" srcOrd="0" destOrd="0" presId="urn:microsoft.com/office/officeart/2005/8/layout/lProcess2"/>
    <dgm:cxn modelId="{07216A06-D0D4-44D4-96E0-369E9386C373}" srcId="{F667B7FE-8348-412B-B56E-5BFBCD749F54}" destId="{92D4FF31-2165-406D-A3B1-1B6CD07C8232}" srcOrd="1" destOrd="0" parTransId="{AE71448A-8D38-4628-9A9E-47CB4CB2A4F0}" sibTransId="{1AE820B0-FDAC-4552-A430-CF67E6AB77D6}"/>
    <dgm:cxn modelId="{27D21EB9-2DAC-4B25-BB1F-9990095CE2FA}" srcId="{417FCC19-1CC8-4E58-8E7A-9DC67AF689F9}" destId="{2E320FE4-0546-47AB-B6FA-FA34BB34F632}" srcOrd="0" destOrd="0" parTransId="{0F2CDF5E-3501-4238-8E84-69458857667D}" sibTransId="{A9AC9510-EE7D-4012-B92B-01708418B64F}"/>
    <dgm:cxn modelId="{747EEF62-D2A7-4DF0-A196-4A1EB88A142E}" srcId="{F667B7FE-8348-412B-B56E-5BFBCD749F54}" destId="{CA689AF8-838B-4EBB-B664-DF25CEC69A96}" srcOrd="0" destOrd="0" parTransId="{AB098700-F970-4491-9EF2-C5D1BD475820}" sibTransId="{BDE0AB23-1513-46D2-868B-3620FFCF64CF}"/>
    <dgm:cxn modelId="{25B23365-3A9A-4D21-8C82-35A5BF6FA141}" type="presOf" srcId="{F3EC67BC-1830-4834-A062-8B9BF9AAC767}" destId="{8E1FDC99-0FA4-43E4-BAAA-7F0A4B2D2E7D}" srcOrd="1" destOrd="0" presId="urn:microsoft.com/office/officeart/2005/8/layout/lProcess2"/>
    <dgm:cxn modelId="{5A15D0C5-7829-4570-A704-5DFDE59E524F}" type="presOf" srcId="{1D62B541-8508-4C0C-96AE-9855432B6980}" destId="{0B088575-29C5-48DA-9575-A99290D70733}" srcOrd="0" destOrd="0" presId="urn:microsoft.com/office/officeart/2005/8/layout/lProcess2"/>
    <dgm:cxn modelId="{FB9B8F07-83BE-4148-A8E3-4201D576525C}" type="presOf" srcId="{C9084ED9-D907-4C5E-A760-F2EB1A2FD953}" destId="{91C7D0B9-D3E2-4157-ADAB-D5A0980F3306}" srcOrd="0" destOrd="0" presId="urn:microsoft.com/office/officeart/2005/8/layout/lProcess2"/>
    <dgm:cxn modelId="{5EFCC5F8-5A91-4D61-B213-D1893CA5E225}" type="presOf" srcId="{A06F9AD8-C563-4E0D-A599-1BDF24618DFB}" destId="{650C0589-E454-4077-9EE5-BCACF2D3D064}" srcOrd="0" destOrd="0" presId="urn:microsoft.com/office/officeart/2005/8/layout/lProcess2"/>
    <dgm:cxn modelId="{10998B8C-0E59-4261-B21D-F18F2D410D5E}" srcId="{F2954A18-FF38-4466-B221-878B47C65990}" destId="{A06F9AD8-C563-4E0D-A599-1BDF24618DFB}" srcOrd="1" destOrd="0" parTransId="{5DE27FF4-E0EC-45BB-BE14-6FBC9528D2B1}" sibTransId="{6F3A4A6F-503F-4B62-A417-B42E8C17BA5F}"/>
    <dgm:cxn modelId="{FA8E9AA6-7C69-4AB2-8893-C99AF9781941}" type="presOf" srcId="{F2954A18-FF38-4466-B221-878B47C65990}" destId="{A3B9A9E5-F0CA-4BAD-9766-612520202229}" srcOrd="0" destOrd="0" presId="urn:microsoft.com/office/officeart/2005/8/layout/lProcess2"/>
    <dgm:cxn modelId="{00B58AB5-D304-49D9-99A7-B6270DFC7259}" type="presOf" srcId="{F3EC67BC-1830-4834-A062-8B9BF9AAC767}" destId="{C68F0822-C837-45DB-97DE-8B4755B4FC3E}" srcOrd="0" destOrd="0" presId="urn:microsoft.com/office/officeart/2005/8/layout/lProcess2"/>
    <dgm:cxn modelId="{BC9F5A63-C7B9-4EE8-9B09-A7A0B69F5468}" type="presOf" srcId="{B9285E6F-59C8-4580-AD37-F8CFB7094EA1}" destId="{4D3DB9EC-D408-4218-9ABE-AE33398859C4}" srcOrd="0" destOrd="0" presId="urn:microsoft.com/office/officeart/2005/8/layout/lProcess2"/>
    <dgm:cxn modelId="{AA0B69FF-5C0D-4A5F-A062-7D0C6E34209A}" srcId="{F3EC67BC-1830-4834-A062-8B9BF9AAC767}" destId="{F2D22C35-CFF8-4C5D-AEA6-816C8CD80E84}" srcOrd="0" destOrd="0" parTransId="{EB4F3926-561D-43C9-BFA8-E839D8FF5420}" sibTransId="{9A6CE199-167E-4E4B-940F-47032F7B2A4D}"/>
    <dgm:cxn modelId="{34498129-A735-48E3-983D-E7DAE51851A8}" srcId="{767E6527-0947-49D6-BFD7-E64078DACDFB}" destId="{B9325BBE-5432-4CE1-AF07-74CB14060984}" srcOrd="5" destOrd="0" parTransId="{D2FD3713-D352-4192-89D7-19FD42D8A47C}" sibTransId="{6FAB6FAC-2DDA-4013-A822-C5951311A38C}"/>
    <dgm:cxn modelId="{4E66EE59-DA45-4B46-B7B0-042325CF4D13}" srcId="{767E6527-0947-49D6-BFD7-E64078DACDFB}" destId="{F2954A18-FF38-4466-B221-878B47C65990}" srcOrd="2" destOrd="0" parTransId="{9254D722-42CE-405F-BA68-87CBA8C87416}" sibTransId="{BA296E97-B8FA-4956-8154-3F8B650CF3F9}"/>
    <dgm:cxn modelId="{69F0F48F-0679-4E34-A8BB-1FACBA6697E5}" srcId="{1D62B541-8508-4C0C-96AE-9855432B6980}" destId="{C9084ED9-D907-4C5E-A760-F2EB1A2FD953}" srcOrd="0" destOrd="0" parTransId="{EB352B83-C64F-41D9-937B-2654AEEE04D5}" sibTransId="{334B8E36-344A-47E4-B0CC-06CA9D39A3CE}"/>
    <dgm:cxn modelId="{9D015034-CE06-4862-8434-74D73C8D9161}" type="presOf" srcId="{F667B7FE-8348-412B-B56E-5BFBCD749F54}" destId="{76931730-F9AB-4C7F-9EC9-53AE2D571551}" srcOrd="0" destOrd="0" presId="urn:microsoft.com/office/officeart/2005/8/layout/lProcess2"/>
    <dgm:cxn modelId="{5D794698-9823-408E-BB04-90BE0EC8EE40}" type="presOf" srcId="{D9B326BF-CF43-4C5D-96C8-39E8C5CBC108}" destId="{16A9BBA9-2309-4761-9105-17E2E9813551}" srcOrd="0" destOrd="0" presId="urn:microsoft.com/office/officeart/2005/8/layout/lProcess2"/>
    <dgm:cxn modelId="{64D9683B-C086-42E5-9B54-458DE947316B}" srcId="{1D62B541-8508-4C0C-96AE-9855432B6980}" destId="{D9B326BF-CF43-4C5D-96C8-39E8C5CBC108}" srcOrd="1" destOrd="0" parTransId="{6886BFFB-319F-41C3-9AFC-F54592B8E439}" sibTransId="{80ACA9E4-3B81-49A4-8707-CF2773133D28}"/>
    <dgm:cxn modelId="{5A52E42D-1978-4B85-ADF7-29BAA4C22A99}" type="presParOf" srcId="{5B2E33E5-C16B-44B2-B7C0-C98F6814EF06}" destId="{12A20983-C6A4-4733-B143-C4803F994227}" srcOrd="0" destOrd="0" presId="urn:microsoft.com/office/officeart/2005/8/layout/lProcess2"/>
    <dgm:cxn modelId="{F9DDE649-DC2E-4A14-9F7F-2A432C2E5E74}" type="presParOf" srcId="{12A20983-C6A4-4733-B143-C4803F994227}" destId="{C68F0822-C837-45DB-97DE-8B4755B4FC3E}" srcOrd="0" destOrd="0" presId="urn:microsoft.com/office/officeart/2005/8/layout/lProcess2"/>
    <dgm:cxn modelId="{5542521D-98F5-4FD0-B7F7-0485DF7CCD8B}" type="presParOf" srcId="{12A20983-C6A4-4733-B143-C4803F994227}" destId="{8E1FDC99-0FA4-43E4-BAAA-7F0A4B2D2E7D}" srcOrd="1" destOrd="0" presId="urn:microsoft.com/office/officeart/2005/8/layout/lProcess2"/>
    <dgm:cxn modelId="{B8D9D898-8B5C-4752-8288-2C35672E8E25}" type="presParOf" srcId="{12A20983-C6A4-4733-B143-C4803F994227}" destId="{FCDB51C5-0E66-4B71-9698-36940FB31531}" srcOrd="2" destOrd="0" presId="urn:microsoft.com/office/officeart/2005/8/layout/lProcess2"/>
    <dgm:cxn modelId="{1C3674CC-86BA-4A1E-8825-9551F3149016}" type="presParOf" srcId="{FCDB51C5-0E66-4B71-9698-36940FB31531}" destId="{91C80DF3-9169-455B-9FA2-FE475549075D}" srcOrd="0" destOrd="0" presId="urn:microsoft.com/office/officeart/2005/8/layout/lProcess2"/>
    <dgm:cxn modelId="{732C28AC-31D7-4306-ABE2-0F5CC099184B}" type="presParOf" srcId="{91C80DF3-9169-455B-9FA2-FE475549075D}" destId="{5D41EBF6-96A8-4E82-8AE6-57E1BE8E43EB}" srcOrd="0" destOrd="0" presId="urn:microsoft.com/office/officeart/2005/8/layout/lProcess2"/>
    <dgm:cxn modelId="{526E3D1C-3A1F-4CB6-B8BC-26FEC00041F3}" type="presParOf" srcId="{91C80DF3-9169-455B-9FA2-FE475549075D}" destId="{43008AA5-EE9E-4EB0-9B5E-CC19A8A3413C}" srcOrd="1" destOrd="0" presId="urn:microsoft.com/office/officeart/2005/8/layout/lProcess2"/>
    <dgm:cxn modelId="{7608718A-C936-4377-B5F8-9A47D7F1B173}" type="presParOf" srcId="{91C80DF3-9169-455B-9FA2-FE475549075D}" destId="{4D3DB9EC-D408-4218-9ABE-AE33398859C4}" srcOrd="2" destOrd="0" presId="urn:microsoft.com/office/officeart/2005/8/layout/lProcess2"/>
    <dgm:cxn modelId="{CD25D9CF-81C5-49B5-8887-952A3A328BE5}" type="presParOf" srcId="{5B2E33E5-C16B-44B2-B7C0-C98F6814EF06}" destId="{A3CCFECC-7F90-452E-89A1-0C9FECD688BA}" srcOrd="1" destOrd="0" presId="urn:microsoft.com/office/officeart/2005/8/layout/lProcess2"/>
    <dgm:cxn modelId="{587EC3A7-D35E-416D-8C41-C292D801B9EE}" type="presParOf" srcId="{5B2E33E5-C16B-44B2-B7C0-C98F6814EF06}" destId="{AE6D79BC-CF2D-4992-B1B4-7863CC7D500F}" srcOrd="2" destOrd="0" presId="urn:microsoft.com/office/officeart/2005/8/layout/lProcess2"/>
    <dgm:cxn modelId="{04F792A9-7FCB-4577-9D1C-ABE9485A8CF6}" type="presParOf" srcId="{AE6D79BC-CF2D-4992-B1B4-7863CC7D500F}" destId="{76931730-F9AB-4C7F-9EC9-53AE2D571551}" srcOrd="0" destOrd="0" presId="urn:microsoft.com/office/officeart/2005/8/layout/lProcess2"/>
    <dgm:cxn modelId="{324B5295-A99B-47A9-A66E-3A40D27087D0}" type="presParOf" srcId="{AE6D79BC-CF2D-4992-B1B4-7863CC7D500F}" destId="{F9BCB2FA-BDE0-4EF0-8443-47EB48BB8BB3}" srcOrd="1" destOrd="0" presId="urn:microsoft.com/office/officeart/2005/8/layout/lProcess2"/>
    <dgm:cxn modelId="{5A13836E-504A-4A74-A462-43DB4A2143AF}" type="presParOf" srcId="{AE6D79BC-CF2D-4992-B1B4-7863CC7D500F}" destId="{19C2E653-D40F-4990-BE3A-22BC99F02FDE}" srcOrd="2" destOrd="0" presId="urn:microsoft.com/office/officeart/2005/8/layout/lProcess2"/>
    <dgm:cxn modelId="{028CB941-8581-48DF-86D1-A57B28377A6D}" type="presParOf" srcId="{19C2E653-D40F-4990-BE3A-22BC99F02FDE}" destId="{02446945-3148-4C63-BA80-507D1DD45A7B}" srcOrd="0" destOrd="0" presId="urn:microsoft.com/office/officeart/2005/8/layout/lProcess2"/>
    <dgm:cxn modelId="{B58A775F-D262-433A-8DA5-78AAB2C2FA56}" type="presParOf" srcId="{02446945-3148-4C63-BA80-507D1DD45A7B}" destId="{C5520FD3-0F3C-4D11-B733-5F0A776B3AF6}" srcOrd="0" destOrd="0" presId="urn:microsoft.com/office/officeart/2005/8/layout/lProcess2"/>
    <dgm:cxn modelId="{63D72B58-D5F6-4E94-9163-11252E803C53}" type="presParOf" srcId="{02446945-3148-4C63-BA80-507D1DD45A7B}" destId="{DB99B2F3-314D-4270-ADBF-4F9DB2D9D3ED}" srcOrd="1" destOrd="0" presId="urn:microsoft.com/office/officeart/2005/8/layout/lProcess2"/>
    <dgm:cxn modelId="{2E9044BE-7E02-4577-B958-A1A73357074E}" type="presParOf" srcId="{02446945-3148-4C63-BA80-507D1DD45A7B}" destId="{547C9B24-7214-40B0-923E-7F08055864E1}" srcOrd="2" destOrd="0" presId="urn:microsoft.com/office/officeart/2005/8/layout/lProcess2"/>
    <dgm:cxn modelId="{F1F9D0C4-7490-40FA-A5C8-7748C0E5588A}" type="presParOf" srcId="{5B2E33E5-C16B-44B2-B7C0-C98F6814EF06}" destId="{2C6F9B3E-C74F-4470-B7D6-9934B1B9E139}" srcOrd="3" destOrd="0" presId="urn:microsoft.com/office/officeart/2005/8/layout/lProcess2"/>
    <dgm:cxn modelId="{5A56CB34-719F-4C7D-9BE9-4793BCFFD4AF}" type="presParOf" srcId="{5B2E33E5-C16B-44B2-B7C0-C98F6814EF06}" destId="{25AE8DD4-3D3C-45B8-A817-F68197C90167}" srcOrd="4" destOrd="0" presId="urn:microsoft.com/office/officeart/2005/8/layout/lProcess2"/>
    <dgm:cxn modelId="{98142E31-92CA-4E6A-BD9D-8A0698A13B6C}" type="presParOf" srcId="{25AE8DD4-3D3C-45B8-A817-F68197C90167}" destId="{A3B9A9E5-F0CA-4BAD-9766-612520202229}" srcOrd="0" destOrd="0" presId="urn:microsoft.com/office/officeart/2005/8/layout/lProcess2"/>
    <dgm:cxn modelId="{16214CD7-E038-4A51-81B9-EF9E07A5DEC0}" type="presParOf" srcId="{25AE8DD4-3D3C-45B8-A817-F68197C90167}" destId="{073A44AD-858A-4CC6-A747-D4F43002601E}" srcOrd="1" destOrd="0" presId="urn:microsoft.com/office/officeart/2005/8/layout/lProcess2"/>
    <dgm:cxn modelId="{C1F5D227-D22A-4F0E-85C7-7EF98172538D}" type="presParOf" srcId="{25AE8DD4-3D3C-45B8-A817-F68197C90167}" destId="{5C8B14A3-11E4-4C3B-ADA8-1A0856E133A5}" srcOrd="2" destOrd="0" presId="urn:microsoft.com/office/officeart/2005/8/layout/lProcess2"/>
    <dgm:cxn modelId="{04ECCF04-E1DA-46E5-8D22-3DFFFBAA791C}" type="presParOf" srcId="{5C8B14A3-11E4-4C3B-ADA8-1A0856E133A5}" destId="{4CE08434-773A-4C40-8F92-F6A57542B9ED}" srcOrd="0" destOrd="0" presId="urn:microsoft.com/office/officeart/2005/8/layout/lProcess2"/>
    <dgm:cxn modelId="{1458AFA0-942C-47A2-B571-34B79689977A}" type="presParOf" srcId="{4CE08434-773A-4C40-8F92-F6A57542B9ED}" destId="{50063F1E-461F-4803-910B-99240B257995}" srcOrd="0" destOrd="0" presId="urn:microsoft.com/office/officeart/2005/8/layout/lProcess2"/>
    <dgm:cxn modelId="{FBFAB5C7-10E3-40CE-A705-C5722B269E12}" type="presParOf" srcId="{4CE08434-773A-4C40-8F92-F6A57542B9ED}" destId="{E50B825C-49BE-48D4-BD4E-B1188352D1AC}" srcOrd="1" destOrd="0" presId="urn:microsoft.com/office/officeart/2005/8/layout/lProcess2"/>
    <dgm:cxn modelId="{8BD3F814-3788-45D9-A080-C8FFA2B1C4B2}" type="presParOf" srcId="{4CE08434-773A-4C40-8F92-F6A57542B9ED}" destId="{650C0589-E454-4077-9EE5-BCACF2D3D064}" srcOrd="2" destOrd="0" presId="urn:microsoft.com/office/officeart/2005/8/layout/lProcess2"/>
    <dgm:cxn modelId="{A00E0726-E802-44D2-988F-A16C8A211C37}" type="presParOf" srcId="{5B2E33E5-C16B-44B2-B7C0-C98F6814EF06}" destId="{B5A87881-81A6-4C94-803C-625449F0D37F}" srcOrd="5" destOrd="0" presId="urn:microsoft.com/office/officeart/2005/8/layout/lProcess2"/>
    <dgm:cxn modelId="{9B15FDDD-53F0-46DD-ACED-7493AF8CE968}" type="presParOf" srcId="{5B2E33E5-C16B-44B2-B7C0-C98F6814EF06}" destId="{11DECB76-ADA5-44C6-8F9A-0E515AF4F54B}" srcOrd="6" destOrd="0" presId="urn:microsoft.com/office/officeart/2005/8/layout/lProcess2"/>
    <dgm:cxn modelId="{5B3C7189-2BBB-41FF-B249-0C40C555233E}" type="presParOf" srcId="{11DECB76-ADA5-44C6-8F9A-0E515AF4F54B}" destId="{0B088575-29C5-48DA-9575-A99290D70733}" srcOrd="0" destOrd="0" presId="urn:microsoft.com/office/officeart/2005/8/layout/lProcess2"/>
    <dgm:cxn modelId="{CD82027D-6AC0-4693-9F01-68B3A757A97F}" type="presParOf" srcId="{11DECB76-ADA5-44C6-8F9A-0E515AF4F54B}" destId="{4284127D-3E18-4D66-8A67-6FAB0E49554C}" srcOrd="1" destOrd="0" presId="urn:microsoft.com/office/officeart/2005/8/layout/lProcess2"/>
    <dgm:cxn modelId="{5F83D348-797C-4326-B6EA-AD524C581EF8}" type="presParOf" srcId="{11DECB76-ADA5-44C6-8F9A-0E515AF4F54B}" destId="{831F7EC6-3C87-426F-B230-CFCD62373446}" srcOrd="2" destOrd="0" presId="urn:microsoft.com/office/officeart/2005/8/layout/lProcess2"/>
    <dgm:cxn modelId="{771C6613-8E26-4A1F-91C1-90CD6866134C}" type="presParOf" srcId="{831F7EC6-3C87-426F-B230-CFCD62373446}" destId="{89E3F560-D14F-4954-A38C-29C919608EF3}" srcOrd="0" destOrd="0" presId="urn:microsoft.com/office/officeart/2005/8/layout/lProcess2"/>
    <dgm:cxn modelId="{0910FE9D-F348-4B6F-BD88-91ACFAF12F39}" type="presParOf" srcId="{89E3F560-D14F-4954-A38C-29C919608EF3}" destId="{91C7D0B9-D3E2-4157-ADAB-D5A0980F3306}" srcOrd="0" destOrd="0" presId="urn:microsoft.com/office/officeart/2005/8/layout/lProcess2"/>
    <dgm:cxn modelId="{86D4DC72-5244-4604-BBCA-9A40E4F0BA07}" type="presParOf" srcId="{89E3F560-D14F-4954-A38C-29C919608EF3}" destId="{40357C6C-23BB-43AA-93A7-424811B4745E}" srcOrd="1" destOrd="0" presId="urn:microsoft.com/office/officeart/2005/8/layout/lProcess2"/>
    <dgm:cxn modelId="{D7EDB933-1F18-48A2-93E1-5703CC2F4CCF}" type="presParOf" srcId="{89E3F560-D14F-4954-A38C-29C919608EF3}" destId="{16A9BBA9-2309-4761-9105-17E2E9813551}" srcOrd="2" destOrd="0" presId="urn:microsoft.com/office/officeart/2005/8/layout/lProcess2"/>
    <dgm:cxn modelId="{053124AE-1A84-463C-A49B-2F373F4509DD}" type="presParOf" srcId="{5B2E33E5-C16B-44B2-B7C0-C98F6814EF06}" destId="{4CB54DFD-7D62-4F26-87FA-814D9F7EC4CD}" srcOrd="7" destOrd="0" presId="urn:microsoft.com/office/officeart/2005/8/layout/lProcess2"/>
    <dgm:cxn modelId="{492617F7-34CD-47E5-80C9-EB77148DBB1B}" type="presParOf" srcId="{5B2E33E5-C16B-44B2-B7C0-C98F6814EF06}" destId="{957296D8-C800-4746-8359-7457B938E78B}" srcOrd="8" destOrd="0" presId="urn:microsoft.com/office/officeart/2005/8/layout/lProcess2"/>
    <dgm:cxn modelId="{5E4BB7DC-11A8-4269-93CE-E8B46C70E136}" type="presParOf" srcId="{957296D8-C800-4746-8359-7457B938E78B}" destId="{0097F198-A6D6-4A51-80A9-3103827DCA37}" srcOrd="0" destOrd="0" presId="urn:microsoft.com/office/officeart/2005/8/layout/lProcess2"/>
    <dgm:cxn modelId="{941811D4-FAA8-46FD-A65F-AC233DD43DDC}" type="presParOf" srcId="{957296D8-C800-4746-8359-7457B938E78B}" destId="{ED04B801-AC95-4015-B183-BF7E30BEA47C}" srcOrd="1" destOrd="0" presId="urn:microsoft.com/office/officeart/2005/8/layout/lProcess2"/>
    <dgm:cxn modelId="{ED47F00B-8BDD-4013-9F4C-D180BCCD5D1D}" type="presParOf" srcId="{957296D8-C800-4746-8359-7457B938E78B}" destId="{12E6ADD8-E68D-4663-A581-79BD8BEC4B1C}" srcOrd="2" destOrd="0" presId="urn:microsoft.com/office/officeart/2005/8/layout/lProcess2"/>
    <dgm:cxn modelId="{2E6F414E-D6AE-41E5-86AF-0E89660522C1}" type="presParOf" srcId="{12E6ADD8-E68D-4663-A581-79BD8BEC4B1C}" destId="{3940B665-0DBC-40B2-8238-C45671A5DB81}" srcOrd="0" destOrd="0" presId="urn:microsoft.com/office/officeart/2005/8/layout/lProcess2"/>
    <dgm:cxn modelId="{38A241E8-7A1F-4456-98D0-07299FDC1297}" type="presParOf" srcId="{3940B665-0DBC-40B2-8238-C45671A5DB81}" destId="{50063934-7EF6-406B-8F16-38EAC208195B}" srcOrd="0" destOrd="0" presId="urn:microsoft.com/office/officeart/2005/8/layout/lProcess2"/>
    <dgm:cxn modelId="{9E54D20B-A30E-48FE-B5F5-ABC6FE31B6B0}" type="presParOf" srcId="{3940B665-0DBC-40B2-8238-C45671A5DB81}" destId="{BBD614A9-47B7-4434-B82B-D7B5B96FDCC2}" srcOrd="1" destOrd="0" presId="urn:microsoft.com/office/officeart/2005/8/layout/lProcess2"/>
    <dgm:cxn modelId="{C565F992-4785-466C-8AF9-0ED6BADCF90F}" type="presParOf" srcId="{3940B665-0DBC-40B2-8238-C45671A5DB81}" destId="{77154090-F752-45ED-94FC-532BAD06AFF0}" srcOrd="2" destOrd="0" presId="urn:microsoft.com/office/officeart/2005/8/layout/lProcess2"/>
    <dgm:cxn modelId="{D62C1991-7C27-4925-B025-22536D29A8CC}" type="presParOf" srcId="{5B2E33E5-C16B-44B2-B7C0-C98F6814EF06}" destId="{03C2C844-7F59-4ADE-8F4F-01454DA18E9E}" srcOrd="9" destOrd="0" presId="urn:microsoft.com/office/officeart/2005/8/layout/lProcess2"/>
    <dgm:cxn modelId="{31A1B373-9800-48A9-A0BA-03D03CAA3DB0}" type="presParOf" srcId="{5B2E33E5-C16B-44B2-B7C0-C98F6814EF06}" destId="{5195D901-EC49-4C97-AFFD-FEFD0B9908CE}" srcOrd="10" destOrd="0" presId="urn:microsoft.com/office/officeart/2005/8/layout/lProcess2"/>
    <dgm:cxn modelId="{F01FFED4-6118-411B-B111-79B1852485C5}" type="presParOf" srcId="{5195D901-EC49-4C97-AFFD-FEFD0B9908CE}" destId="{E6BA38B3-AA72-46D7-AB72-66B55C8148E8}" srcOrd="0" destOrd="0" presId="urn:microsoft.com/office/officeart/2005/8/layout/lProcess2"/>
    <dgm:cxn modelId="{F29E7085-54A6-440F-A5C8-77153E34673A}" type="presParOf" srcId="{5195D901-EC49-4C97-AFFD-FEFD0B9908CE}" destId="{46A6910F-CD2E-4131-BB9F-9B8C73A2479E}" srcOrd="1" destOrd="0" presId="urn:microsoft.com/office/officeart/2005/8/layout/lProcess2"/>
    <dgm:cxn modelId="{D6107B3A-FAD9-4C30-89FE-2BD2E75C9604}" type="presParOf" srcId="{5195D901-EC49-4C97-AFFD-FEFD0B9908CE}" destId="{1A99E2FC-EA91-4F4C-B964-35C91A69BB51}" srcOrd="2" destOrd="0" presId="urn:microsoft.com/office/officeart/2005/8/layout/lProcess2"/>
    <dgm:cxn modelId="{ACB5DCB2-56FB-4B10-BCBA-2BC72E2ADA5B}" type="presParOf" srcId="{1A99E2FC-EA91-4F4C-B964-35C91A69BB51}" destId="{72FBA8DA-5AED-496A-A9F8-1A433DEABB37}" srcOrd="0" destOrd="0" presId="urn:microsoft.com/office/officeart/2005/8/layout/lProcess2"/>
    <dgm:cxn modelId="{EB950B80-38D8-47CD-B4DA-C7B4D6883391}" type="presParOf" srcId="{72FBA8DA-5AED-496A-A9F8-1A433DEABB37}" destId="{D8AB12C6-E750-43FB-B137-0BC8B46AFD31}" srcOrd="0"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8F0822-C837-45DB-97DE-8B4755B4FC3E}">
      <dsp:nvSpPr>
        <dsp:cNvPr id="0" name=""/>
        <dsp:cNvSpPr/>
      </dsp:nvSpPr>
      <dsp:spPr>
        <a:xfrm>
          <a:off x="2125"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Alimento 1 </a:t>
          </a:r>
        </a:p>
      </dsp:txBody>
      <dsp:txXfrm>
        <a:off x="2125" y="0"/>
        <a:ext cx="839830" cy="1134129"/>
      </dsp:txXfrm>
    </dsp:sp>
    <dsp:sp modelId="{5D41EBF6-96A8-4E82-8AE6-57E1BE8E43EB}">
      <dsp:nvSpPr>
        <dsp:cNvPr id="0" name=""/>
        <dsp:cNvSpPr/>
      </dsp:nvSpPr>
      <dsp:spPr>
        <a:xfrm>
          <a:off x="86108" y="1135236"/>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0% Sargazo arribazón</a:t>
          </a:r>
        </a:p>
      </dsp:txBody>
      <dsp:txXfrm>
        <a:off x="105786" y="1154914"/>
        <a:ext cx="632508" cy="1100495"/>
      </dsp:txXfrm>
    </dsp:sp>
    <dsp:sp modelId="{4D3DB9EC-D408-4218-9ABE-AE33398859C4}">
      <dsp:nvSpPr>
        <dsp:cNvPr id="0" name=""/>
        <dsp:cNvSpPr/>
      </dsp:nvSpPr>
      <dsp:spPr>
        <a:xfrm>
          <a:off x="86108" y="2450449"/>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100% Materia organica</a:t>
          </a:r>
        </a:p>
      </dsp:txBody>
      <dsp:txXfrm>
        <a:off x="105786" y="2470127"/>
        <a:ext cx="632508" cy="1100495"/>
      </dsp:txXfrm>
    </dsp:sp>
    <dsp:sp modelId="{76931730-F9AB-4C7F-9EC9-53AE2D571551}">
      <dsp:nvSpPr>
        <dsp:cNvPr id="0" name=""/>
        <dsp:cNvSpPr/>
      </dsp:nvSpPr>
      <dsp:spPr>
        <a:xfrm>
          <a:off x="904943"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Alimento 2</a:t>
          </a:r>
        </a:p>
      </dsp:txBody>
      <dsp:txXfrm>
        <a:off x="904943" y="0"/>
        <a:ext cx="839830" cy="1134129"/>
      </dsp:txXfrm>
    </dsp:sp>
    <dsp:sp modelId="{C5520FD3-0F3C-4D11-B733-5F0A776B3AF6}">
      <dsp:nvSpPr>
        <dsp:cNvPr id="0" name=""/>
        <dsp:cNvSpPr/>
      </dsp:nvSpPr>
      <dsp:spPr>
        <a:xfrm>
          <a:off x="988926" y="1135236"/>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25% Sargazo Arribazón</a:t>
          </a:r>
        </a:p>
      </dsp:txBody>
      <dsp:txXfrm>
        <a:off x="1008604" y="1154914"/>
        <a:ext cx="632508" cy="1100495"/>
      </dsp:txXfrm>
    </dsp:sp>
    <dsp:sp modelId="{547C9B24-7214-40B0-923E-7F08055864E1}">
      <dsp:nvSpPr>
        <dsp:cNvPr id="0" name=""/>
        <dsp:cNvSpPr/>
      </dsp:nvSpPr>
      <dsp:spPr>
        <a:xfrm>
          <a:off x="988926" y="2450449"/>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75% Materia organica</a:t>
          </a:r>
        </a:p>
      </dsp:txBody>
      <dsp:txXfrm>
        <a:off x="1008604" y="2470127"/>
        <a:ext cx="632508" cy="1100495"/>
      </dsp:txXfrm>
    </dsp:sp>
    <dsp:sp modelId="{A3B9A9E5-F0CA-4BAD-9766-612520202229}">
      <dsp:nvSpPr>
        <dsp:cNvPr id="0" name=""/>
        <dsp:cNvSpPr/>
      </dsp:nvSpPr>
      <dsp:spPr>
        <a:xfrm>
          <a:off x="1807760"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Alimento 3</a:t>
          </a:r>
        </a:p>
      </dsp:txBody>
      <dsp:txXfrm>
        <a:off x="1807760" y="0"/>
        <a:ext cx="839830" cy="1134129"/>
      </dsp:txXfrm>
    </dsp:sp>
    <dsp:sp modelId="{50063F1E-461F-4803-910B-99240B257995}">
      <dsp:nvSpPr>
        <dsp:cNvPr id="0" name=""/>
        <dsp:cNvSpPr/>
      </dsp:nvSpPr>
      <dsp:spPr>
        <a:xfrm>
          <a:off x="1891743" y="1135236"/>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50% Sargazo Arribazón</a:t>
          </a:r>
        </a:p>
      </dsp:txBody>
      <dsp:txXfrm>
        <a:off x="1911421" y="1154914"/>
        <a:ext cx="632508" cy="1100495"/>
      </dsp:txXfrm>
    </dsp:sp>
    <dsp:sp modelId="{650C0589-E454-4077-9EE5-BCACF2D3D064}">
      <dsp:nvSpPr>
        <dsp:cNvPr id="0" name=""/>
        <dsp:cNvSpPr/>
      </dsp:nvSpPr>
      <dsp:spPr>
        <a:xfrm>
          <a:off x="1891743" y="2450449"/>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50% Materia organica</a:t>
          </a:r>
        </a:p>
      </dsp:txBody>
      <dsp:txXfrm>
        <a:off x="1911421" y="2470127"/>
        <a:ext cx="632508" cy="1100495"/>
      </dsp:txXfrm>
    </dsp:sp>
    <dsp:sp modelId="{0B088575-29C5-48DA-9575-A99290D70733}">
      <dsp:nvSpPr>
        <dsp:cNvPr id="0" name=""/>
        <dsp:cNvSpPr/>
      </dsp:nvSpPr>
      <dsp:spPr>
        <a:xfrm>
          <a:off x="2710577"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Alimento 4</a:t>
          </a:r>
        </a:p>
      </dsp:txBody>
      <dsp:txXfrm>
        <a:off x="2710577" y="0"/>
        <a:ext cx="839830" cy="1134129"/>
      </dsp:txXfrm>
    </dsp:sp>
    <dsp:sp modelId="{91C7D0B9-D3E2-4157-ADAB-D5A0980F3306}">
      <dsp:nvSpPr>
        <dsp:cNvPr id="0" name=""/>
        <dsp:cNvSpPr/>
      </dsp:nvSpPr>
      <dsp:spPr>
        <a:xfrm>
          <a:off x="2794560" y="1135236"/>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75% Sargazo Arribazón</a:t>
          </a:r>
        </a:p>
      </dsp:txBody>
      <dsp:txXfrm>
        <a:off x="2814238" y="1154914"/>
        <a:ext cx="632508" cy="1100495"/>
      </dsp:txXfrm>
    </dsp:sp>
    <dsp:sp modelId="{16A9BBA9-2309-4761-9105-17E2E9813551}">
      <dsp:nvSpPr>
        <dsp:cNvPr id="0" name=""/>
        <dsp:cNvSpPr/>
      </dsp:nvSpPr>
      <dsp:spPr>
        <a:xfrm>
          <a:off x="2794560" y="2450449"/>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25% Materia organica</a:t>
          </a:r>
        </a:p>
      </dsp:txBody>
      <dsp:txXfrm>
        <a:off x="2814238" y="2470127"/>
        <a:ext cx="632508" cy="1100495"/>
      </dsp:txXfrm>
    </dsp:sp>
    <dsp:sp modelId="{0097F198-A6D6-4A51-80A9-3103827DCA37}">
      <dsp:nvSpPr>
        <dsp:cNvPr id="0" name=""/>
        <dsp:cNvSpPr/>
      </dsp:nvSpPr>
      <dsp:spPr>
        <a:xfrm>
          <a:off x="3613394"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Alimento 5</a:t>
          </a:r>
        </a:p>
      </dsp:txBody>
      <dsp:txXfrm>
        <a:off x="3613394" y="0"/>
        <a:ext cx="839830" cy="1134129"/>
      </dsp:txXfrm>
    </dsp:sp>
    <dsp:sp modelId="{50063934-7EF6-406B-8F16-38EAC208195B}">
      <dsp:nvSpPr>
        <dsp:cNvPr id="0" name=""/>
        <dsp:cNvSpPr/>
      </dsp:nvSpPr>
      <dsp:spPr>
        <a:xfrm>
          <a:off x="3697377" y="1135236"/>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100% Sargazo Arribazón</a:t>
          </a:r>
        </a:p>
      </dsp:txBody>
      <dsp:txXfrm>
        <a:off x="3717055" y="1154914"/>
        <a:ext cx="632508" cy="1100495"/>
      </dsp:txXfrm>
    </dsp:sp>
    <dsp:sp modelId="{77154090-F752-45ED-94FC-532BAD06AFF0}">
      <dsp:nvSpPr>
        <dsp:cNvPr id="0" name=""/>
        <dsp:cNvSpPr/>
      </dsp:nvSpPr>
      <dsp:spPr>
        <a:xfrm>
          <a:off x="3697377" y="2450449"/>
          <a:ext cx="671864" cy="11398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0% Materia organica</a:t>
          </a:r>
        </a:p>
      </dsp:txBody>
      <dsp:txXfrm>
        <a:off x="3717055" y="2470127"/>
        <a:ext cx="632508" cy="1100495"/>
      </dsp:txXfrm>
    </dsp:sp>
    <dsp:sp modelId="{E6BA38B3-AA72-46D7-AB72-66B55C8148E8}">
      <dsp:nvSpPr>
        <dsp:cNvPr id="0" name=""/>
        <dsp:cNvSpPr/>
      </dsp:nvSpPr>
      <dsp:spPr>
        <a:xfrm>
          <a:off x="4516212" y="0"/>
          <a:ext cx="839830" cy="378043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Numero de lombrices por pileta.</a:t>
          </a:r>
        </a:p>
      </dsp:txBody>
      <dsp:txXfrm>
        <a:off x="4516212" y="0"/>
        <a:ext cx="839830" cy="1134129"/>
      </dsp:txXfrm>
    </dsp:sp>
    <dsp:sp modelId="{D8AB12C6-E750-43FB-B137-0BC8B46AFD31}">
      <dsp:nvSpPr>
        <dsp:cNvPr id="0" name=""/>
        <dsp:cNvSpPr/>
      </dsp:nvSpPr>
      <dsp:spPr>
        <a:xfrm>
          <a:off x="4600195" y="1134129"/>
          <a:ext cx="671864" cy="245727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kern="1200"/>
            <a:t>15 lombrices por pileta</a:t>
          </a:r>
        </a:p>
      </dsp:txBody>
      <dsp:txXfrm>
        <a:off x="4619873" y="1153807"/>
        <a:ext cx="632508" cy="2417923"/>
      </dsp:txXfrm>
    </dsp:sp>
  </dsp:spTree>
</dsp:drawing>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docProps/app.xml><?xml version="1.0" encoding="utf-8"?>
<Properties xmlns="http://schemas.openxmlformats.org/officeDocument/2006/extended-properties" xmlns:vt="http://schemas.openxmlformats.org/officeDocument/2006/docPropsVTypes">
  <Template/>
  <TotalTime>10</TotalTime>
  <Application>LibreOffice/7.0.4.2$Linux_X86_64 LibreOffice_project/00$Build-2</Application>
  <AppVersion>15.0000</AppVersion>
  <Pages>8</Pages>
  <Words>4240</Words>
  <Characters>21712</Characters>
  <CharactersWithSpaces>25753</CharactersWithSpaces>
  <Paragraphs>234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2022-07-07T00:59:45Z</dcterms:created>
  <dc:creator/>
  <dc:description/>
  <dc:language>es-MX</dc:language>
  <cp:lastModifiedBy/>
  <dcterms:modified xsi:type="dcterms:W3CDTF">2022-07-07T01:20:05Z</dcterms:modified>
  <cp:revision>3</cp:revision>
  <dc:subject/>
  <dc:title/>
</cp:coreProperties>
</file>