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charts/chart1.xml" ContentType="application/vnd.openxmlformats-officedocument.drawingml.chart+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center"/>
        <w:rPr>
          <w:sz w:val="44"/>
          <w:szCs w:val="44"/>
        </w:rPr>
      </w:pPr>
      <w:r>
        <w:rPr>
          <w:rFonts w:cs="Times New Roman" w:ascii="Times New Roman" w:hAnsi="Times New Roman"/>
          <w:color w:val="000000"/>
          <w:sz w:val="44"/>
          <w:szCs w:val="44"/>
        </w:rPr>
        <w:t>Estimación energética para dos edificios estatales en Progreso, Yucatán, México, aplicando la NOM-008-ENER-2001 y un sistema renovable híbrido de generación eléctrica</w:t>
      </w:r>
    </w:p>
    <w:p>
      <w:pPr>
        <w:pStyle w:val="Normal"/>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center"/>
        <w:rPr>
          <w:i w:val="false"/>
          <w:i w:val="false"/>
          <w:iCs w:val="false"/>
          <w:sz w:val="36"/>
          <w:szCs w:val="36"/>
        </w:rPr>
      </w:pPr>
      <w:r>
        <w:rPr>
          <w:rFonts w:cs="Times New Roman" w:ascii="Times New Roman" w:hAnsi="Times New Roman"/>
          <w:i w:val="false"/>
          <w:iCs w:val="false"/>
          <w:color w:val="000000"/>
          <w:sz w:val="36"/>
          <w:szCs w:val="36"/>
          <w:lang w:val="en-US"/>
        </w:rPr>
        <w:t>Energy estimate for two state buildings in Progreso, Yucatán, México, based on the NOM-008-ENER-2001 standard and a hybrid renewable electricity generation system</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rPr>
          <w:rFonts w:ascii="Times New Roman" w:hAnsi="Times New Roman" w:cs="Times New Roman"/>
          <w:i/>
          <w:i/>
          <w:iCs/>
          <w:color w:val="000000"/>
          <w:sz w:val="20"/>
          <w:szCs w:val="20"/>
          <w:lang w:val="en-US"/>
        </w:rPr>
      </w:pPr>
      <w:r>
        <w:rPr>
          <w:rFonts w:cs="Times New Roman" w:ascii="Times New Roman" w:hAnsi="Times New Roman"/>
          <w:i/>
          <w:iCs/>
          <w:color w:val="000000"/>
          <w:sz w:val="20"/>
          <w:szCs w:val="20"/>
          <w:lang w:val="en-US"/>
        </w:rPr>
      </w:r>
    </w:p>
    <w:p>
      <w:pPr>
        <w:pStyle w:val="Normal"/>
        <w:shd w:val="clear" w:color="auto" w:fill="FFFFFF"/>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bidi w:val="0"/>
        <w:spacing w:lineRule="auto" w:line="240" w:before="0" w:after="0"/>
        <w:jc w:val="center"/>
        <w:rPr>
          <w:rFonts w:ascii="Times new roman" w:hAnsi="Times new roman"/>
          <w:i w:val="false"/>
          <w:i w:val="false"/>
          <w:iCs w:val="false"/>
          <w:sz w:val="24"/>
          <w:szCs w:val="24"/>
        </w:rPr>
      </w:pPr>
      <w:r>
        <w:rPr>
          <w:rFonts w:eastAsia="Times New Roman" w:ascii="Times new roman" w:hAnsi="Times new roman"/>
          <w:i w:val="false"/>
          <w:iCs w:val="false"/>
          <w:color w:val="212121"/>
          <w:sz w:val="24"/>
          <w:szCs w:val="24"/>
        </w:rPr>
        <w:t>Jesús Francis Martínez Ortega</w:t>
      </w:r>
      <w:r>
        <w:rPr>
          <w:rFonts w:eastAsia="Times New Roman" w:ascii="Times new roman" w:hAnsi="Times new roman"/>
          <w:i w:val="false"/>
          <w:iCs w:val="false"/>
          <w:color w:val="212121"/>
          <w:sz w:val="24"/>
          <w:szCs w:val="24"/>
          <w:vertAlign w:val="superscript"/>
        </w:rPr>
        <w:t xml:space="preserve">1* </w:t>
      </w:r>
      <w:r>
        <w:rPr>
          <w:rFonts w:eastAsia="Times New Roman" w:ascii="Times new roman" w:hAnsi="Times new roman"/>
          <w:i w:val="false"/>
          <w:iCs w:val="false"/>
          <w:color w:val="212121"/>
          <w:sz w:val="24"/>
          <w:szCs w:val="24"/>
        </w:rPr>
        <w:t>y</w:t>
      </w:r>
      <w:r>
        <w:rPr>
          <w:rFonts w:eastAsia="Times New Roman" w:ascii="Times new roman" w:hAnsi="Times new roman"/>
          <w:i w:val="false"/>
          <w:iCs w:val="false"/>
          <w:color w:val="212121"/>
          <w:sz w:val="24"/>
          <w:szCs w:val="24"/>
        </w:rPr>
        <w:t xml:space="preserve"> </w:t>
      </w:r>
      <w:r>
        <w:rPr>
          <w:rFonts w:eastAsia="Times New Roman" w:ascii="Times new roman" w:hAnsi="Times new roman"/>
          <w:i w:val="false"/>
          <w:iCs w:val="false"/>
          <w:color w:val="212121"/>
          <w:sz w:val="24"/>
          <w:szCs w:val="24"/>
        </w:rPr>
        <w:t>Julio Andrés Solís Pérez</w:t>
      </w:r>
      <w:r>
        <w:rPr>
          <w:rFonts w:eastAsia="Times New Roman" w:ascii="Times new roman" w:hAnsi="Times new roman"/>
          <w:i w:val="false"/>
          <w:iCs w:val="false"/>
          <w:color w:val="212121"/>
          <w:sz w:val="24"/>
          <w:szCs w:val="24"/>
          <w:vertAlign w:val="superscript"/>
        </w:rPr>
        <w:t>1</w:t>
      </w:r>
    </w:p>
    <w:p>
      <w:pPr>
        <w:pStyle w:val="Normal"/>
        <w:shd w:val="clear" w:color="auto" w:fill="FFFFFF"/>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bidi w:val="0"/>
        <w:spacing w:lineRule="auto" w:line="240" w:before="0" w:after="0"/>
        <w:jc w:val="center"/>
        <w:rPr>
          <w:rFonts w:eastAsia="Times New Roman"/>
          <w:color w:val="212121"/>
          <w:vertAlign w:val="superscript"/>
        </w:rPr>
      </w:pPr>
      <w:r>
        <w:rPr>
          <w:rFonts w:eastAsia="Times New Roman"/>
          <w:color w:val="212121"/>
          <w:vertAlign w:val="superscript"/>
        </w:rPr>
      </w:r>
    </w:p>
    <w:p>
      <w:pPr>
        <w:pStyle w:val="Normal"/>
        <w:shd w:val="clear" w:color="auto" w:fill="FFFFFF"/>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bidi w:val="0"/>
        <w:spacing w:lineRule="auto" w:line="240" w:before="0" w:after="0"/>
        <w:jc w:val="center"/>
        <w:rPr>
          <w:rFonts w:ascii="Times new roman" w:hAnsi="Times new roman"/>
          <w:i/>
          <w:i/>
          <w:iCs/>
          <w:sz w:val="24"/>
          <w:szCs w:val="24"/>
        </w:rPr>
      </w:pPr>
      <w:r>
        <w:rPr/>
      </w:r>
    </w:p>
    <w:p>
      <w:pPr>
        <w:pStyle w:val="Normal"/>
        <w:shd w:val="clear" w:color="auto" w:fill="FFFFFF"/>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bidi w:val="0"/>
        <w:spacing w:lineRule="auto" w:line="240" w:before="0" w:after="0"/>
        <w:jc w:val="center"/>
        <w:rPr>
          <w:rFonts w:ascii="Times new roman" w:hAnsi="Times new roman"/>
          <w:i/>
          <w:i/>
          <w:iCs/>
          <w:sz w:val="24"/>
          <w:szCs w:val="24"/>
        </w:rPr>
      </w:pPr>
      <w:r>
        <w:rPr>
          <w:rFonts w:eastAsia="Times New Roman" w:ascii="Times new roman" w:hAnsi="Times new roman"/>
          <w:i/>
          <w:iCs/>
          <w:color w:val="212121"/>
          <w:sz w:val="24"/>
          <w:szCs w:val="24"/>
          <w:vertAlign w:val="superscript"/>
        </w:rPr>
        <w:t>1</w:t>
      </w:r>
      <w:r>
        <w:rPr>
          <w:rFonts w:eastAsia="Times New Roman" w:ascii="Times new roman" w:hAnsi="Times new roman"/>
          <w:i/>
          <w:iCs/>
          <w:color w:val="212121"/>
          <w:sz w:val="24"/>
          <w:szCs w:val="24"/>
        </w:rPr>
        <w:t xml:space="preserve">Tecnológico Nacional de México campus Progreso, </w:t>
      </w:r>
    </w:p>
    <w:p>
      <w:pPr>
        <w:pStyle w:val="Normal"/>
        <w:shd w:val="clear" w:color="auto" w:fill="FFFFFF"/>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bidi w:val="0"/>
        <w:spacing w:lineRule="auto" w:line="240" w:before="0" w:after="0"/>
        <w:jc w:val="center"/>
        <w:rPr>
          <w:rFonts w:ascii="Times new roman" w:hAnsi="Times new roman"/>
          <w:i/>
          <w:i/>
          <w:iCs/>
          <w:sz w:val="24"/>
          <w:szCs w:val="24"/>
        </w:rPr>
      </w:pPr>
      <w:r>
        <w:rPr>
          <w:rFonts w:eastAsia="Times New Roman" w:ascii="Times new roman" w:hAnsi="Times new roman"/>
          <w:i/>
          <w:iCs/>
          <w:color w:val="212121"/>
          <w:sz w:val="24"/>
          <w:szCs w:val="24"/>
        </w:rPr>
        <w:t>Boulevard Tecnológico de Progreso S/N x 62 C.P. 97320, Progreso, Yucatán, México</w:t>
      </w:r>
      <w:r>
        <w:rPr>
          <w:rFonts w:eastAsia="Times New Roman" w:cs="Courier New" w:ascii="Times new roman" w:hAnsi="Times new roman"/>
          <w:i/>
          <w:iCs/>
          <w:color w:val="212121"/>
          <w:sz w:val="24"/>
          <w:szCs w:val="24"/>
        </w:rPr>
        <w:t>.</w:t>
      </w:r>
    </w:p>
    <w:p>
      <w:pPr>
        <w:pStyle w:val="Normal"/>
        <w:bidi w:val="0"/>
        <w:spacing w:lineRule="auto" w:line="240" w:before="0" w:after="0"/>
        <w:jc w:val="center"/>
        <w:rPr>
          <w:rFonts w:eastAsia="Times New Roman"/>
          <w:color w:val="212121"/>
        </w:rPr>
      </w:pPr>
      <w:r>
        <w:rPr>
          <w:rFonts w:eastAsia="Times New Roman"/>
          <w:color w:val="212121"/>
        </w:rPr>
      </w:r>
    </w:p>
    <w:p>
      <w:pPr>
        <w:pStyle w:val="Normal"/>
        <w:bidi w:val="0"/>
        <w:spacing w:lineRule="auto" w:line="240" w:before="0" w:after="0"/>
        <w:jc w:val="center"/>
        <w:rPr>
          <w:rFonts w:ascii="Times new roman" w:hAnsi="Times new roman"/>
          <w:i/>
          <w:i/>
          <w:iCs/>
          <w:sz w:val="20"/>
          <w:szCs w:val="20"/>
        </w:rPr>
      </w:pPr>
      <w:r>
        <w:rPr>
          <w:rFonts w:eastAsia="Times New Roman" w:cs="Arial" w:ascii="Times new roman" w:hAnsi="Times new roman"/>
          <w:b w:val="false"/>
          <w:bCs w:val="false"/>
          <w:i/>
          <w:iCs/>
          <w:color w:val="212121"/>
          <w:position w:val="0"/>
          <w:sz w:val="20"/>
          <w:sz w:val="20"/>
          <w:szCs w:val="20"/>
          <w:vertAlign w:val="baseline"/>
          <w:lang w:val="en-GB"/>
        </w:rPr>
        <w:t>*Corresponding author:</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bidi w:val="0"/>
        <w:spacing w:lineRule="auto" w:line="240" w:before="0" w:after="0"/>
        <w:jc w:val="center"/>
        <w:rPr>
          <w:rFonts w:ascii="Times new roman" w:hAnsi="Times new roman"/>
          <w:i/>
          <w:i/>
          <w:iCs/>
          <w:sz w:val="20"/>
          <w:szCs w:val="20"/>
        </w:rPr>
      </w:pPr>
      <w:r>
        <w:rPr>
          <w:rFonts w:eastAsia="Times New Roman" w:cs="Times New Roman" w:ascii="Times new roman" w:hAnsi="Times new roman"/>
          <w:i/>
          <w:iCs/>
          <w:color w:val="212121"/>
          <w:sz w:val="20"/>
          <w:szCs w:val="20"/>
          <w:lang w:val="en-US"/>
        </w:rPr>
        <w:t>jmartinez</w:t>
      </w:r>
      <w:r>
        <w:rPr>
          <w:rFonts w:eastAsia="Times New Roman" w:cs="Times New Roman" w:ascii="Times new roman" w:hAnsi="Times new roman"/>
          <w:i/>
          <w:iCs/>
          <w:color w:val="212121"/>
          <w:sz w:val="20"/>
          <w:szCs w:val="20"/>
          <w:lang w:val="en-US"/>
        </w:rPr>
        <w:t>@itsprogreso.edu.mx</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rPr>
          <w:rFonts w:ascii="Times New Roman" w:hAnsi="Times New Roman" w:cs="Times New Roman"/>
          <w:i/>
          <w:i/>
          <w:iCs/>
          <w:color w:val="000000"/>
          <w:sz w:val="20"/>
          <w:szCs w:val="20"/>
          <w:lang w:val="en-US"/>
        </w:rPr>
      </w:pPr>
      <w:r>
        <w:rPr>
          <w:rFonts w:cs="Times New Roman" w:ascii="Times New Roman" w:hAnsi="Times New Roman"/>
          <w:i/>
          <w:iCs/>
          <w:color w:val="000000"/>
          <w:sz w:val="20"/>
          <w:szCs w:val="20"/>
          <w:lang w:val="en-US"/>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44" w:footer="1417" w:bottom="2109" w:gutter="0"/>
          <w:pgNumType w:fmt="decimal"/>
          <w:formProt w:val="false"/>
          <w:titlePg/>
          <w:textDirection w:val="lrTb"/>
          <w:docGrid w:type="default" w:linePitch="360" w:charSpace="4096"/>
        </w:sectPr>
      </w:pPr>
    </w:p>
    <w:p>
      <w:pPr>
        <w:pStyle w:val="Normal"/>
        <w:spacing w:lineRule="auto" w:line="240"/>
        <w:jc w:val="both"/>
        <w:rPr>
          <w:b/>
          <w:b/>
          <w:bCs/>
        </w:rPr>
      </w:pPr>
      <w:r>
        <w:rPr>
          <w:rFonts w:eastAsia="Times New Roman" w:cs="Times New Roman" w:ascii="Times New Roman" w:hAnsi="Times New Roman"/>
          <w:b/>
          <w:bCs/>
          <w:color w:val="000000"/>
          <w:sz w:val="20"/>
          <w:szCs w:val="20"/>
        </w:rPr>
        <w:t xml:space="preserve">Resumen. </w:t>
      </w:r>
      <w:r>
        <w:rPr>
          <w:rFonts w:eastAsia="Times New Roman" w:cs="Times New Roman" w:ascii="Times New Roman" w:hAnsi="Times New Roman"/>
          <w:b/>
          <w:bCs/>
          <w:color w:val="000000"/>
          <w:sz w:val="20"/>
          <w:szCs w:val="20"/>
        </w:rPr>
        <w:t>El o</w:t>
      </w:r>
      <w:r>
        <w:rPr>
          <w:rFonts w:eastAsia="Times New Roman" w:cs="Times New Roman" w:ascii="Times New Roman" w:hAnsi="Times New Roman"/>
          <w:b/>
          <w:bCs/>
          <w:color w:val="000000"/>
          <w:sz w:val="20"/>
          <w:szCs w:val="20"/>
        </w:rPr>
        <w:t xml:space="preserve">bjetivo </w:t>
      </w:r>
      <w:r>
        <w:rPr>
          <w:rFonts w:eastAsia="Times New Roman" w:cs="Times New Roman" w:ascii="Times New Roman" w:hAnsi="Times New Roman"/>
          <w:b/>
          <w:bCs/>
          <w:color w:val="000000"/>
          <w:sz w:val="20"/>
          <w:szCs w:val="20"/>
        </w:rPr>
        <w:t>de este trabajo</w:t>
      </w:r>
      <w:r>
        <w:rPr>
          <w:rFonts w:eastAsia="Times New Roman" w:cs="Times New Roman" w:ascii="Times New Roman" w:hAnsi="Times New Roman"/>
          <w:b/>
          <w:bCs/>
          <w:color w:val="000000"/>
          <w:sz w:val="20"/>
          <w:szCs w:val="20"/>
        </w:rPr>
        <w:t xml:space="preserve"> estimar</w:t>
      </w:r>
      <w:r>
        <w:rPr>
          <w:rFonts w:cs="Times New Roman" w:ascii="Times New Roman" w:hAnsi="Times New Roman"/>
          <w:b/>
          <w:bCs/>
          <w:color w:val="000000"/>
          <w:sz w:val="20"/>
          <w:szCs w:val="20"/>
        </w:rPr>
        <w:t xml:space="preserve"> la reducción del consumo eléctrico de la red a través del diseño de un sistema híbrido (fotovoltaico-eólico) y el cálculo del gasto energético de acuerdo con la NOM-008-ENER-2001, para dos edificios de oficinas del Campus Progreso del Tecnológico Nacional de México. Metodología: estudio de caso con unidades incrustadas para dos objetos de análisis; cuantitativo, con un alcance descriptivo y de tipo transeccional. Resultados: el sistema híbrido es suficiente para abastecer el 100% del consumo eléctrico de cualquiera de los edificios en cuestión, donde los días laborales es una variable que impacta positivamente al consumo; en cuanto a la NOM, ninguno la cumple, sobre todo por cuestiones de conductividad en techos y muros. Conclusiones: A pesar de no ser eficientemente energéticos, ambos edificios cumplen con el Índice de Cobertura de Energía Eléctrica [ICEE] que solicita el Acuerdo 31/2020 que, para el caso de Progreso, es de 120 kWh/m</w:t>
      </w:r>
      <w:r>
        <w:rPr>
          <w:rFonts w:cs="Times New Roman" w:ascii="Times New Roman" w:hAnsi="Times New Roman"/>
          <w:b/>
          <w:bCs/>
          <w:color w:val="000000"/>
          <w:sz w:val="20"/>
          <w:szCs w:val="20"/>
          <w:vertAlign w:val="superscript"/>
        </w:rPr>
        <w:t>2</w:t>
      </w:r>
      <w:r>
        <w:rPr>
          <w:rFonts w:cs="Times New Roman" w:ascii="Times New Roman" w:hAnsi="Times New Roman"/>
          <w:b/>
          <w:bCs/>
          <w:color w:val="000000"/>
          <w:sz w:val="20"/>
          <w:szCs w:val="20"/>
        </w:rPr>
        <w:t>-año, cuyo clima está clasificado como seco cálido seco; mismo valor que se considera para la ciudad capital, cuyo clima es cálido subhúmedo.</w:t>
      </w:r>
    </w:p>
    <w:p>
      <w:pPr>
        <w:pStyle w:val="Normal"/>
        <w:spacing w:lineRule="auto" w:line="240"/>
        <w:jc w:val="both"/>
        <w:rPr>
          <w:b/>
          <w:b/>
          <w:bCs/>
        </w:rPr>
      </w:pPr>
      <w:r>
        <w:rPr>
          <w:b/>
          <w:bCs/>
        </w:rPr>
      </w:r>
    </w:p>
    <w:p>
      <w:pPr>
        <w:pStyle w:val="Normal"/>
        <w:spacing w:lineRule="auto" w:line="240"/>
        <w:jc w:val="both"/>
        <w:rPr>
          <w:b/>
          <w:b/>
          <w:bCs/>
        </w:rPr>
      </w:pPr>
      <w:r>
        <w:rPr>
          <w:rFonts w:eastAsia="Times New Roman" w:cs="Times New Roman" w:ascii="Times New Roman" w:hAnsi="Times New Roman"/>
          <w:b/>
          <w:bCs/>
          <w:color w:val="000000"/>
          <w:sz w:val="20"/>
          <w:szCs w:val="20"/>
        </w:rPr>
        <w:t xml:space="preserve">Palabras clave: Sistemas híbridos, </w:t>
      </w:r>
      <w:r>
        <w:rPr>
          <w:rFonts w:cs="Times New Roman" w:ascii="Times New Roman" w:hAnsi="Times New Roman"/>
          <w:b/>
          <w:bCs/>
          <w:color w:val="000000"/>
          <w:sz w:val="20"/>
          <w:szCs w:val="20"/>
        </w:rPr>
        <w:t xml:space="preserve">NOM-008-ENER-2001, oficinas de gobierno, </w:t>
      </w:r>
      <w:r>
        <w:rPr>
          <w:rFonts w:cs="Times New Roman" w:ascii="Times New Roman" w:hAnsi="Times New Roman"/>
          <w:b/>
          <w:bCs/>
          <w:color w:val="000000"/>
          <w:sz w:val="20"/>
          <w:szCs w:val="20"/>
        </w:rPr>
        <w:t>a</w:t>
      </w:r>
      <w:r>
        <w:rPr>
          <w:rFonts w:cs="Times New Roman" w:ascii="Times New Roman" w:hAnsi="Times New Roman"/>
          <w:b/>
          <w:bCs/>
          <w:color w:val="000000"/>
          <w:sz w:val="20"/>
          <w:szCs w:val="20"/>
        </w:rPr>
        <w:t>cuerdo 31/2020 Yucatán.</w:t>
      </w:r>
    </w:p>
    <w:p>
      <w:pPr>
        <w:pStyle w:val="Normal"/>
        <w:spacing w:lineRule="auto" w:line="240"/>
        <w:jc w:val="both"/>
        <w:rPr>
          <w:rFonts w:ascii="Times New Roman" w:hAnsi="Times New Roman" w:cs="Times New Roman"/>
          <w:b/>
          <w:b/>
          <w:bCs/>
          <w:color w:val="000000"/>
          <w:sz w:val="20"/>
          <w:szCs w:val="20"/>
        </w:rPr>
      </w:pPr>
      <w:r>
        <w:rPr>
          <w:rFonts w:cs="Times New Roman" w:ascii="Times New Roman" w:hAnsi="Times New Roman"/>
          <w:b/>
          <w:bCs/>
          <w:color w:val="000000"/>
          <w:sz w:val="20"/>
          <w:szCs w:val="20"/>
        </w:rPr>
      </w:r>
    </w:p>
    <w:p>
      <w:pPr>
        <w:pStyle w:val="Normal"/>
        <w:spacing w:lineRule="auto" w:line="240"/>
        <w:jc w:val="both"/>
        <w:rPr>
          <w:b/>
          <w:b/>
          <w:bCs/>
        </w:rPr>
      </w:pPr>
      <w:r>
        <w:rPr>
          <w:rFonts w:eastAsia="Times New Roman" w:cs="Times New Roman" w:ascii="Times New Roman" w:hAnsi="Times New Roman"/>
          <w:b/>
          <w:bCs/>
          <w:color w:val="000000"/>
          <w:sz w:val="20"/>
          <w:szCs w:val="20"/>
          <w:lang w:val="en-US"/>
        </w:rPr>
        <w:t xml:space="preserve">Abstract. </w:t>
      </w:r>
      <w:r>
        <w:rPr>
          <w:rFonts w:eastAsia="Times New Roman" w:cs="Times New Roman" w:ascii="Times New Roman" w:hAnsi="Times New Roman"/>
          <w:b/>
          <w:bCs/>
          <w:color w:val="000000"/>
          <w:sz w:val="20"/>
          <w:szCs w:val="20"/>
          <w:lang w:val="en-US"/>
        </w:rPr>
        <w:t>The o</w:t>
      </w:r>
      <w:r>
        <w:rPr>
          <w:rFonts w:eastAsia="Times New Roman" w:cs="Times New Roman" w:ascii="Times New Roman" w:hAnsi="Times New Roman"/>
          <w:b/>
          <w:bCs/>
          <w:color w:val="000000"/>
          <w:sz w:val="20"/>
          <w:szCs w:val="20"/>
          <w:lang w:val="en-US"/>
        </w:rPr>
        <w:t xml:space="preserve">bjective </w:t>
      </w:r>
      <w:r>
        <w:rPr>
          <w:rFonts w:eastAsia="Times New Roman" w:cs="Times New Roman" w:ascii="Times New Roman" w:hAnsi="Times New Roman"/>
          <w:b/>
          <w:bCs/>
          <w:color w:val="000000"/>
          <w:sz w:val="20"/>
          <w:szCs w:val="20"/>
          <w:lang w:val="en-US"/>
        </w:rPr>
        <w:t>this work is</w:t>
      </w:r>
      <w:r>
        <w:rPr>
          <w:rFonts w:eastAsia="Times New Roman" w:cs="Times New Roman" w:ascii="Times New Roman" w:hAnsi="Times New Roman"/>
          <w:b/>
          <w:bCs/>
          <w:color w:val="000000"/>
          <w:sz w:val="20"/>
          <w:szCs w:val="20"/>
          <w:lang w:val="en-US"/>
        </w:rPr>
        <w:t xml:space="preserve"> estimate the reduction in electricity consumption of the network through the design of a hybrid system (photovoltaic-wind) and the calculation of energy consumption in accordance with the NOM-008-ENER-2001 standard, of two office buildings on the Campus of the Tecnológico Nacional, located in Progreso de Castro, Yucatán, Mexico. Methodology: case of study with embedded units for two analysis objects; quantitative, descriptive and cross-sectional in scope. Results: the hybrid system is enough to supply 100% of the electricity consumption of any of the buildings in question, where working days is a variable that positively impacts consumption. Regarding the standard, none manages to comply it, especially due to conductivity issues in ceilings and walls. Conclusions: Despite not being energy efficient, both buildings comply with the Electricity Coverage Index requested by Agreement 31/2020, which, in the case of Progreso, Yucatán, is 120 kWh/m</w:t>
      </w:r>
      <w:r>
        <w:rPr>
          <w:rFonts w:eastAsia="Times New Roman" w:cs="Times New Roman" w:ascii="Times New Roman" w:hAnsi="Times New Roman"/>
          <w:b/>
          <w:bCs/>
          <w:color w:val="000000"/>
          <w:sz w:val="20"/>
          <w:szCs w:val="20"/>
          <w:vertAlign w:val="superscript"/>
          <w:lang w:val="en-US"/>
        </w:rPr>
        <w:t>2</w:t>
      </w:r>
      <w:r>
        <w:rPr>
          <w:rFonts w:eastAsia="Times New Roman" w:cs="Times New Roman" w:ascii="Times New Roman" w:hAnsi="Times New Roman"/>
          <w:b/>
          <w:bCs/>
          <w:color w:val="000000"/>
          <w:sz w:val="20"/>
          <w:szCs w:val="20"/>
          <w:lang w:val="en-US"/>
        </w:rPr>
        <w:t>-year, whose climate is classified as dry and warm, the same value that is considered for the capital city, whose climate is warm sub-humid.</w:t>
      </w:r>
    </w:p>
    <w:p>
      <w:pPr>
        <w:pStyle w:val="Normal"/>
        <w:spacing w:lineRule="auto" w:line="240"/>
        <w:jc w:val="both"/>
        <w:rPr>
          <w:b/>
          <w:b/>
          <w:bCs/>
        </w:rPr>
      </w:pPr>
      <w:r>
        <w:rPr>
          <w:b/>
          <w:bCs/>
        </w:rPr>
      </w:r>
    </w:p>
    <w:p>
      <w:pPr>
        <w:pStyle w:val="HTMLPreformatted"/>
        <w:spacing w:lineRule="auto" w:line="240"/>
        <w:rPr/>
      </w:pPr>
      <w:r>
        <w:rPr>
          <w:rFonts w:cs="Times New Roman" w:ascii="Times New Roman" w:hAnsi="Times New Roman"/>
          <w:b/>
          <w:bCs/>
          <w:i w:val="false"/>
          <w:iCs w:val="false"/>
          <w:color w:val="000000"/>
          <w:sz w:val="20"/>
          <w:szCs w:val="20"/>
          <w:lang w:val="en-US"/>
        </w:rPr>
        <w:t>Keywords: H</w:t>
      </w:r>
      <w:r>
        <w:rPr>
          <w:rStyle w:val="Y2iqfc"/>
          <w:rFonts w:cs="Times New Roman" w:ascii="Times New Roman" w:hAnsi="Times New Roman"/>
          <w:b/>
          <w:bCs/>
          <w:i w:val="false"/>
          <w:iCs w:val="false"/>
          <w:color w:val="000000"/>
          <w:sz w:val="20"/>
          <w:szCs w:val="20"/>
          <w:lang w:val="en"/>
        </w:rPr>
        <w:t xml:space="preserve">ybrid systems, </w:t>
      </w:r>
      <w:r>
        <w:rPr>
          <w:rFonts w:cs="Times New Roman" w:ascii="Times New Roman" w:hAnsi="Times New Roman"/>
          <w:b/>
          <w:bCs/>
          <w:i w:val="false"/>
          <w:iCs w:val="false"/>
          <w:color w:val="000000"/>
          <w:sz w:val="20"/>
          <w:szCs w:val="20"/>
          <w:lang w:val="en-US"/>
        </w:rPr>
        <w:t xml:space="preserve">NOM-008-ENER-2001standard, </w:t>
      </w:r>
      <w:r>
        <w:rPr>
          <w:rStyle w:val="Y2iqfc"/>
          <w:rFonts w:cs="Times New Roman" w:ascii="Times New Roman" w:hAnsi="Times New Roman"/>
          <w:b/>
          <w:bCs/>
          <w:i w:val="false"/>
          <w:iCs w:val="false"/>
          <w:color w:val="000000"/>
          <w:sz w:val="20"/>
          <w:szCs w:val="20"/>
          <w:lang w:val="en"/>
        </w:rPr>
        <w:t xml:space="preserve">government offices, </w:t>
      </w:r>
      <w:r>
        <w:rPr>
          <w:rStyle w:val="Y2iqfc"/>
          <w:rFonts w:cs="Times New Roman" w:ascii="Times New Roman" w:hAnsi="Times New Roman"/>
          <w:b/>
          <w:bCs/>
          <w:i w:val="false"/>
          <w:iCs w:val="false"/>
          <w:color w:val="000000"/>
          <w:sz w:val="20"/>
          <w:szCs w:val="20"/>
          <w:lang w:val="en"/>
        </w:rPr>
        <w:t>a</w:t>
      </w:r>
      <w:r>
        <w:rPr>
          <w:rFonts w:cs="Times New Roman" w:ascii="Times New Roman" w:hAnsi="Times New Roman"/>
          <w:b/>
          <w:bCs/>
          <w:i w:val="false"/>
          <w:iCs w:val="false"/>
          <w:color w:val="000000"/>
          <w:sz w:val="20"/>
          <w:szCs w:val="20"/>
          <w:lang w:val="en-US"/>
        </w:rPr>
        <w:t>greement 31/2020 Yucatán.</w:t>
      </w:r>
    </w:p>
    <w:p>
      <w:pPr>
        <w:pStyle w:val="HTMLPreformatted"/>
        <w:spacing w:lineRule="auto" w:line="240"/>
        <w:rPr>
          <w:rFonts w:ascii="Times New Roman" w:hAnsi="Times New Roman" w:cs="Times New Roman"/>
          <w:color w:val="000000"/>
          <w:sz w:val="20"/>
          <w:szCs w:val="20"/>
          <w:lang w:val="en-US"/>
        </w:rPr>
      </w:pPr>
      <w:r>
        <w:rPr>
          <w:rFonts w:cs="Times New Roman" w:ascii="Times New Roman" w:hAnsi="Times New Roman"/>
          <w:color w:val="000000"/>
          <w:sz w:val="20"/>
          <w:szCs w:val="20"/>
          <w:lang w:val="en-US"/>
        </w:rPr>
      </w:r>
    </w:p>
    <w:p>
      <w:pPr>
        <w:pStyle w:val="Normal"/>
        <w:spacing w:lineRule="auto" w:line="240"/>
        <w:jc w:val="both"/>
        <w:rPr>
          <w:rFonts w:ascii="Times New Roman" w:hAnsi="Times New Roman"/>
          <w:b/>
          <w:b/>
          <w:bCs/>
          <w:color w:val="000000"/>
          <w:sz w:val="20"/>
          <w:szCs w:val="20"/>
        </w:rPr>
      </w:pPr>
      <w:r>
        <w:rPr>
          <w:rFonts w:eastAsia="Times New Roman" w:cs="Times New Roman" w:ascii="Times New Roman" w:hAnsi="Times New Roman"/>
          <w:b/>
          <w:bCs/>
          <w:color w:val="000000"/>
          <w:sz w:val="20"/>
          <w:szCs w:val="20"/>
        </w:rPr>
        <w:t>I. INTRODUCCIÓN</w:t>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A decir del Secretario Ejecutivo de la Organización Latinoamericana de Energía, el sector energético ha logrado subsistir a la crisis pandémica y puede ser un bastión en la construcción de un futuro más cierto para la Región al impulsar la economía, mejorando y modernizando la infraestructura, generando empleos y por supuesto reduciendo de las emisiones de gases de efecto invernadero. Por su parte, en el marco de las políticas públicas promovidas por el Banco Interamericano de Desarrollo, el sector está convocado a realizar grandes aportes a través de la discusión constructiva y acciones necesarias que coadyuven a la consolidación de la integración energética y mejorar la eficiencia en la gestión de los recursos naturales y financieros (Hallack, Tolmasquim, y Cadena, 2021).</w:t>
      </w:r>
    </w:p>
    <w:p>
      <w:pPr>
        <w:pStyle w:val="Normal"/>
        <w:spacing w:lineRule="auto" w:line="240"/>
        <w:jc w:val="both"/>
        <w:rPr>
          <w:rFonts w:ascii="Times New Roman" w:hAnsi="Times New Roman"/>
          <w:color w:val="000000"/>
          <w:sz w:val="20"/>
          <w:szCs w:val="20"/>
        </w:rPr>
      </w:pPr>
      <w:r>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A razón de esto, el sector puede ser fundamental para el crecimiento sostenible del aparato productivo nacional convirtiéndose en uno de los ejes centrales en todos los niveles de la planeación pública (Sanoni, 2006). Es en este orden de ideas que se propone el Plan Estatal de Desarrollo [PED] 2018-2024 del estado de Yucatán, México, que en común acuerdo con la sociedad organizada incorpora el enfoque de la Agenda 2030 para desarrollar su estructura (Decreto 53/2019; ONU, s.f. a). Fruto de este ejercicio democrático, el 18 de enero de 2021 se publica en el Diario Oficial el Acuerdo 31/2020 por el que se expiden los lineamientos para la eficiencia energética en los edificios públicos del gobierno; cuyo propósito general es lograr la eficiencia energética de estos (nuevos o usados) y disminuir en 5% el consumo eléctrico en el primer año base (2019) y de 3% en el segundo (2020), hasta alcanzar el Índice de Cobertura de Energía Eléctrica asignado a cada asentamiento humano donde se ubican estos.  Para el caso de Progreso, Yucatán, este es de </w:t>
      </w:r>
      <w:bookmarkStart w:id="0" w:name="_Hlk86817089"/>
      <w:r>
        <w:rPr>
          <w:rFonts w:cs="Times New Roman" w:ascii="Times New Roman" w:hAnsi="Times New Roman"/>
          <w:color w:val="000000"/>
          <w:sz w:val="20"/>
          <w:szCs w:val="20"/>
        </w:rPr>
        <w:t>120 kWh/m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-año</w:t>
      </w:r>
      <w:bookmarkEnd w:id="0"/>
      <w:r>
        <w:rPr>
          <w:rFonts w:cs="Times New Roman" w:ascii="Times New Roman" w:hAnsi="Times New Roman"/>
          <w:color w:val="000000"/>
          <w:sz w:val="20"/>
          <w:szCs w:val="20"/>
        </w:rPr>
        <w:t xml:space="preserve"> (en la Tabla 1 se aprecian los tópicos que le otorgan coherencia a la planeación del PED). </w:t>
      </w:r>
    </w:p>
    <w:p>
      <w:pPr>
        <w:pStyle w:val="Normal"/>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center"/>
        <w:rPr>
          <w:b/>
          <w:b/>
          <w:bCs/>
        </w:rPr>
      </w:pPr>
      <w:r>
        <w:rPr>
          <w:rFonts w:cs="Times New Roman" w:ascii="Times New Roman" w:hAnsi="Times New Roman"/>
          <w:b/>
          <w:bCs/>
          <w:color w:val="000000"/>
          <w:sz w:val="20"/>
          <w:szCs w:val="20"/>
        </w:rPr>
        <w:t xml:space="preserve">Tabla 1. Concordancia entre la Agenda 2030 y el PED 2018-2024.  </w:t>
      </w:r>
      <w:r>
        <w:rPr>
          <w:rFonts w:cs="Times New Roman" w:ascii="Times New Roman" w:hAnsi="Times New Roman"/>
          <w:b/>
          <w:bCs/>
          <w:color w:val="000000"/>
          <w:sz w:val="20"/>
          <w:szCs w:val="20"/>
          <w:shd w:fill="FFFFFF" w:val="clear"/>
          <w:lang w:eastAsia="en-US"/>
        </w:rPr>
        <w:t>Fuente: Elaboración propia con base en Decreto 53/2019 y ONU (s.f. b).</w:t>
      </w:r>
    </w:p>
    <w:tbl>
      <w:tblPr>
        <w:tblStyle w:val="Tablaconcuadrcula"/>
        <w:tblW w:w="3516" w:type="dxa"/>
        <w:jc w:val="left"/>
        <w:tblInd w:w="509" w:type="dxa"/>
        <w:tblLayout w:type="fixed"/>
        <w:tblCellMar>
          <w:top w:w="0" w:type="dxa"/>
          <w:left w:w="108" w:type="dxa"/>
          <w:bottom w:w="0" w:type="dxa"/>
          <w:right w:w="108" w:type="dxa"/>
        </w:tblCellMar>
        <w:tblLook w:val="04a0" w:noHBand="0" w:noVBand="1" w:firstColumn="1" w:lastRow="0" w:lastColumn="0" w:firstRow="1"/>
      </w:tblPr>
      <w:tblGrid>
        <w:gridCol w:w="1022"/>
        <w:gridCol w:w="2493"/>
      </w:tblGrid>
      <w:tr>
        <w:trPr/>
        <w:tc>
          <w:tcPr>
            <w:tcW w:w="1022"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Objetivo del Desarrollo Sostenible</w:t>
            </w:r>
          </w:p>
        </w:tc>
        <w:tc>
          <w:tcPr>
            <w:tcW w:w="2493"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7. Energía Asequible y no contaminante</w:t>
            </w:r>
          </w:p>
        </w:tc>
      </w:tr>
      <w:tr>
        <w:trPr/>
        <w:tc>
          <w:tcPr>
            <w:tcW w:w="1022"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Eje Plan Estatal de Desarrollo</w:t>
            </w:r>
          </w:p>
        </w:tc>
        <w:tc>
          <w:tcPr>
            <w:tcW w:w="2493"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Yucatán Verde y Sustentable</w:t>
            </w:r>
          </w:p>
        </w:tc>
      </w:tr>
      <w:tr>
        <w:trPr/>
        <w:tc>
          <w:tcPr>
            <w:tcW w:w="1022"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Política Pública</w:t>
            </w:r>
          </w:p>
        </w:tc>
        <w:tc>
          <w:tcPr>
            <w:tcW w:w="2493"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Energía asequible y no Contaminante</w:t>
            </w:r>
          </w:p>
        </w:tc>
      </w:tr>
      <w:tr>
        <w:trPr/>
        <w:tc>
          <w:tcPr>
            <w:tcW w:w="1022"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Objetivo</w:t>
            </w:r>
          </w:p>
        </w:tc>
        <w:tc>
          <w:tcPr>
            <w:tcW w:w="2493"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4.5.1. Incrementar la generación de energía no contaminante en Yucatán.</w:t>
            </w:r>
          </w:p>
        </w:tc>
      </w:tr>
      <w:tr>
        <w:trPr/>
        <w:tc>
          <w:tcPr>
            <w:tcW w:w="1022"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Indicador</w:t>
            </w:r>
          </w:p>
        </w:tc>
        <w:tc>
          <w:tcPr>
            <w:tcW w:w="2493"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Variación Porcentual de Energía Limpia generada (GWh/a)</w:t>
            </w:r>
          </w:p>
        </w:tc>
      </w:tr>
      <w:tr>
        <w:trPr/>
        <w:tc>
          <w:tcPr>
            <w:tcW w:w="1022"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 xml:space="preserve">Estrategia </w:t>
            </w:r>
          </w:p>
        </w:tc>
        <w:tc>
          <w:tcPr>
            <w:tcW w:w="2493"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4.5.1.2. Impulsar la generación de energía de fuentes renovables y la eficiencia energética compatible con el entorno social y ambiental.</w:t>
            </w:r>
          </w:p>
        </w:tc>
      </w:tr>
      <w:tr>
        <w:trPr/>
        <w:tc>
          <w:tcPr>
            <w:tcW w:w="1022"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Línea de Acción</w:t>
            </w:r>
          </w:p>
        </w:tc>
        <w:tc>
          <w:tcPr>
            <w:tcW w:w="2493"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4.5.1.2.3. Favorecer la implementación de energías limpias en el gobierno estatal.</w:t>
            </w:r>
          </w:p>
        </w:tc>
      </w:tr>
      <w:tr>
        <w:trPr/>
        <w:tc>
          <w:tcPr>
            <w:tcW w:w="1022"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Instrumento</w:t>
            </w:r>
          </w:p>
        </w:tc>
        <w:tc>
          <w:tcPr>
            <w:tcW w:w="2493"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Acuerdo 31/2020</w:t>
            </w:r>
          </w:p>
        </w:tc>
      </w:tr>
    </w:tbl>
    <w:p>
      <w:pPr>
        <w:pStyle w:val="Normal"/>
        <w:spacing w:lineRule="auto" w:line="240"/>
        <w:jc w:val="center"/>
        <w:rPr>
          <w:rFonts w:cs="Times New Roman"/>
        </w:rPr>
      </w:pPr>
      <w:r>
        <w:rPr>
          <w:rFonts w:cs="Times New Roman"/>
        </w:rPr>
      </w:r>
    </w:p>
    <w:p>
      <w:pPr>
        <w:pStyle w:val="Normal"/>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Además de gestionar el consumo eléctrico en cada edificio, el documento enfatiza el uso de energías renovables para reducir el consumo de la red y el análisis de la envolvente como primer criterio de eficiencia energética (Acuerdo 31/2020); a partir de estos aspectos se desprende el presente trabajo, cuyo propósito </w:t>
      </w:r>
      <w:bookmarkStart w:id="1" w:name="_Hlk89877531"/>
      <w:r>
        <w:rPr>
          <w:rFonts w:cs="Times New Roman" w:ascii="Times New Roman" w:hAnsi="Times New Roman"/>
          <w:color w:val="000000"/>
          <w:sz w:val="20"/>
          <w:szCs w:val="20"/>
        </w:rPr>
        <w:t>es estimar la reducción del consumo eléctrico de la red a través del diseño de un sistema híbrido (fotovoltaico-eólico) y el cálculo del gasto energético de las envolventes de acuerdo con la NOM-008-ENER-2001</w:t>
      </w:r>
      <w:bookmarkEnd w:id="1"/>
      <w:r>
        <w:rPr>
          <w:rFonts w:cs="Times New Roman" w:ascii="Times New Roman" w:hAnsi="Times New Roman"/>
          <w:color w:val="000000"/>
          <w:sz w:val="20"/>
          <w:szCs w:val="20"/>
        </w:rPr>
        <w:t>, de dos edificios de oficinas que son parte del Tecnológico Nacional de México [TecNM] campus Progreso, en el estado de Yucatán, México.</w:t>
      </w:r>
    </w:p>
    <w:p>
      <w:pPr>
        <w:pStyle w:val="Normal"/>
        <w:spacing w:lineRule="auto" w:line="240"/>
        <w:jc w:val="both"/>
        <w:rPr>
          <w:rFonts w:ascii="Times New Roman" w:hAnsi="Times New Roman"/>
          <w:color w:val="000000"/>
          <w:sz w:val="20"/>
          <w:szCs w:val="20"/>
        </w:rPr>
      </w:pPr>
      <w:r>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Antes de continuar es importante señalar los límites del estudio: 1) para el cálculo del gasto energético la recopilación de datos se obtuvo a través de la observación directa, debido a que el Instituto no tiene en su poder los planos ejecutivos; 2) en cuanto al sistema híbrido, se consideraron los insumos y equipos que la Coordinación de carrera autorizó para el desarrollo de una residencia profesional.  </w:t>
      </w:r>
    </w:p>
    <w:p>
      <w:pPr>
        <w:pStyle w:val="Normal"/>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i/>
          <w:i/>
          <w:iCs/>
        </w:rPr>
      </w:pPr>
      <w:r>
        <w:rPr>
          <w:rFonts w:cs="Times New Roman" w:ascii="Times New Roman" w:hAnsi="Times New Roman"/>
          <w:i/>
          <w:iCs/>
          <w:color w:val="000000"/>
          <w:sz w:val="20"/>
          <w:szCs w:val="20"/>
        </w:rPr>
        <w:t xml:space="preserve">A. </w:t>
      </w:r>
      <w:r>
        <w:rPr>
          <w:rFonts w:cs="Times New Roman" w:ascii="Times New Roman" w:hAnsi="Times New Roman"/>
          <w:i/>
          <w:iCs/>
          <w:color w:val="000000"/>
          <w:sz w:val="20"/>
          <w:szCs w:val="20"/>
        </w:rPr>
        <w:t>El sistema híbrido fotovoltaico-eólico</w:t>
      </w:r>
    </w:p>
    <w:p>
      <w:pPr>
        <w:pStyle w:val="Normal"/>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Un sistema híbrido de energía renovable es aquel que usa dos o más fuentes de energía potenciales del sitio y que generan electricidad de forma optimizada para una determinada potencia o para una red eléctrica aislada o conectada a otras redes (Herrera, 2011 y González, 2019); esto ofrece la ventaja de gestionar la generación eléctrica 24/7, debido a la amortiguación de las fluctuaciones diarias y estacionales que se resumen en dos variables: potenciales energéticos de radiación y fuerza del viento (Almeida, 2009).</w:t>
      </w:r>
    </w:p>
    <w:p>
      <w:pPr>
        <w:pStyle w:val="Normal"/>
        <w:spacing w:lineRule="auto" w:line="240"/>
        <w:jc w:val="both"/>
        <w:rPr>
          <w:rFonts w:ascii="Times New Roman" w:hAnsi="Times New Roman"/>
          <w:color w:val="000000"/>
          <w:sz w:val="20"/>
          <w:szCs w:val="20"/>
        </w:rPr>
      </w:pPr>
      <w:r>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La utilización de sistemas híbridos se asocia a una red eléctrica de distribución debido a que la generación es centralizada; es decir, se construye una micro red eléctrica formada por una unidad central de generación, una unidad de gestión y las correspondientes redes de distribución (Cruz, 2010). </w:t>
      </w:r>
    </w:p>
    <w:p>
      <w:pPr>
        <w:pStyle w:val="Normal"/>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i/>
          <w:i/>
          <w:iCs/>
        </w:rPr>
      </w:pPr>
      <w:r>
        <w:rPr>
          <w:rFonts w:cs="Times New Roman" w:ascii="Times New Roman" w:hAnsi="Times New Roman"/>
          <w:i/>
          <w:iCs/>
          <w:color w:val="000000"/>
          <w:sz w:val="20"/>
          <w:szCs w:val="20"/>
        </w:rPr>
        <w:t xml:space="preserve">B. </w:t>
      </w:r>
      <w:r>
        <w:rPr>
          <w:rFonts w:cs="Times New Roman" w:ascii="Times New Roman" w:hAnsi="Times New Roman"/>
          <w:i/>
          <w:iCs/>
          <w:color w:val="000000"/>
          <w:sz w:val="20"/>
          <w:szCs w:val="20"/>
        </w:rPr>
        <w:t>La NOM-008-ENER-2001</w:t>
      </w:r>
    </w:p>
    <w:p>
      <w:pPr>
        <w:pStyle w:val="Normal"/>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Las Normas Oficiales Mexicanas son un conjunto de información, criterios, procedimientos y especificaciones técnicas, cuya finalidad es “proteger y promover el mejoramiento del medio ambiente y los ecosistemas, así como la preservación de los recursos naturales” (CONUEE, 2013, diapositiva 6); ejemplo de estas son: normas de seguridad; métodos de prueba; eficiencia energética; prácticas comerciales; información comercial; normas metodológicas, etcétera.</w:t>
      </w:r>
    </w:p>
    <w:p>
      <w:pPr>
        <w:pStyle w:val="Normal"/>
        <w:spacing w:lineRule="auto" w:line="240"/>
        <w:jc w:val="both"/>
        <w:rPr>
          <w:rFonts w:ascii="Times New Roman" w:hAnsi="Times New Roman"/>
          <w:color w:val="000000"/>
          <w:sz w:val="20"/>
          <w:szCs w:val="20"/>
        </w:rPr>
      </w:pPr>
      <w:r>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Con la finalidad de incidir en los criterios de diseño y en la tecnología constructiva de las envolventes de edificios en el territorio mexicano, la Comisión Nacional para el Uso Eficiente de Energía [CONUEE] emitió la NOM 008 ENER 2001, Eficiencia Energética en Edificaciones, Envolvente de Edificios no Residenciales; la cual tiene como objetivo racionalizar el uso de la energía en los sistemas de enfriamiento y aplica a todos los edificios nuevos y las ampliaciones de edificios existentes (Bioconstrucción y Energía Alternativa, 2016).  Las partes de la envolvente y las características que se toman en cuenta son: a) Techo: ángulo desde 0 hasta 45°, puede tener superficies opacas o transparentes -tragaluces, domos, etcétera-; b) Pared: ángulo mayor de 45 y hasta 135°, puede tener superficies opacas o transparentes -ventanas-; c) Superficie inferior: ángulo mayor de 135 hasta 180°, puede tener superficies opacas o transparentes -pisos de cristal- y, d) Piso: ángulo de 180° con superficie opaca (CONUEE, s.f.).</w:t>
      </w:r>
    </w:p>
    <w:p>
      <w:pPr>
        <w:pStyle w:val="Normal"/>
        <w:spacing w:lineRule="auto" w:line="240"/>
        <w:jc w:val="both"/>
        <w:rPr>
          <w:rFonts w:ascii="Times New Roman" w:hAnsi="Times New Roman"/>
          <w:color w:val="000000"/>
          <w:sz w:val="20"/>
          <w:szCs w:val="20"/>
        </w:rPr>
      </w:pPr>
      <w:r>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Para lograr el objetivo es necesario que la ganancia de calor a través de la envolvente del edificio proyectado (o construido como el presente caso), debe ser menor o igual a la ganancia de calor a través de la envolvente del edificio de referencia (</w:t>
      </w:r>
      <w:r>
        <w:rPr>
          <w:rFonts w:eastAsia="Symbol" w:cs="Symbol" w:ascii="Liberation Serif" w:hAnsi="Liberation Serif"/>
          <w:i/>
          <w:iCs/>
          <w:color w:val="000000"/>
          <w:sz w:val="20"/>
          <w:szCs w:val="20"/>
        </w:rPr>
      </w:r>
      <m:oMath xmlns:m="http://schemas.openxmlformats.org/officeDocument/2006/math">
        <m:sSub>
          <m:e>
            <m:r>
              <w:rPr>
                <w:rFonts w:ascii="Cambria Math" w:hAnsi="Cambria Math"/>
              </w:rPr>
              <m:t xml:space="preserve">ϕ</m:t>
            </m:r>
          </m:e>
          <m:sub>
            <m:r>
              <w:rPr>
                <w:rFonts w:ascii="Cambria Math" w:hAnsi="Cambria Math"/>
              </w:rPr>
              <m:t xml:space="preserve">p</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r</m:t>
            </m:r>
          </m:sub>
        </m:sSub>
      </m:oMath>
      <w:r>
        <w:rPr>
          <w:rFonts w:cs="Times New Roman" w:ascii="Times New Roman" w:hAnsi="Times New Roman"/>
          <w:color w:val="000000"/>
          <w:sz w:val="20"/>
          <w:szCs w:val="20"/>
        </w:rPr>
        <w:t>).  El edificio de referencia conserva la orientación, las condiciones de colindancia y las dimensiones en planta y en elevación del edificio proyectado, considerando las especificaciones que se observan en la Tabla 2.</w:t>
      </w:r>
    </w:p>
    <w:p>
      <w:pPr>
        <w:pStyle w:val="Normal"/>
        <w:spacing w:lineRule="auto" w:line="240"/>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center"/>
        <w:rPr>
          <w:b/>
          <w:b/>
          <w:bCs/>
        </w:rPr>
      </w:pPr>
      <w:r>
        <w:rPr>
          <w:rFonts w:cs="Times New Roman" w:ascii="Times New Roman" w:hAnsi="Times New Roman"/>
          <w:b/>
          <w:bCs/>
          <w:color w:val="000000"/>
          <w:sz w:val="20"/>
          <w:szCs w:val="20"/>
        </w:rPr>
        <w:t xml:space="preserve">Tabla 2. Especificaciones de la envolvente.  </w:t>
      </w:r>
      <w:r>
        <w:rPr>
          <w:rFonts w:cs="Times New Roman" w:ascii="Times New Roman" w:hAnsi="Times New Roman"/>
          <w:b/>
          <w:bCs/>
          <w:color w:val="000000"/>
          <w:sz w:val="20"/>
          <w:szCs w:val="20"/>
          <w:shd w:fill="FFFFFF" w:val="clear"/>
          <w:lang w:eastAsia="en-US"/>
        </w:rPr>
        <w:t>Fuente: Elaboración propia con base en DOF(2001).</w:t>
      </w:r>
    </w:p>
    <w:tbl>
      <w:tblPr>
        <w:tblStyle w:val="Tablaconcuadrcula"/>
        <w:tblW w:w="4566"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897"/>
        <w:gridCol w:w="850"/>
        <w:gridCol w:w="1656"/>
        <w:gridCol w:w="1163"/>
      </w:tblGrid>
      <w:tr>
        <w:trPr/>
        <w:tc>
          <w:tcPr>
            <w:tcW w:w="4566" w:type="dxa"/>
            <w:gridSpan w:val="4"/>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Techo</w:t>
            </w:r>
          </w:p>
        </w:tc>
      </w:tr>
      <w:tr>
        <w:trPr/>
        <w:tc>
          <w:tcPr>
            <w:tcW w:w="897"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Parte</w:t>
            </w:r>
          </w:p>
        </w:tc>
        <w:tc>
          <w:tcPr>
            <w:tcW w:w="850"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 del área total</w:t>
            </w:r>
          </w:p>
        </w:tc>
        <w:tc>
          <w:tcPr>
            <w:tcW w:w="1656" w:type="dxa"/>
            <w:tcBorders/>
          </w:tcPr>
          <w:p>
            <w:pPr>
              <w:pStyle w:val="Normal"/>
              <w:widowControl w:val="false"/>
              <w:suppressAutoHyphens w:val="true"/>
              <w:spacing w:lineRule="auto" w:line="240" w:before="0" w:after="0"/>
              <w:jc w:val="left"/>
              <w:rPr>
                <w:rFonts w:ascii="Times New Roman" w:hAnsi="Times New Roman" w:cs="Times New Roman"/>
                <w:color w:val="000000"/>
                <w:sz w:val="12"/>
                <w:szCs w:val="12"/>
              </w:rPr>
            </w:pPr>
            <w:r>
              <w:rPr>
                <w:rFonts w:cs="Times New Roman" w:ascii="Times New Roman" w:hAnsi="Times New Roman"/>
                <w:color w:val="000000"/>
                <w:kern w:val="0"/>
                <w:sz w:val="12"/>
                <w:szCs w:val="12"/>
                <w:lang w:val="es-MX" w:bidi="ar-SA"/>
              </w:rPr>
              <w:t>K* (W/m</w:t>
            </w:r>
            <w:r>
              <w:rPr>
                <w:rFonts w:cs="Times New Roman" w:ascii="Times New Roman" w:hAnsi="Times New Roman"/>
                <w:color w:val="000000"/>
                <w:kern w:val="0"/>
                <w:sz w:val="12"/>
                <w:szCs w:val="12"/>
                <w:vertAlign w:val="superscript"/>
                <w:lang w:val="es-MX" w:bidi="ar-SA"/>
              </w:rPr>
              <w:t>2</w:t>
            </w:r>
            <w:r>
              <w:rPr>
                <w:rFonts w:cs="Times New Roman" w:ascii="Times New Roman" w:hAnsi="Times New Roman"/>
                <w:color w:val="000000"/>
                <w:kern w:val="0"/>
                <w:sz w:val="12"/>
                <w:szCs w:val="12"/>
                <w:lang w:val="es-MX" w:bidi="ar-SA"/>
              </w:rPr>
              <w:t>K), para Progreso, Yuc.</w:t>
            </w:r>
          </w:p>
        </w:tc>
        <w:tc>
          <w:tcPr>
            <w:tcW w:w="116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Coeficiente de sombreado (CS)</w:t>
            </w:r>
          </w:p>
        </w:tc>
      </w:tr>
      <w:tr>
        <w:trPr/>
        <w:tc>
          <w:tcPr>
            <w:tcW w:w="897"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Opaca</w:t>
            </w:r>
          </w:p>
        </w:tc>
        <w:tc>
          <w:tcPr>
            <w:tcW w:w="850"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95</w:t>
            </w:r>
          </w:p>
        </w:tc>
        <w:tc>
          <w:tcPr>
            <w:tcW w:w="1656"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0.359</w:t>
            </w:r>
          </w:p>
        </w:tc>
        <w:tc>
          <w:tcPr>
            <w:tcW w:w="1163"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r>
      <w:tr>
        <w:trPr/>
        <w:tc>
          <w:tcPr>
            <w:tcW w:w="897"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Transparente</w:t>
            </w:r>
          </w:p>
        </w:tc>
        <w:tc>
          <w:tcPr>
            <w:tcW w:w="850"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5</w:t>
            </w:r>
          </w:p>
        </w:tc>
        <w:tc>
          <w:tcPr>
            <w:tcW w:w="1656"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5.952</w:t>
            </w:r>
          </w:p>
        </w:tc>
        <w:tc>
          <w:tcPr>
            <w:tcW w:w="1163"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0.85</w:t>
            </w:r>
          </w:p>
        </w:tc>
      </w:tr>
      <w:tr>
        <w:trPr/>
        <w:tc>
          <w:tcPr>
            <w:tcW w:w="4566" w:type="dxa"/>
            <w:gridSpan w:val="4"/>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Pared</w:t>
            </w:r>
          </w:p>
        </w:tc>
      </w:tr>
      <w:tr>
        <w:trPr/>
        <w:tc>
          <w:tcPr>
            <w:tcW w:w="897"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Fachada opaca</w:t>
            </w:r>
          </w:p>
        </w:tc>
        <w:tc>
          <w:tcPr>
            <w:tcW w:w="850"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60</w:t>
            </w:r>
          </w:p>
        </w:tc>
        <w:tc>
          <w:tcPr>
            <w:tcW w:w="1656"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0.741</w:t>
            </w:r>
          </w:p>
        </w:tc>
        <w:tc>
          <w:tcPr>
            <w:tcW w:w="1163"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r>
      <w:tr>
        <w:trPr/>
        <w:tc>
          <w:tcPr>
            <w:tcW w:w="897"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Fachada transparente</w:t>
            </w:r>
          </w:p>
        </w:tc>
        <w:tc>
          <w:tcPr>
            <w:tcW w:w="850"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40</w:t>
            </w:r>
          </w:p>
        </w:tc>
        <w:tc>
          <w:tcPr>
            <w:tcW w:w="1656"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5.319</w:t>
            </w:r>
          </w:p>
        </w:tc>
        <w:tc>
          <w:tcPr>
            <w:tcW w:w="1163"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w:t>
            </w:r>
          </w:p>
        </w:tc>
      </w:tr>
      <w:tr>
        <w:trPr/>
        <w:tc>
          <w:tcPr>
            <w:tcW w:w="897"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Colindancia opaca</w:t>
            </w:r>
          </w:p>
        </w:tc>
        <w:tc>
          <w:tcPr>
            <w:tcW w:w="850"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100</w:t>
            </w:r>
          </w:p>
        </w:tc>
        <w:tc>
          <w:tcPr>
            <w:tcW w:w="1656"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0.741</w:t>
            </w:r>
          </w:p>
        </w:tc>
        <w:tc>
          <w:tcPr>
            <w:tcW w:w="1163"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r>
    </w:tbl>
    <w:p>
      <w:pPr>
        <w:pStyle w:val="Normal"/>
        <w:spacing w:lineRule="auto" w:line="240"/>
        <w:jc w:val="center"/>
        <w:rPr>
          <w:sz w:val="12"/>
          <w:szCs w:val="12"/>
        </w:rPr>
      </w:pPr>
      <w:r>
        <w:rPr>
          <w:rFonts w:cs="Times New Roman" w:ascii="Times New Roman" w:hAnsi="Times New Roman"/>
          <w:color w:val="000000"/>
          <w:sz w:val="12"/>
          <w:szCs w:val="12"/>
        </w:rPr>
        <w:t xml:space="preserve">* Coeficiente global de transferencia de calor. </w:t>
      </w:r>
    </w:p>
    <w:p>
      <w:pPr>
        <w:pStyle w:val="Normal"/>
        <w:spacing w:lineRule="auto" w:line="24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hd w:val="clear" w:color="auto" w:fill="FFFFFF"/>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La ganancia de calor a través de la envolvente sucede por dos fenómenos: 1) por conducción, a través de las superficies opacas y que depende de la orientación de cada una de ellas; para el cálculo intervienen: a) </w:t>
      </w:r>
      <w:r>
        <w:rPr>
          <w:rFonts w:eastAsia="Times New Roman" w:cs="Times New Roman" w:ascii="Times New Roman" w:hAnsi="Times New Roman"/>
          <w:color w:val="000000"/>
          <w:sz w:val="20"/>
          <w:szCs w:val="20"/>
        </w:rPr>
        <w:t xml:space="preserve">el coeficiente global de transferencia de calor (conductividad y espesores de los componentes constructivos); b) el área de cada elemento que conforma la envolvente; c) la temperatura equivalente promedio y, d) la temperatura interior de referencia para la localidad y, 2) </w:t>
      </w:r>
      <w:r>
        <w:rPr>
          <w:rFonts w:cs="Times New Roman" w:ascii="Times New Roman" w:hAnsi="Times New Roman"/>
          <w:color w:val="000000"/>
          <w:sz w:val="20"/>
          <w:szCs w:val="20"/>
        </w:rPr>
        <w:t>por radiación</w:t>
      </w:r>
      <w:r>
        <w:rPr>
          <w:rFonts w:eastAsia="Times New Roman" w:cs="Times New Roman" w:ascii="Times New Roman" w:hAnsi="Times New Roman"/>
          <w:color w:val="000000"/>
          <w:sz w:val="20"/>
          <w:szCs w:val="20"/>
        </w:rPr>
        <w:t xml:space="preserve"> a través de las ventanas; en su cálculo intervienen: a) el área de las partes; b) el coeficiente de sombreado; c) el tipo de vidrio y, d) la orientación (Alpuche y Duarte, 2017).  El resultado del proceso es el presupuesto energético que significa el porcentaje de ahorro de energía con respecto al edificio de referencia y cuyo objetivo es la reducción del uso de aire acondicionado. Si el edificio cumple con dichos estándares, </w:t>
      </w:r>
      <w:r>
        <w:rPr>
          <w:rFonts w:cs="Times New Roman" w:ascii="Times New Roman" w:hAnsi="Times New Roman"/>
          <w:color w:val="000000"/>
          <w:sz w:val="20"/>
          <w:szCs w:val="20"/>
        </w:rPr>
        <w:t xml:space="preserve">debe llevar un etiquetado que informe a los usuarios el porcentaje de eficiencia energética </w:t>
      </w:r>
      <w:r>
        <w:rPr>
          <w:rFonts w:eastAsia="Times New Roman" w:cs="Times New Roman" w:ascii="Times New Roman" w:hAnsi="Times New Roman"/>
          <w:color w:val="000000"/>
          <w:sz w:val="20"/>
          <w:szCs w:val="20"/>
        </w:rPr>
        <w:t>(CONUEE, 2017).</w:t>
      </w:r>
    </w:p>
    <w:p>
      <w:pPr>
        <w:pStyle w:val="Normal"/>
        <w:spacing w:lineRule="auto" w:line="240"/>
        <w:jc w:val="both"/>
        <w:rPr>
          <w:rFonts w:ascii="Times New Roman" w:hAnsi="Times New Roman"/>
          <w:b/>
          <w:b/>
          <w:bCs/>
          <w:color w:val="000000"/>
          <w:sz w:val="20"/>
          <w:szCs w:val="20"/>
        </w:rPr>
      </w:pPr>
      <w:r>
        <w:rPr>
          <w:rFonts w:eastAsia="Times New Roman" w:cs="Times New Roman" w:ascii="Times New Roman" w:hAnsi="Times New Roman"/>
          <w:b/>
          <w:bCs/>
          <w:color w:val="000000"/>
          <w:sz w:val="20"/>
          <w:szCs w:val="20"/>
        </w:rPr>
        <w:t>II. MÉTODO</w:t>
      </w:r>
    </w:p>
    <w:p>
      <w:pPr>
        <w:pStyle w:val="NoSpacing"/>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La presente investigación es un estudio de caso intrínseco con unidades incrustadas para dos objetos de análisis; cuantitativo, con un alcance descriptivo y de tipo transeccional (Hernández, Fernández y Baptista, 2014). A continuación, se sintetizan los aspectos destacables.</w:t>
      </w:r>
    </w:p>
    <w:p>
      <w:pPr>
        <w:pStyle w:val="NoSpacing"/>
        <w:spacing w:lineRule="auto" w:line="240"/>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Spacing"/>
        <w:spacing w:lineRule="auto" w:line="240"/>
        <w:rPr>
          <w:rFonts w:ascii="Times New Roman" w:hAnsi="Times New Roman"/>
          <w:i/>
          <w:i/>
          <w:iCs/>
          <w:color w:val="000000"/>
          <w:sz w:val="20"/>
          <w:szCs w:val="20"/>
        </w:rPr>
      </w:pPr>
      <w:r>
        <w:rPr>
          <w:rFonts w:cs="Times New Roman" w:ascii="Times New Roman" w:hAnsi="Times New Roman"/>
          <w:i/>
          <w:iCs/>
          <w:color w:val="000000"/>
          <w:sz w:val="20"/>
          <w:szCs w:val="20"/>
        </w:rPr>
        <w:t>A. Contexto artificial y elección de las unidades incrustadas</w:t>
      </w:r>
    </w:p>
    <w:p>
      <w:pPr>
        <w:pStyle w:val="NoSpacing"/>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Spacing"/>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El TecNM Campus Progreso cuenta con 15 edificios que se han construido a lo largo de 21 años, tres de estos son exclusivos para oficinas: Dirección General y Subdirección de Planeación, construido en el 2000 (edificio “A”, 240 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 Subdirección Académica, construido en el 2017 (edificio “T”, 186.14 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 y, Apoyos Académicos Complementarios (inglés, psicología, tutoría), construido en el 2000 (edificio “P”, 232.75 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 lo que implica la utilización de sistemas de enfriamiento a lo largo de toda la jornada laboral comprendida de 9 a 17 horas, de lunes a viernes, con tres periodos de receso al año (primavera, verano e invierno). A pesar de que sus formas arquitectónicas son diferentes tienen en común la orientación este-oeste y grandes volados al sur y al norte.</w:t>
      </w:r>
    </w:p>
    <w:p>
      <w:pPr>
        <w:pStyle w:val="NoSpacing"/>
        <w:spacing w:lineRule="auto" w:line="240"/>
        <w:jc w:val="both"/>
        <w:rPr>
          <w:rFonts w:ascii="Times New Roman" w:hAnsi="Times New Roman"/>
          <w:color w:val="000000"/>
          <w:sz w:val="20"/>
          <w:szCs w:val="20"/>
        </w:rPr>
      </w:pPr>
      <w:r>
        <w:rPr/>
      </w:r>
    </w:p>
    <w:p>
      <w:pPr>
        <w:pStyle w:val="NoSpacing"/>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Para el presente estudio solo se obtuvo acceso a los dos últimos, los cuales representan un 5 y 7 por ciento del consumo eléctrico total del Campus. En lo que respecta a la densidad de sus ocupantes permanentes el “T” representa un 0.5 y el “P” un 0.4 personas/m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w:t>
      </w:r>
    </w:p>
    <w:p>
      <w:pPr>
        <w:pStyle w:val="NoSpacing"/>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Spacing"/>
        <w:spacing w:lineRule="auto" w:line="240"/>
        <w:rPr>
          <w:rFonts w:ascii="Times New Roman" w:hAnsi="Times New Roman"/>
          <w:i/>
          <w:i/>
          <w:iCs/>
          <w:color w:val="000000"/>
          <w:sz w:val="20"/>
          <w:szCs w:val="20"/>
        </w:rPr>
      </w:pPr>
      <w:r>
        <w:rPr>
          <w:rFonts w:cs="Times New Roman" w:ascii="Times New Roman" w:hAnsi="Times New Roman"/>
          <w:i/>
          <w:iCs/>
          <w:color w:val="000000"/>
          <w:sz w:val="20"/>
          <w:szCs w:val="20"/>
        </w:rPr>
        <w:t>B. Potencia fotovoltaica-eólica</w:t>
      </w:r>
    </w:p>
    <w:p>
      <w:pPr>
        <w:pStyle w:val="NoSpacing"/>
        <w:spacing w:lineRule="auto" w:line="240"/>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textAlignment w:val="baseline"/>
        <w:rPr>
          <w:rFonts w:ascii="Times New Roman" w:hAnsi="Times New Roman"/>
          <w:color w:val="000000"/>
          <w:sz w:val="20"/>
          <w:szCs w:val="20"/>
        </w:rPr>
      </w:pPr>
      <w:r>
        <w:rPr>
          <w:rFonts w:cs="Times New Roman" w:ascii="Times New Roman" w:hAnsi="Times New Roman"/>
          <w:color w:val="000000"/>
          <w:sz w:val="20"/>
          <w:szCs w:val="20"/>
          <w:shd w:fill="FFFFFF" w:val="clear"/>
        </w:rPr>
        <w:t xml:space="preserve">El tipo de clima es Estepario Seco Cálido (BSh), </w:t>
      </w:r>
      <w:r>
        <w:rPr>
          <w:rFonts w:cs="Times New Roman" w:ascii="Times New Roman" w:hAnsi="Times New Roman"/>
          <w:color w:val="000000"/>
          <w:sz w:val="20"/>
          <w:szCs w:val="20"/>
        </w:rPr>
        <w:t>cuya influencia abarca a la ciudad, pero no a todo el municipio (ver Figura 2).  El climograma muestra una temperatura promedio de 26.5°C y una precipitación anual de 631 mm (marzo es el mes más seco (14 mm); mayo el más caluroso (35.6°C máximo); septiembre el más húmedo (78%) y de abril a agosto los meses mayormente soleados, siendo mayo el mayor con 331.16 horas y enero el menor con 221.94; el promedio anual es de 3320.53 horas (SEMA, s.f. y Climate-data, s.f.).</w:t>
      </w:r>
    </w:p>
    <w:p>
      <w:pPr>
        <w:pStyle w:val="Normal"/>
        <w:spacing w:lineRule="auto" w:line="240"/>
        <w:jc w:val="both"/>
        <w:textAlignment w:val="baseline"/>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center"/>
        <w:rPr>
          <w:rFonts w:ascii="Times New Roman" w:hAnsi="Times New Roman"/>
          <w:color w:val="000000"/>
          <w:sz w:val="20"/>
          <w:szCs w:val="20"/>
        </w:rPr>
      </w:pPr>
      <w:r>
        <w:rPr/>
        <mc:AlternateContent>
          <mc:Choice Requires="wps">
            <w:drawing>
              <wp:anchor behindDoc="0" distT="0" distB="0" distL="0" distR="0" simplePos="0" locked="0" layoutInCell="0" allowOverlap="1" relativeHeight="5" wp14:anchorId="1926C6DC">
                <wp:simplePos x="0" y="0"/>
                <wp:positionH relativeFrom="column">
                  <wp:posOffset>657860</wp:posOffset>
                </wp:positionH>
                <wp:positionV relativeFrom="paragraph">
                  <wp:posOffset>1485900</wp:posOffset>
                </wp:positionV>
                <wp:extent cx="1877695" cy="260350"/>
                <wp:effectExtent l="0" t="0" r="0" b="0"/>
                <wp:wrapNone/>
                <wp:docPr id="2" name="CuadroTexto 6"/>
                <a:graphic xmlns:a="http://schemas.openxmlformats.org/drawingml/2006/main">
                  <a:graphicData uri="http://schemas.microsoft.com/office/word/2010/wordprocessingShape">
                    <wps:wsp>
                      <wps:cNvSpPr/>
                      <wps:spPr>
                        <a:xfrm>
                          <a:off x="0" y="0"/>
                          <a:ext cx="1877040" cy="259560"/>
                        </a:xfrm>
                        <a:prstGeom prst="rect">
                          <a:avLst/>
                        </a:prstGeom>
                        <a:noFill/>
                        <a:ln w="0">
                          <a:noFill/>
                        </a:ln>
                      </wps:spPr>
                      <wps:style>
                        <a:lnRef idx="0"/>
                        <a:fillRef idx="0"/>
                        <a:effectRef idx="0"/>
                        <a:fontRef idx="minor"/>
                      </wps:style>
                      <wps:txbx>
                        <w:txbxContent>
                          <w:p>
                            <w:pPr>
                              <w:pStyle w:val="Contenidodelmarco"/>
                              <w:rPr>
                                <w:rFonts w:ascii="Times New Roman" w:hAnsi="Times New Roman" w:cs="Times New Roman"/>
                                <w:color w:val="000000" w:themeColor="text1"/>
                                <w:kern w:val="2"/>
                                <w:sz w:val="20"/>
                                <w:szCs w:val="20"/>
                              </w:rPr>
                            </w:pPr>
                            <w:r>
                              <w:rPr>
                                <w:rFonts w:cs="Times New Roman" w:ascii="Times New Roman" w:hAnsi="Times New Roman"/>
                                <w:color w:val="000000" w:themeColor="text1"/>
                                <w:kern w:val="2"/>
                                <w:sz w:val="20"/>
                                <w:szCs w:val="20"/>
                              </w:rPr>
                              <w:t>Paraíso, Mpio. de Progreso, Yuc.</w:t>
                            </w:r>
                          </w:p>
                        </w:txbxContent>
                      </wps:txbx>
                      <wps:bodyPr>
                        <a:noAutofit/>
                      </wps:bodyPr>
                    </wps:wsp>
                  </a:graphicData>
                </a:graphic>
              </wp:anchor>
            </w:drawing>
          </mc:Choice>
          <mc:Fallback>
            <w:pict>
              <v:rect id="shape_0" ID="CuadroTexto 6" stroked="f" style="position:absolute;margin-left:51.8pt;margin-top:117pt;width:147.75pt;height:20.4pt;mso-wrap-style:square;v-text-anchor:top" wp14:anchorId="1926C6DC">
                <v:fill o:detectmouseclick="t" on="false"/>
                <v:stroke color="#3465a4" joinstyle="round" endcap="flat"/>
                <v:textbox>
                  <w:txbxContent>
                    <w:p>
                      <w:pPr>
                        <w:pStyle w:val="Contenidodelmarco"/>
                        <w:rPr>
                          <w:rFonts w:ascii="Times New Roman" w:hAnsi="Times New Roman" w:cs="Times New Roman"/>
                          <w:color w:val="000000" w:themeColor="text1"/>
                          <w:kern w:val="2"/>
                          <w:sz w:val="20"/>
                          <w:szCs w:val="20"/>
                        </w:rPr>
                      </w:pPr>
                      <w:r>
                        <w:rPr>
                          <w:rFonts w:cs="Times New Roman" w:ascii="Times New Roman" w:hAnsi="Times New Roman"/>
                          <w:color w:val="000000" w:themeColor="text1"/>
                          <w:kern w:val="2"/>
                          <w:sz w:val="20"/>
                          <w:szCs w:val="20"/>
                        </w:rPr>
                        <w:t>Paraíso, Mpio. de Progreso, Yuc.</w:t>
                      </w:r>
                    </w:p>
                  </w:txbxContent>
                </v:textbox>
                <w10:wrap type="none"/>
              </v:rect>
            </w:pict>
          </mc:Fallback>
        </mc:AlternateContent>
        <mc:AlternateContent>
          <mc:Choice Requires="wpg">
            <w:drawing>
              <wp:inline distT="0" distB="2540" distL="0" distR="0" wp14:anchorId="5F9742FA">
                <wp:extent cx="2834640" cy="1707515"/>
                <wp:effectExtent l="0" t="0" r="0" b="2540"/>
                <wp:docPr id="4" name="Forma2"/>
                <a:graphic xmlns:a="http://schemas.openxmlformats.org/drawingml/2006/main">
                  <a:graphicData uri="http://schemas.microsoft.com/office/word/2010/wordprocessingGroup">
                    <wpg:wgp>
                      <wpg:cNvGrpSpPr/>
                      <wpg:grpSpPr>
                        <a:xfrm>
                          <a:off x="0" y="0"/>
                          <a:ext cx="2833920" cy="1706760"/>
                        </a:xfrm>
                      </wpg:grpSpPr>
                      <pic:pic xmlns:pic="http://schemas.openxmlformats.org/drawingml/2006/picture">
                        <pic:nvPicPr>
                          <pic:cNvPr id="0" name="Imagen 4" descr="Dibujo de un mapa&#10;&#10;Descripción generada automáticamente con confianza baja"/>
                          <pic:cNvPicPr/>
                        </pic:nvPicPr>
                        <pic:blipFill>
                          <a:blip r:embed="rId8"/>
                          <a:srcRect l="5658" t="0" r="0" b="5659"/>
                          <a:stretch/>
                        </pic:blipFill>
                        <pic:spPr>
                          <a:xfrm>
                            <a:off x="0" y="0"/>
                            <a:ext cx="2833920" cy="1706760"/>
                          </a:xfrm>
                          <a:prstGeom prst="rect">
                            <a:avLst/>
                          </a:prstGeom>
                          <a:ln w="0">
                            <a:noFill/>
                          </a:ln>
                        </pic:spPr>
                      </pic:pic>
                      <wps:wsp>
                        <wps:cNvSpPr/>
                        <wps:spPr>
                          <a:xfrm>
                            <a:off x="880200" y="852840"/>
                            <a:ext cx="1403280" cy="351720"/>
                          </a:xfrm>
                          <a:prstGeom prst="rect">
                            <a:avLst/>
                          </a:prstGeom>
                          <a:no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HAnsi" w:hAnsiTheme="minorHAnsi" w:eastAsia="Calibri" w:cs="Times New Roman" w:ascii="Times New Roman" w:hAnsi="Times New Roman"/>
                                  <w:color w:val="000000"/>
                                  <w:lang w:eastAsia="en-US"/>
                                </w:rPr>
                                <w:t>Progreso de Castro, Yucatán.</w:t>
                              </w:r>
                            </w:p>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HAnsi" w:hAnsiTheme="minorHAnsi" w:eastAsia="Calibri" w:cs="Times New Roman" w:ascii="Times New Roman" w:hAnsi="Times New Roman"/>
                                  <w:color w:val="00000A"/>
                                  <w:lang w:eastAsia="en-US"/>
                                </w:rPr>
                                <w:t>21°16'42.0"N 89°39'07.0"W.</w:t>
                              </w:r>
                            </w:p>
                          </w:txbxContent>
                        </wps:txbx>
                        <wps:bodyPr lIns="90000" rIns="90000" tIns="45000" bIns="45000">
                          <a:noAutofit/>
                        </wps:bodyPr>
                      </wps:wsp>
                    </wpg:wgp>
                  </a:graphicData>
                </a:graphic>
              </wp:inline>
            </w:drawing>
          </mc:Choice>
          <mc:Fallback>
            <w:pict>
              <v:group id="shape_0" alt="Forma2" style="position:absolute;margin-left:0pt;margin-top:-134.65pt;width:223.15pt;height:134.4pt" coordorigin="0,-2693" coordsize="4463,2688">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4" stroked="f" style="position:absolute;left:0;top:-2693;width:4462;height:2687;mso-wrap-style:none;v-text-anchor:middle;mso-position-vertical:top" type="shapetype_75">
                  <v:imagedata r:id="rId8" o:detectmouseclick="t"/>
                  <v:stroke color="#3465a4" joinstyle="round" endcap="flat"/>
                  <w10:wrap type="square"/>
                </v:shape>
                <v:rect id="shape_0" stroked="f" style="position:absolute;left:1386;top:-1350;width:2209;height:55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HAnsi" w:hAnsiTheme="minorHAnsi" w:eastAsia="Calibri" w:cs="Times New Roman" w:ascii="Times New Roman" w:hAnsi="Times New Roman"/>
                            <w:color w:val="000000"/>
                            <w:lang w:eastAsia="en-US"/>
                          </w:rPr>
                          <w:t>Progreso de Castro, Yucatán.</w:t>
                        </w:r>
                      </w:p>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Theme="minorHAnsi" w:cstheme="minorBidi" w:eastAsiaTheme="minorHAnsi" w:hAnsiTheme="minorHAnsi" w:eastAsia="Calibri" w:cs="Times New Roman" w:ascii="Times New Roman" w:hAnsi="Times New Roman"/>
                            <w:color w:val="00000A"/>
                            <w:lang w:eastAsia="en-US"/>
                          </w:rPr>
                          <w:t>21°16'42.0"N 89°39'07.0"W.</w:t>
                        </w:r>
                      </w:p>
                    </w:txbxContent>
                  </v:textbox>
                  <v:fill o:detectmouseclick="t" on="false"/>
                  <v:stroke color="#3465a4" joinstyle="round" endcap="flat"/>
                </v:rect>
              </v:group>
            </w:pict>
          </mc:Fallback>
        </mc:AlternateContent>
      </w:r>
    </w:p>
    <w:p>
      <w:pPr>
        <w:pStyle w:val="Normal"/>
        <w:spacing w:lineRule="auto" w:line="240"/>
        <w:jc w:val="center"/>
        <w:rPr>
          <w:i/>
          <w:i/>
          <w:iCs/>
        </w:rPr>
      </w:pPr>
      <w:r>
        <w:rPr>
          <w:rFonts w:cs="Times New Roman" w:ascii="Times New Roman" w:hAnsi="Times New Roman"/>
          <w:i/>
          <w:iCs/>
          <w:color w:val="000000"/>
          <w:sz w:val="20"/>
          <w:szCs w:val="20"/>
        </w:rPr>
        <w:t>Figura 1. Influencia del clima estepario seco cálido (BSh). Fuente: INEGI (s.f.).</w:t>
      </w:r>
    </w:p>
    <w:p>
      <w:pPr>
        <w:pStyle w:val="Normal"/>
        <w:spacing w:lineRule="auto" w:line="24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lang w:eastAsia="en-US"/>
        </w:rPr>
        <w:t>Según el Inventario Nacional de Energías Limpias [INEL] el predio que ocupa el Instituto tiene un promedio anual de irradiación directa normal que varía de 6,000 hasta 7,500 Wh/m</w:t>
      </w:r>
      <w:r>
        <w:rPr>
          <w:rFonts w:cs="Times New Roman" w:ascii="Times New Roman" w:hAnsi="Times New Roman"/>
          <w:color w:val="000000"/>
          <w:sz w:val="20"/>
          <w:szCs w:val="20"/>
          <w:vertAlign w:val="superscript"/>
          <w:lang w:eastAsia="en-US"/>
        </w:rPr>
        <w:t>2</w:t>
      </w:r>
      <w:r>
        <w:rPr>
          <w:rFonts w:cs="Times New Roman" w:ascii="Times New Roman" w:hAnsi="Times New Roman"/>
          <w:color w:val="000000"/>
          <w:sz w:val="20"/>
          <w:szCs w:val="20"/>
          <w:lang w:eastAsia="en-US"/>
        </w:rPr>
        <w:t xml:space="preserve">/día; un promedio de la irradiación global horizontal de </w:t>
      </w:r>
      <w:r>
        <w:rPr>
          <w:rFonts w:cs="Times New Roman" w:ascii="Times New Roman" w:hAnsi="Times New Roman"/>
          <w:color w:val="000000"/>
          <w:sz w:val="20"/>
          <w:szCs w:val="20"/>
          <w:shd w:fill="FFFFFF" w:val="clear"/>
        </w:rPr>
        <w:t xml:space="preserve">6,282.00 Wh/m²/día y una </w:t>
      </w:r>
      <w:r>
        <w:rPr>
          <w:rFonts w:cs="Times New Roman" w:ascii="Times New Roman" w:hAnsi="Times New Roman"/>
          <w:color w:val="000000"/>
          <w:sz w:val="20"/>
          <w:szCs w:val="20"/>
          <w:lang w:eastAsia="en-US"/>
        </w:rPr>
        <w:t>h</w:t>
      </w:r>
      <w:r>
        <w:rPr>
          <w:rFonts w:cs="Times New Roman" w:ascii="Times New Roman" w:hAnsi="Times New Roman"/>
          <w:color w:val="000000"/>
          <w:sz w:val="20"/>
          <w:szCs w:val="20"/>
        </w:rPr>
        <w:t>ora solar pico [HSP] promedio de 5.64 horas (CCEEA, s.f.). Ver desglose en Tabla 3.</w:t>
      </w:r>
    </w:p>
    <w:p>
      <w:pPr>
        <w:pStyle w:val="Normal"/>
        <w:spacing w:lineRule="auto" w:line="240"/>
        <w:rPr>
          <w:rFonts w:ascii="Times New Roman" w:hAnsi="Times New Roman" w:cs="Times New Roman"/>
          <w:color w:val="000000"/>
          <w:sz w:val="20"/>
          <w:szCs w:val="20"/>
          <w:lang w:eastAsia="en-US"/>
        </w:rPr>
      </w:pPr>
      <w:r>
        <w:rPr>
          <w:rFonts w:cs="Times New Roman" w:ascii="Times New Roman" w:hAnsi="Times New Roman"/>
          <w:color w:val="000000"/>
          <w:sz w:val="20"/>
          <w:szCs w:val="20"/>
          <w:lang w:eastAsia="en-US"/>
        </w:rPr>
      </w:r>
    </w:p>
    <w:p>
      <w:pPr>
        <w:pStyle w:val="Normal"/>
        <w:spacing w:lineRule="auto" w:line="240"/>
        <w:jc w:val="center"/>
        <w:rPr>
          <w:b/>
          <w:b/>
          <w:bCs/>
        </w:rPr>
      </w:pPr>
      <w:r>
        <w:rPr>
          <w:rFonts w:cs="Times New Roman" w:ascii="Times New Roman" w:hAnsi="Times New Roman"/>
          <w:b/>
          <w:bCs/>
          <w:color w:val="000000"/>
          <w:sz w:val="20"/>
          <w:szCs w:val="20"/>
          <w:lang w:eastAsia="en-US"/>
        </w:rPr>
        <w:t xml:space="preserve">Tabla 3. Irradiación y potencia promedio fotovoltaica en Progreso, Yucatán.  </w:t>
      </w:r>
      <w:r>
        <w:rPr>
          <w:rFonts w:cs="Times New Roman" w:ascii="Times New Roman" w:hAnsi="Times New Roman"/>
          <w:b/>
          <w:bCs/>
          <w:color w:val="000000"/>
          <w:sz w:val="20"/>
          <w:szCs w:val="20"/>
          <w:shd w:fill="FFFFFF" w:val="clear"/>
          <w:lang w:eastAsia="en-US"/>
        </w:rPr>
        <w:t xml:space="preserve">Fuente: Elaboración propia </w:t>
      </w:r>
      <w:r>
        <w:rPr>
          <w:rFonts w:cs="Times New Roman" w:ascii="Times New Roman" w:hAnsi="Times New Roman"/>
          <w:b/>
          <w:bCs/>
          <w:color w:val="000000"/>
          <w:sz w:val="20"/>
          <w:szCs w:val="20"/>
          <w:shd w:fill="FFFFFF" w:val="clear"/>
          <w:lang w:eastAsia="en-US"/>
        </w:rPr>
        <w:t>basándose en</w:t>
      </w:r>
      <w:r>
        <w:rPr>
          <w:rFonts w:cs="Times New Roman" w:ascii="Times New Roman" w:hAnsi="Times New Roman"/>
          <w:b/>
          <w:bCs/>
          <w:color w:val="000000"/>
          <w:sz w:val="20"/>
          <w:szCs w:val="20"/>
          <w:shd w:fill="FFFFFF" w:val="clear"/>
          <w:lang w:eastAsia="en-US"/>
        </w:rPr>
        <w:t xml:space="preserve"> INEL (s.f.) y CCEEA (s.f.).</w:t>
      </w:r>
    </w:p>
    <w:tbl>
      <w:tblPr>
        <w:tblStyle w:val="Tablaconcuadrcula"/>
        <w:tblW w:w="449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1"/>
        <w:gridCol w:w="915"/>
        <w:gridCol w:w="721"/>
        <w:gridCol w:w="465"/>
        <w:gridCol w:w="474"/>
        <w:gridCol w:w="596"/>
        <w:gridCol w:w="577"/>
      </w:tblGrid>
      <w:tr>
        <w:trPr>
          <w:trHeight w:val="514" w:hRule="atLeast"/>
        </w:trPr>
        <w:tc>
          <w:tcPr>
            <w:tcW w:w="741" w:type="dxa"/>
            <w:vMerge w:val="restart"/>
            <w:tcBorders/>
            <w:vAlign w:val="center"/>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Mes</w:t>
            </w:r>
          </w:p>
        </w:tc>
        <w:tc>
          <w:tcPr>
            <w:tcW w:w="915" w:type="dxa"/>
            <w:tcBorders/>
            <w:vAlign w:val="center"/>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Rango de irradiación directa normal </w:t>
            </w:r>
          </w:p>
        </w:tc>
        <w:tc>
          <w:tcPr>
            <w:tcW w:w="721" w:type="dxa"/>
            <w:tcBorders/>
            <w:vAlign w:val="center"/>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Irradiación global horizontal</w:t>
            </w:r>
          </w:p>
        </w:tc>
        <w:tc>
          <w:tcPr>
            <w:tcW w:w="465" w:type="dxa"/>
            <w:tcBorders/>
            <w:vAlign w:val="center"/>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HSP, panel a 21°</w:t>
            </w:r>
          </w:p>
        </w:tc>
        <w:tc>
          <w:tcPr>
            <w:tcW w:w="1647" w:type="dxa"/>
            <w:gridSpan w:val="3"/>
            <w:tcBorders/>
            <w:vAlign w:val="center"/>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Potencia promedio (kW/h)</w:t>
            </w:r>
          </w:p>
        </w:tc>
      </w:tr>
      <w:tr>
        <w:trPr>
          <w:trHeight w:val="285" w:hRule="atLeast"/>
        </w:trPr>
        <w:tc>
          <w:tcPr>
            <w:tcW w:w="741" w:type="dxa"/>
            <w:vMerge w:val="continue"/>
            <w:tcBorders/>
            <w:vAlign w:val="center"/>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r>
          </w:p>
        </w:tc>
        <w:tc>
          <w:tcPr>
            <w:tcW w:w="1636" w:type="dxa"/>
            <w:gridSpan w:val="2"/>
            <w:tcBorders/>
            <w:vAlign w:val="center"/>
          </w:tcPr>
          <w:p>
            <w:pPr>
              <w:pStyle w:val="Normal"/>
              <w:widowControl w:val="false"/>
              <w:suppressAutoHyphens w:val="true"/>
              <w:spacing w:lineRule="auto" w:line="240" w:before="0" w:after="0"/>
              <w:jc w:val="center"/>
              <w:rPr>
                <w:rFonts w:ascii="Times New Roman" w:hAnsi="Times New Roman" w:cs="Times New Roman"/>
                <w:color w:val="000000"/>
                <w:sz w:val="12"/>
                <w:szCs w:val="12"/>
              </w:rPr>
            </w:pPr>
            <w:r>
              <w:rPr>
                <w:rFonts w:cs="Times New Roman" w:ascii="Times New Roman" w:hAnsi="Times New Roman"/>
                <w:color w:val="000000"/>
                <w:kern w:val="0"/>
                <w:sz w:val="12"/>
                <w:szCs w:val="12"/>
                <w:lang w:val="es-MX" w:eastAsia="en-US" w:bidi="ar-SA"/>
              </w:rPr>
              <w:t>Wh/m</w:t>
            </w:r>
            <w:r>
              <w:rPr>
                <w:rFonts w:cs="Times New Roman" w:ascii="Times New Roman" w:hAnsi="Times New Roman"/>
                <w:color w:val="000000"/>
                <w:kern w:val="0"/>
                <w:sz w:val="12"/>
                <w:szCs w:val="12"/>
                <w:vertAlign w:val="superscript"/>
                <w:lang w:val="es-MX" w:eastAsia="en-US" w:bidi="ar-SA"/>
              </w:rPr>
              <w:t>2</w:t>
            </w:r>
            <w:r>
              <w:rPr>
                <w:rFonts w:cs="Times New Roman" w:ascii="Times New Roman" w:hAnsi="Times New Roman"/>
                <w:color w:val="000000"/>
                <w:kern w:val="0"/>
                <w:sz w:val="12"/>
                <w:szCs w:val="12"/>
                <w:lang w:val="es-MX" w:eastAsia="en-US" w:bidi="ar-SA"/>
              </w:rPr>
              <w:t>/día</w:t>
            </w:r>
          </w:p>
        </w:tc>
        <w:tc>
          <w:tcPr>
            <w:tcW w:w="465" w:type="dxa"/>
            <w:tcBorders/>
            <w:vAlign w:val="center"/>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r>
          </w:p>
        </w:tc>
        <w:tc>
          <w:tcPr>
            <w:tcW w:w="474" w:type="dxa"/>
            <w:tcBorders/>
            <w:vAlign w:val="center"/>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 xml:space="preserve">Diaria </w:t>
            </w:r>
          </w:p>
        </w:tc>
        <w:tc>
          <w:tcPr>
            <w:tcW w:w="596" w:type="dxa"/>
            <w:tcBorders/>
            <w:vAlign w:val="center"/>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Mensual</w:t>
            </w:r>
          </w:p>
        </w:tc>
        <w:tc>
          <w:tcPr>
            <w:tcW w:w="577" w:type="dxa"/>
            <w:tcBorders/>
            <w:vAlign w:val="center"/>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Anual</w:t>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Enero</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4,500 y 6,000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5,840</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4.69</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18.57</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575.77</w:t>
            </w:r>
          </w:p>
        </w:tc>
        <w:tc>
          <w:tcPr>
            <w:tcW w:w="577" w:type="dxa"/>
            <w:vMerge w:val="restart"/>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8155.02</w:t>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Febrero</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6,000 y 7,500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6,450</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5.66</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22.41</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627.48</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Marzo</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6,000 y 7,500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6,890</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6.11</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24.19</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749.89</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Abril</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6,000 y 7,500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7,228</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6.24</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24.71</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741.30</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Mayo</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6,000 y 7,500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6,917</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6.19</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24.51</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759.81</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Junio</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3,000 y 4,500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5,774</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5.70</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22.57</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677.10</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Julio</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3,000 y 4,500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6,152</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6.01</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23.79</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737.49</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Agosto</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6,000 y 7,500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6,388</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6.06</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23.99</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743.69</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Septiembre</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4,500 y 6,000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5,926</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5.86</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23.20</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696.00</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Octubre</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4,500 y 6,000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5,969</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5.48</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21.70</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672.70</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Noviembre</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6,000 y 7,500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6,097</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5.11</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20.23</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606.90</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r>
        <w:trPr/>
        <w:tc>
          <w:tcPr>
            <w:tcW w:w="74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Diciembre</w:t>
            </w:r>
          </w:p>
        </w:tc>
        <w:tc>
          <w:tcPr>
            <w:tcW w:w="91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4,500 y 6,000</w:t>
            </w:r>
          </w:p>
        </w:tc>
        <w:tc>
          <w:tcPr>
            <w:tcW w:w="721"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shd w:fill="FFFFFF" w:val="clear"/>
                <w:lang w:val="es-MX" w:bidi="ar-SA"/>
              </w:rPr>
              <w:t>5,750</w:t>
            </w:r>
          </w:p>
        </w:tc>
        <w:tc>
          <w:tcPr>
            <w:tcW w:w="46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4.62</w:t>
            </w:r>
          </w:p>
        </w:tc>
        <w:tc>
          <w:tcPr>
            <w:tcW w:w="47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18.29</w:t>
            </w:r>
          </w:p>
        </w:tc>
        <w:tc>
          <w:tcPr>
            <w:tcW w:w="596"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shd w:fill="FFFFFF" w:val="clear"/>
                <w:lang w:val="es-MX" w:bidi="ar-SA"/>
              </w:rPr>
            </w:pPr>
            <w:r>
              <w:rPr>
                <w:rFonts w:cs="Times New Roman" w:ascii="Times New Roman" w:hAnsi="Times New Roman"/>
                <w:color w:val="000000"/>
                <w:kern w:val="0"/>
                <w:sz w:val="12"/>
                <w:szCs w:val="12"/>
                <w:shd w:fill="FFFFFF" w:val="clear"/>
                <w:lang w:val="es-MX" w:bidi="ar-SA"/>
              </w:rPr>
              <w:t>566.99</w:t>
            </w:r>
          </w:p>
        </w:tc>
        <w:tc>
          <w:tcPr>
            <w:tcW w:w="577"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shd w:fill="FFFFFF" w:val="clear"/>
                <w:lang w:val="es-MX" w:bidi="ar-SA"/>
              </w:rPr>
            </w:pPr>
            <w:r>
              <w:rPr>
                <w:rFonts w:cs="Times New Roman" w:ascii="Times New Roman" w:hAnsi="Times New Roman"/>
                <w:color w:val="000000"/>
                <w:kern w:val="0"/>
                <w:sz w:val="20"/>
                <w:szCs w:val="20"/>
                <w:shd w:fill="FFFFFF" w:val="clear"/>
                <w:lang w:val="es-MX" w:bidi="ar-SA"/>
              </w:rPr>
            </w:r>
          </w:p>
        </w:tc>
      </w:tr>
    </w:tbl>
    <w:p>
      <w:pPr>
        <w:pStyle w:val="Normal"/>
        <w:spacing w:lineRule="auto" w:line="240"/>
        <w:jc w:val="center"/>
        <w:rPr>
          <w:rFonts w:ascii="Times New Roman" w:hAnsi="Times New Roman"/>
          <w:color w:val="000000"/>
          <w:sz w:val="20"/>
          <w:szCs w:val="20"/>
        </w:rPr>
      </w:pPr>
      <w:r>
        <w:rPr/>
      </w:r>
    </w:p>
    <w:p>
      <w:pPr>
        <w:pStyle w:val="Normal"/>
        <w:spacing w:lineRule="auto" w:line="240"/>
        <w:jc w:val="center"/>
        <w:rPr>
          <w:rFonts w:ascii="Times New Roman" w:hAnsi="Times New Roman" w:cs="Times New Roman"/>
          <w:color w:val="000000"/>
          <w:sz w:val="20"/>
          <w:szCs w:val="20"/>
          <w:lang w:eastAsia="en-US"/>
        </w:rPr>
      </w:pPr>
      <w:r>
        <w:rPr>
          <w:rFonts w:cs="Times New Roman" w:ascii="Times New Roman" w:hAnsi="Times New Roman"/>
          <w:color w:val="000000"/>
          <w:sz w:val="20"/>
          <w:szCs w:val="20"/>
          <w:lang w:eastAsia="en-US"/>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lang w:eastAsia="en-US"/>
        </w:rPr>
        <w:t>Con relación a las variables de viento, la aplicación en línea del INEL calcula una velocidad promedio a lo largo del año entre 5 y 7.5 m/s y un potencial de generación de hasta 200 W/m</w:t>
      </w:r>
      <w:r>
        <w:rPr>
          <w:rFonts w:cs="Times New Roman" w:ascii="Times New Roman" w:hAnsi="Times New Roman"/>
          <w:color w:val="000000"/>
          <w:sz w:val="20"/>
          <w:szCs w:val="20"/>
          <w:vertAlign w:val="superscript"/>
          <w:lang w:eastAsia="en-US"/>
        </w:rPr>
        <w:t>2</w:t>
      </w:r>
      <w:r>
        <w:rPr>
          <w:rFonts w:cs="Times New Roman" w:ascii="Times New Roman" w:hAnsi="Times New Roman"/>
          <w:color w:val="000000"/>
          <w:sz w:val="20"/>
          <w:szCs w:val="20"/>
          <w:lang w:eastAsia="en-US"/>
        </w:rPr>
        <w:t>, sin embargo, los aerogeneradores con los que se contó son de brisa suave (para bajas alturas) y se tomó en cuenta el registro de un anemómetro Davis Vantage Pro2 Inalámbrico, con precisión de 1m/s (instalado en estacionamiento interno del Instituto) y colocado a 3m de altura. Los datos a los que se tuvieron acceso corresponden al 2019, se consideró una densidad de 1.2 kg/m</w:t>
      </w:r>
      <w:r>
        <w:rPr>
          <w:rFonts w:cs="Times New Roman" w:ascii="Times New Roman" w:hAnsi="Times New Roman"/>
          <w:color w:val="000000"/>
          <w:sz w:val="20"/>
          <w:szCs w:val="20"/>
          <w:vertAlign w:val="superscript"/>
          <w:lang w:eastAsia="en-US"/>
        </w:rPr>
        <w:t>3</w:t>
      </w:r>
      <w:r>
        <w:rPr>
          <w:rFonts w:cs="Times New Roman" w:ascii="Times New Roman" w:hAnsi="Times New Roman"/>
          <w:color w:val="000000"/>
          <w:sz w:val="20"/>
          <w:szCs w:val="20"/>
          <w:lang w:eastAsia="en-US"/>
        </w:rPr>
        <w:t xml:space="preserve"> y un área de barrido de 3.1416 m</w:t>
      </w:r>
      <w:r>
        <w:rPr>
          <w:rFonts w:cs="Times New Roman" w:ascii="Times New Roman" w:hAnsi="Times New Roman"/>
          <w:color w:val="000000"/>
          <w:sz w:val="20"/>
          <w:szCs w:val="20"/>
          <w:vertAlign w:val="superscript"/>
          <w:lang w:eastAsia="en-US"/>
        </w:rPr>
        <w:t>2</w:t>
      </w:r>
      <w:r>
        <w:rPr>
          <w:rFonts w:cs="Times New Roman" w:ascii="Times New Roman" w:hAnsi="Times New Roman"/>
          <w:color w:val="000000"/>
          <w:sz w:val="20"/>
          <w:szCs w:val="20"/>
          <w:lang w:eastAsia="en-US"/>
        </w:rPr>
        <w:t xml:space="preserve"> (ver Tabla 4).  </w:t>
      </w:r>
    </w:p>
    <w:p>
      <w:pPr>
        <w:pStyle w:val="Normal"/>
        <w:spacing w:lineRule="auto" w:line="240"/>
        <w:jc w:val="both"/>
        <w:rPr>
          <w:rFonts w:ascii="Times New Roman" w:hAnsi="Times New Roman" w:cs="Times New Roman"/>
          <w:color w:val="000000"/>
          <w:sz w:val="20"/>
          <w:szCs w:val="20"/>
          <w:lang w:eastAsia="en-US"/>
        </w:rPr>
      </w:pPr>
      <w:r>
        <w:rPr>
          <w:rFonts w:cs="Times New Roman" w:ascii="Times New Roman" w:hAnsi="Times New Roman"/>
          <w:color w:val="000000"/>
          <w:sz w:val="20"/>
          <w:szCs w:val="20"/>
          <w:lang w:eastAsia="en-US"/>
        </w:rPr>
      </w:r>
    </w:p>
    <w:p>
      <w:pPr>
        <w:pStyle w:val="Normal"/>
        <w:spacing w:lineRule="auto" w:line="240"/>
        <w:jc w:val="center"/>
        <w:rPr>
          <w:b/>
          <w:b/>
          <w:bCs/>
        </w:rPr>
      </w:pPr>
      <w:r>
        <w:rPr>
          <w:rFonts w:cs="Times New Roman" w:ascii="Times New Roman" w:hAnsi="Times New Roman"/>
          <w:b/>
          <w:bCs/>
          <w:color w:val="000000"/>
          <w:sz w:val="20"/>
          <w:szCs w:val="20"/>
          <w:lang w:eastAsia="en-US"/>
        </w:rPr>
        <w:t xml:space="preserve">Tabla 4. Velocidad y potencia promedio de viento en el Campus. </w:t>
      </w:r>
      <w:r>
        <w:rPr>
          <w:rFonts w:cs="Times New Roman" w:ascii="Times New Roman" w:hAnsi="Times New Roman"/>
          <w:b/>
          <w:bCs/>
          <w:color w:val="000000"/>
          <w:sz w:val="20"/>
          <w:szCs w:val="20"/>
          <w:shd w:fill="FFFFFF" w:val="clear"/>
          <w:lang w:eastAsia="en-US"/>
        </w:rPr>
        <w:t>Fuente: Elaboración propia con base en INEL (s.f.) y registro del Instituto.</w:t>
      </w:r>
    </w:p>
    <w:tbl>
      <w:tblPr>
        <w:tblStyle w:val="Tablaconcuadrcula"/>
        <w:tblW w:w="4564"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718"/>
        <w:gridCol w:w="709"/>
        <w:gridCol w:w="773"/>
        <w:gridCol w:w="655"/>
        <w:gridCol w:w="554"/>
        <w:gridCol w:w="600"/>
        <w:gridCol w:w="555"/>
      </w:tblGrid>
      <w:tr>
        <w:trPr>
          <w:trHeight w:val="234" w:hRule="atLeast"/>
        </w:trPr>
        <w:tc>
          <w:tcPr>
            <w:tcW w:w="718" w:type="dxa"/>
            <w:vMerge w:val="restart"/>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Mes</w:t>
            </w:r>
          </w:p>
        </w:tc>
        <w:tc>
          <w:tcPr>
            <w:tcW w:w="709" w:type="dxa"/>
            <w:vMerge w:val="restart"/>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m/s (INEL)</w:t>
            </w:r>
          </w:p>
        </w:tc>
        <w:tc>
          <w:tcPr>
            <w:tcW w:w="773" w:type="dxa"/>
            <w:vMerge w:val="restart"/>
            <w:tcBorders/>
          </w:tcPr>
          <w:p>
            <w:pPr>
              <w:pStyle w:val="Normal"/>
              <w:widowControl w:val="false"/>
              <w:suppressAutoHyphens w:val="true"/>
              <w:spacing w:lineRule="auto" w:line="240" w:before="0" w:after="0"/>
              <w:jc w:val="left"/>
              <w:rPr>
                <w:rFonts w:ascii="Times New Roman" w:hAnsi="Times New Roman" w:cs="Times New Roman"/>
                <w:color w:val="000000"/>
                <w:sz w:val="12"/>
                <w:szCs w:val="12"/>
              </w:rPr>
            </w:pPr>
            <w:r>
              <w:rPr>
                <w:rFonts w:cs="Times New Roman" w:ascii="Times New Roman" w:hAnsi="Times New Roman"/>
                <w:color w:val="000000"/>
                <w:kern w:val="0"/>
                <w:sz w:val="12"/>
                <w:szCs w:val="12"/>
                <w:lang w:val="es-MX" w:eastAsia="en-US" w:bidi="ar-SA"/>
              </w:rPr>
              <w:t>W/m</w:t>
            </w:r>
            <w:r>
              <w:rPr>
                <w:rFonts w:cs="Times New Roman" w:ascii="Times New Roman" w:hAnsi="Times New Roman"/>
                <w:color w:val="000000"/>
                <w:kern w:val="0"/>
                <w:sz w:val="12"/>
                <w:szCs w:val="12"/>
                <w:vertAlign w:val="superscript"/>
                <w:lang w:val="es-MX" w:eastAsia="en-US" w:bidi="ar-SA"/>
              </w:rPr>
              <w:t xml:space="preserve">2 </w:t>
            </w:r>
            <w:r>
              <w:rPr>
                <w:rFonts w:cs="Times New Roman" w:ascii="Times New Roman" w:hAnsi="Times New Roman"/>
                <w:color w:val="000000"/>
                <w:kern w:val="0"/>
                <w:sz w:val="12"/>
                <w:szCs w:val="12"/>
                <w:lang w:val="es-MX" w:eastAsia="en-US" w:bidi="ar-SA"/>
              </w:rPr>
              <w:t>(INEL)</w:t>
            </w:r>
          </w:p>
        </w:tc>
        <w:tc>
          <w:tcPr>
            <w:tcW w:w="655" w:type="dxa"/>
            <w:vMerge w:val="restart"/>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m/s; h=3m</w:t>
            </w:r>
          </w:p>
        </w:tc>
        <w:tc>
          <w:tcPr>
            <w:tcW w:w="1709" w:type="dxa"/>
            <w:gridSpan w:val="3"/>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Potencia promedio (kW/h)</w:t>
            </w:r>
          </w:p>
        </w:tc>
      </w:tr>
      <w:tr>
        <w:trPr>
          <w:trHeight w:val="224" w:hRule="atLeast"/>
        </w:trPr>
        <w:tc>
          <w:tcPr>
            <w:tcW w:w="718"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r>
          </w:p>
        </w:tc>
        <w:tc>
          <w:tcPr>
            <w:tcW w:w="709"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r>
          </w:p>
        </w:tc>
        <w:tc>
          <w:tcPr>
            <w:tcW w:w="773"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r>
          </w:p>
        </w:tc>
        <w:tc>
          <w:tcPr>
            <w:tcW w:w="6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Diaria</w:t>
            </w:r>
          </w:p>
        </w:tc>
        <w:tc>
          <w:tcPr>
            <w:tcW w:w="600"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Mensual</w:t>
            </w:r>
          </w:p>
        </w:tc>
        <w:tc>
          <w:tcPr>
            <w:tcW w:w="5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Anual</w:t>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Enero</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6.5 a 7</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200-300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5.39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28.36</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879.16</w:t>
            </w:r>
          </w:p>
        </w:tc>
        <w:tc>
          <w:tcPr>
            <w:tcW w:w="555" w:type="dxa"/>
            <w:vMerge w:val="restart"/>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8296.45</w:t>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Febrero</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6.5 a 7</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200-300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5.43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29.04</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813.12</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Marzo</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6.5 a 7</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200-300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5.74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34.28</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1062.68</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Abril</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6.5 a 7</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200-300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5.67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32.96</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988.80</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Mayo</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7 a 7.5</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200-300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5.78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34.93</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1082.83</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Junio</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6.5 a 7</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200-300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4.73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19.10</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573.00</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Julio</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 a 6.5</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0-200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4.36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15.05</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466.55</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Agosto</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5.5 a 6</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0-200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4.41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15.49</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480.19</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Septiembre</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5 a 5.5</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0-200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4.08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12.28</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368.40</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Octubre</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 a 6.5</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0-200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3.90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10.75</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333.25</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Noviembre</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 a 6.5</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0-200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5.19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25.30</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759.00</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r>
        <w:trPr/>
        <w:tc>
          <w:tcPr>
            <w:tcW w:w="718"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Diciembre</w:t>
            </w:r>
          </w:p>
        </w:tc>
        <w:tc>
          <w:tcPr>
            <w:tcW w:w="709"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6 a 6.5</w:t>
            </w:r>
          </w:p>
        </w:tc>
        <w:tc>
          <w:tcPr>
            <w:tcW w:w="773"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200-300</w:t>
            </w:r>
          </w:p>
        </w:tc>
        <w:tc>
          <w:tcPr>
            <w:tcW w:w="655"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eastAsia="en-US" w:bidi="ar-SA"/>
              </w:rPr>
            </w:pPr>
            <w:r>
              <w:rPr>
                <w:rFonts w:cs="Times New Roman" w:ascii="Times New Roman" w:hAnsi="Times New Roman"/>
                <w:color w:val="000000"/>
                <w:kern w:val="0"/>
                <w:sz w:val="12"/>
                <w:szCs w:val="12"/>
                <w:lang w:val="es-MX" w:eastAsia="en-US" w:bidi="ar-SA"/>
              </w:rPr>
              <w:t xml:space="preserve">4.39 </w:t>
            </w:r>
          </w:p>
        </w:tc>
        <w:tc>
          <w:tcPr>
            <w:tcW w:w="554" w:type="dxa"/>
            <w:tcBorders/>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15.28</w:t>
            </w:r>
          </w:p>
        </w:tc>
        <w:tc>
          <w:tcPr>
            <w:tcW w:w="600" w:type="dxa"/>
            <w:tcBorders/>
            <w:vAlign w:val="bottom"/>
          </w:tcPr>
          <w:p>
            <w:pPr>
              <w:pStyle w:val="Normal"/>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473.68</w:t>
            </w:r>
          </w:p>
        </w:tc>
        <w:tc>
          <w:tcPr>
            <w:tcW w:w="555" w:type="dxa"/>
            <w:vMerge w:val="continue"/>
            <w:tcBorders/>
          </w:tcPr>
          <w:p>
            <w:pPr>
              <w:pStyle w:val="Normal"/>
              <w:widowControl w:val="false"/>
              <w:suppressAutoHyphens w:val="true"/>
              <w:spacing w:lineRule="auto" w:line="240" w:before="0" w:after="0"/>
              <w:jc w:val="left"/>
              <w:rPr>
                <w:rFonts w:ascii="Times New Roman" w:hAnsi="Times New Roman" w:cs="Times New Roman"/>
                <w:color w:val="000000"/>
                <w:kern w:val="0"/>
                <w:sz w:val="20"/>
                <w:szCs w:val="20"/>
                <w:lang w:val="es-MX" w:eastAsia="en-US" w:bidi="ar-SA"/>
              </w:rPr>
            </w:pPr>
            <w:r>
              <w:rPr>
                <w:rFonts w:cs="Times New Roman" w:ascii="Times New Roman" w:hAnsi="Times New Roman"/>
                <w:color w:val="000000"/>
                <w:kern w:val="0"/>
                <w:sz w:val="20"/>
                <w:szCs w:val="20"/>
                <w:lang w:val="es-MX" w:eastAsia="en-US" w:bidi="ar-SA"/>
              </w:rPr>
            </w:r>
          </w:p>
        </w:tc>
      </w:tr>
    </w:tbl>
    <w:p>
      <w:pPr>
        <w:pStyle w:val="Normal"/>
        <w:spacing w:lineRule="auto" w:line="240"/>
        <w:jc w:val="center"/>
        <w:rPr>
          <w:rFonts w:cs="Times New Roman"/>
          <w:lang w:eastAsia="en-US"/>
        </w:rPr>
      </w:pPr>
      <w:r>
        <w:rPr>
          <w:rFonts w:cs="Times New Roman"/>
          <w:lang w:eastAsia="en-US"/>
        </w:rPr>
      </w:r>
    </w:p>
    <w:p>
      <w:pPr>
        <w:pStyle w:val="NoSpacing"/>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En la Figura 2 pueden verse los componentes más representativos y el diseño del sistema híbrido donde se observa que al no ser interconectado a red, se propone un interruptor automático Growatt SPM/TPM/TPM-CT cuya función es desconectar el sistema cuando el consumo del edificio sea menor a la potencia generada. Cabe señalar que la superficie de instalación es suficiente (646 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 xml:space="preserve">), sin obstrucciones para el sol o viento, ubicada al suroeste del Campus. </w:t>
      </w:r>
    </w:p>
    <w:p>
      <w:pPr>
        <w:pStyle w:val="NoSpacing"/>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center"/>
        <w:rPr>
          <w:rFonts w:ascii="Times New Roman" w:hAnsi="Times New Roman"/>
          <w:color w:val="000000"/>
          <w:sz w:val="20"/>
          <w:szCs w:val="20"/>
        </w:rPr>
      </w:pPr>
      <w:r>
        <w:rPr/>
        <w:drawing>
          <wp:inline distT="0" distB="0" distL="0" distR="0">
            <wp:extent cx="2931160" cy="1321435"/>
            <wp:effectExtent l="0" t="0" r="0" b="0"/>
            <wp:docPr id="5" name="Imagen 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Diagrama, Esquemático&#10;&#10;Descripción generada automáticamente"/>
                    <pic:cNvPicPr>
                      <a:picLocks noChangeAspect="1" noChangeArrowheads="1"/>
                    </pic:cNvPicPr>
                  </pic:nvPicPr>
                  <pic:blipFill>
                    <a:blip r:embed="rId9"/>
                    <a:stretch>
                      <a:fillRect/>
                    </a:stretch>
                  </pic:blipFill>
                  <pic:spPr bwMode="auto">
                    <a:xfrm>
                      <a:off x="0" y="0"/>
                      <a:ext cx="2931160" cy="1321435"/>
                    </a:xfrm>
                    <a:prstGeom prst="rect">
                      <a:avLst/>
                    </a:prstGeom>
                  </pic:spPr>
                </pic:pic>
              </a:graphicData>
            </a:graphic>
          </wp:inline>
        </w:drawing>
      </w:r>
    </w:p>
    <w:p>
      <w:pPr>
        <w:pStyle w:val="Normal"/>
        <w:spacing w:lineRule="auto" w:line="240"/>
        <w:jc w:val="center"/>
        <w:rPr>
          <w:i/>
          <w:i/>
          <w:iCs/>
        </w:rPr>
      </w:pPr>
      <w:r>
        <w:rPr>
          <w:rFonts w:cs="Times New Roman" w:ascii="Times New Roman" w:hAnsi="Times New Roman"/>
          <w:i/>
          <w:iCs/>
          <w:color w:val="000000"/>
          <w:sz w:val="20"/>
          <w:szCs w:val="20"/>
        </w:rPr>
        <w:t>Figura 2. Diseño esquemático del sistema fotovoltaico-eólico. Fuente: Propuesta de Fernando Fernández Castillo.</w:t>
      </w:r>
    </w:p>
    <w:p>
      <w:pPr>
        <w:pStyle w:val="NoSpacing"/>
        <w:spacing w:lineRule="auto" w:line="240"/>
        <w:jc w:val="both"/>
        <w:rPr>
          <w:rFonts w:ascii="Times New Roman" w:hAnsi="Times New Roman"/>
          <w:i/>
          <w:i/>
          <w:iCs/>
          <w:color w:val="000000"/>
          <w:sz w:val="20"/>
          <w:szCs w:val="20"/>
        </w:rPr>
      </w:pPr>
      <w:r>
        <w:rPr>
          <w:rFonts w:cs="Times New Roman" w:ascii="Times New Roman" w:hAnsi="Times New Roman"/>
          <w:i/>
          <w:iCs/>
          <w:color w:val="000000"/>
          <w:sz w:val="20"/>
          <w:szCs w:val="20"/>
        </w:rPr>
        <w:t>C. Aspectos constructivos de los edificios</w:t>
      </w:r>
    </w:p>
    <w:p>
      <w:pPr>
        <w:pStyle w:val="NoSpacing"/>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Spacing"/>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El sistema constructivo es el tradicional: marcos de concreto, muros confinados a base de block hueco de 40x20x15 cm; revoco de mortero en ambas caras (e = 2cm) y una cubierta de vigueta 12-5 y bovedilla de concreto 20x25x56 cm</w:t>
      </w:r>
      <w:bookmarkStart w:id="2" w:name="_Toc87715998"/>
      <w:bookmarkStart w:id="3" w:name="_Toc87716246"/>
      <w:r>
        <w:rPr>
          <w:rFonts w:cs="Times New Roman" w:ascii="Times New Roman" w:hAnsi="Times New Roman"/>
          <w:color w:val="000000"/>
          <w:sz w:val="20"/>
          <w:szCs w:val="20"/>
        </w:rPr>
        <w:t>. Las puertas principales de ambos edificios son de vidrio transparente y por esta razón se consideraron como elementos traslúcidos (ventanas). En el muro Sur del edificio “T”, existen 3 puertas de aluminio al exterior que suman 6.44 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 xml:space="preserve"> y cuya conductividad es de 5.7 W/mK (AMEVEC, s.f.). El resumen de los datos para el cálculo energético se concentra en la Tabla 5.</w:t>
      </w:r>
    </w:p>
    <w:p>
      <w:pPr>
        <w:pStyle w:val="NoSpacing"/>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Spacing"/>
        <w:spacing w:lineRule="auto" w:line="240"/>
        <w:jc w:val="center"/>
        <w:rPr>
          <w:b/>
          <w:b/>
          <w:bCs/>
        </w:rPr>
      </w:pPr>
      <w:r>
        <w:rPr>
          <w:rFonts w:cs="Times New Roman" w:ascii="Times New Roman" w:hAnsi="Times New Roman"/>
          <w:b/>
          <w:bCs/>
          <w:color w:val="000000"/>
          <w:sz w:val="20"/>
          <w:szCs w:val="20"/>
          <w:shd w:fill="FFFFFF" w:val="clear"/>
        </w:rPr>
        <w:t>Tabla 5.  Características generales de techos, muros y ventanas. Fuente: Elaboración propia.</w:t>
      </w:r>
    </w:p>
    <w:tbl>
      <w:tblPr>
        <w:tblStyle w:val="Tablaconcuadrcula"/>
        <w:tblW w:w="4564"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965"/>
        <w:gridCol w:w="572"/>
        <w:gridCol w:w="697"/>
        <w:gridCol w:w="399"/>
        <w:gridCol w:w="609"/>
        <w:gridCol w:w="349"/>
        <w:gridCol w:w="486"/>
        <w:gridCol w:w="486"/>
      </w:tblGrid>
      <w:tr>
        <w:trPr/>
        <w:tc>
          <w:tcPr>
            <w:tcW w:w="4563" w:type="dxa"/>
            <w:gridSpan w:val="8"/>
            <w:tcBorders/>
          </w:tcPr>
          <w:p>
            <w:pPr>
              <w:pStyle w:val="NoSpacing"/>
              <w:widowControl w:val="false"/>
              <w:suppressAutoHyphens w:val="true"/>
              <w:spacing w:lineRule="auto" w:line="240" w:before="0" w:after="0"/>
              <w:jc w:val="center"/>
              <w:rPr>
                <w:rFonts w:ascii="Times New Roman" w:hAnsi="Times New Roman" w:cs="Times New Roman"/>
                <w:b/>
                <w:b/>
                <w:bCs/>
                <w:color w:val="000000"/>
                <w:kern w:val="0"/>
                <w:sz w:val="20"/>
                <w:szCs w:val="20"/>
                <w:lang w:val="es-MX" w:bidi="ar-SA"/>
              </w:rPr>
            </w:pPr>
            <w:r>
              <w:rPr>
                <w:rFonts w:cs="Times New Roman" w:ascii="Times New Roman" w:hAnsi="Times New Roman"/>
                <w:b/>
                <w:bCs/>
                <w:color w:val="000000"/>
                <w:kern w:val="0"/>
                <w:sz w:val="20"/>
                <w:szCs w:val="20"/>
                <w:shd w:fill="FFFFFF" w:val="clear"/>
                <w:lang w:val="es-MX" w:bidi="ar-SA"/>
              </w:rPr>
              <w:t>Material base y acabado final de techos.</w:t>
            </w:r>
          </w:p>
        </w:tc>
      </w:tr>
      <w:tr>
        <w:trPr/>
        <w:tc>
          <w:tcPr>
            <w:tcW w:w="965"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Exterior</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Espesor (m)</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Conductividad (W/mK)</w:t>
            </w:r>
          </w:p>
        </w:tc>
        <w:tc>
          <w:tcPr>
            <w:tcW w:w="399" w:type="dxa"/>
            <w:vMerge w:val="restart"/>
            <w:tcBorders/>
            <w:textDirection w:val="btLr"/>
          </w:tcPr>
          <w:p>
            <w:pPr>
              <w:pStyle w:val="NoSpacing"/>
              <w:widowControl w:val="false"/>
              <w:suppressAutoHyphens w:val="true"/>
              <w:spacing w:lineRule="auto" w:line="240" w:before="0" w:after="0"/>
              <w:ind w:left="113" w:right="113" w:hanging="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Orientación</w:t>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349" w:type="dxa"/>
            <w:vMerge w:val="restart"/>
            <w:tcBorders/>
            <w:textDirection w:val="btLr"/>
          </w:tcPr>
          <w:p>
            <w:pPr>
              <w:pStyle w:val="NoSpacing"/>
              <w:widowControl w:val="false"/>
              <w:suppressAutoHyphens w:val="true"/>
              <w:spacing w:lineRule="auto" w:line="240" w:before="0" w:after="0"/>
              <w:ind w:left="113" w:right="113" w:hanging="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Áreas (m</w:t>
            </w:r>
            <w:r>
              <w:rPr>
                <w:rFonts w:cs="Times New Roman" w:ascii="Times New Roman" w:hAnsi="Times New Roman"/>
                <w:color w:val="000000"/>
                <w:kern w:val="0"/>
                <w:sz w:val="12"/>
                <w:szCs w:val="12"/>
                <w:vertAlign w:val="superscript"/>
                <w:lang w:val="es-MX" w:bidi="ar-SA"/>
              </w:rPr>
              <w:t>2</w:t>
            </w:r>
            <w:r>
              <w:rPr>
                <w:rFonts w:cs="Times New Roman" w:ascii="Times New Roman" w:hAnsi="Times New Roman"/>
                <w:color w:val="000000"/>
                <w:kern w:val="0"/>
                <w:sz w:val="12"/>
                <w:szCs w:val="12"/>
                <w:lang w:val="es-MX" w:bidi="ar-SA"/>
              </w:rPr>
              <w:t>)</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Edif. T</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Edif. P</w:t>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Impermeabilizante</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0.003</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0.06</w:t>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restart"/>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186.14</w:t>
            </w:r>
          </w:p>
        </w:tc>
        <w:tc>
          <w:tcPr>
            <w:tcW w:w="486" w:type="dxa"/>
            <w:vMerge w:val="restart"/>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232.75</w:t>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Concreto fluido</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0.05</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0.60</w:t>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continue"/>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continue"/>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Firme de concreto</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0.05</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0.60</w:t>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Vigueta y bovedilla</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0.18</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1.11</w:t>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Revoco de mortero</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0.005</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1.20</w:t>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r>
      <w:tr>
        <w:trPr/>
        <w:tc>
          <w:tcPr>
            <w:tcW w:w="965" w:type="dxa"/>
            <w:tcBorders/>
          </w:tcPr>
          <w:p>
            <w:pPr>
              <w:pStyle w:val="NoSpacing"/>
              <w:widowControl w:val="false"/>
              <w:suppressAutoHyphens w:val="true"/>
              <w:spacing w:lineRule="auto" w:line="240" w:before="0" w:after="0"/>
              <w:jc w:val="both"/>
              <w:rPr>
                <w:rFonts w:ascii="Times New Roman" w:hAnsi="Times New Roman" w:cs="Times New Roman"/>
                <w:b/>
                <w:b/>
                <w:bCs/>
                <w:color w:val="000000"/>
                <w:kern w:val="0"/>
                <w:sz w:val="12"/>
                <w:szCs w:val="12"/>
                <w:lang w:val="es-MX" w:bidi="ar-SA"/>
              </w:rPr>
            </w:pPr>
            <w:r>
              <w:rPr>
                <w:rFonts w:cs="Times New Roman" w:ascii="Times New Roman" w:hAnsi="Times New Roman"/>
                <w:b/>
                <w:bCs/>
                <w:color w:val="000000"/>
                <w:kern w:val="0"/>
                <w:sz w:val="12"/>
                <w:szCs w:val="12"/>
                <w:lang w:val="es-MX" w:bidi="ar-SA"/>
              </w:rPr>
              <w:t>Interior</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r>
      <w:tr>
        <w:trPr/>
        <w:tc>
          <w:tcPr>
            <w:tcW w:w="4563" w:type="dxa"/>
            <w:gridSpan w:val="8"/>
            <w:tcBorders/>
          </w:tcPr>
          <w:p>
            <w:pPr>
              <w:pStyle w:val="NoSpacing"/>
              <w:widowControl w:val="false"/>
              <w:suppressAutoHyphens w:val="true"/>
              <w:spacing w:lineRule="auto" w:line="240" w:before="0" w:after="0"/>
              <w:jc w:val="center"/>
              <w:rPr>
                <w:rFonts w:ascii="Times New Roman" w:hAnsi="Times New Roman" w:cs="Times New Roman"/>
                <w:b/>
                <w:b/>
                <w:bCs/>
                <w:color w:val="000000"/>
                <w:kern w:val="0"/>
                <w:sz w:val="12"/>
                <w:szCs w:val="12"/>
                <w:lang w:val="es-MX" w:bidi="ar-SA"/>
              </w:rPr>
            </w:pPr>
            <w:r>
              <w:rPr>
                <w:rFonts w:cs="Times New Roman" w:ascii="Times New Roman" w:hAnsi="Times New Roman"/>
                <w:b/>
                <w:bCs/>
                <w:color w:val="000000"/>
                <w:kern w:val="0"/>
                <w:sz w:val="12"/>
                <w:szCs w:val="12"/>
                <w:shd w:fill="FFFFFF" w:val="clear"/>
                <w:lang w:val="es-MX" w:bidi="ar-SA"/>
              </w:rPr>
              <w:t>Materiales, orientación y áreas de muros.</w:t>
            </w:r>
          </w:p>
        </w:tc>
      </w:tr>
      <w:tr>
        <w:trPr/>
        <w:tc>
          <w:tcPr>
            <w:tcW w:w="965"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Exterior</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Espesor (m)</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Conductividad (W/mK)</w:t>
            </w:r>
          </w:p>
        </w:tc>
        <w:tc>
          <w:tcPr>
            <w:tcW w:w="399" w:type="dxa"/>
            <w:vMerge w:val="restart"/>
            <w:tcBorders/>
            <w:textDirection w:val="btLr"/>
          </w:tcPr>
          <w:p>
            <w:pPr>
              <w:pStyle w:val="NoSpacing"/>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Orientación</w:t>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349" w:type="dxa"/>
            <w:vMerge w:val="restart"/>
            <w:tcBorders/>
            <w:textDirection w:val="btLr"/>
          </w:tcPr>
          <w:p>
            <w:pPr>
              <w:pStyle w:val="NoSpacing"/>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Áreas (m</w:t>
            </w:r>
            <w:r>
              <w:rPr>
                <w:rFonts w:cs="Times New Roman" w:ascii="Times New Roman" w:hAnsi="Times New Roman"/>
                <w:color w:val="000000"/>
                <w:kern w:val="0"/>
                <w:sz w:val="12"/>
                <w:szCs w:val="12"/>
                <w:vertAlign w:val="superscript"/>
                <w:lang w:val="es-MX" w:bidi="ar-SA"/>
              </w:rPr>
              <w:t>2</w:t>
            </w:r>
            <w:r>
              <w:rPr>
                <w:rFonts w:cs="Times New Roman" w:ascii="Times New Roman" w:hAnsi="Times New Roman"/>
                <w:color w:val="000000"/>
                <w:kern w:val="0"/>
                <w:sz w:val="12"/>
                <w:szCs w:val="12"/>
                <w:lang w:val="es-MX" w:bidi="ar-SA"/>
              </w:rPr>
              <w:t>)</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Edif. T</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Edif. P</w:t>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 xml:space="preserve">Revoco de mortero </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0.02</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1.20</w:t>
            </w:r>
          </w:p>
        </w:tc>
        <w:tc>
          <w:tcPr>
            <w:tcW w:w="399" w:type="dxa"/>
            <w:vMerge w:val="continue"/>
            <w:tcBorders/>
            <w:textDirection w:val="btL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Norte</w:t>
            </w:r>
          </w:p>
        </w:tc>
        <w:tc>
          <w:tcPr>
            <w:tcW w:w="349" w:type="dxa"/>
            <w:vMerge w:val="continue"/>
            <w:tcBorders/>
            <w:textDirection w:val="btL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64.91</w:t>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78.98</w:t>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Block hueco concreto</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0.15</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2.99</w:t>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Sur</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43.47</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80.36</w:t>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Revoco de mortero</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0.02</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1.20</w:t>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Este</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26.28</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54.6</w:t>
            </w:r>
          </w:p>
        </w:tc>
      </w:tr>
      <w:tr>
        <w:trPr/>
        <w:tc>
          <w:tcPr>
            <w:tcW w:w="965"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Interior</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Oeste</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26.18</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43.68</w:t>
            </w:r>
          </w:p>
        </w:tc>
      </w:tr>
      <w:tr>
        <w:trPr/>
        <w:tc>
          <w:tcPr>
            <w:tcW w:w="4563" w:type="dxa"/>
            <w:gridSpan w:val="8"/>
            <w:tcBorders/>
          </w:tcPr>
          <w:p>
            <w:pPr>
              <w:pStyle w:val="NoSpacing"/>
              <w:widowControl w:val="false"/>
              <w:suppressAutoHyphens w:val="true"/>
              <w:spacing w:lineRule="auto" w:line="240" w:before="0" w:after="0"/>
              <w:jc w:val="center"/>
              <w:rPr>
                <w:rFonts w:ascii="Times New Roman" w:hAnsi="Times New Roman" w:cs="Times New Roman"/>
                <w:b/>
                <w:b/>
                <w:bCs/>
                <w:color w:val="000000"/>
                <w:kern w:val="0"/>
                <w:sz w:val="12"/>
                <w:szCs w:val="12"/>
                <w:lang w:val="es-MX" w:bidi="ar-SA"/>
              </w:rPr>
            </w:pPr>
            <w:r>
              <w:rPr>
                <w:rFonts w:cs="Times New Roman" w:ascii="Times New Roman" w:hAnsi="Times New Roman"/>
                <w:b/>
                <w:bCs/>
                <w:color w:val="000000"/>
                <w:kern w:val="0"/>
                <w:sz w:val="12"/>
                <w:szCs w:val="12"/>
                <w:shd w:fill="FFFFFF" w:val="clear"/>
                <w:lang w:val="es-MX" w:bidi="ar-SA"/>
              </w:rPr>
              <w:t>Características, orientación, tipo y áreas translúcidas.</w:t>
            </w:r>
          </w:p>
        </w:tc>
      </w:tr>
      <w:tr>
        <w:trPr/>
        <w:tc>
          <w:tcPr>
            <w:tcW w:w="965"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Ventana</w:t>
            </w:r>
          </w:p>
        </w:tc>
        <w:tc>
          <w:tcPr>
            <w:tcW w:w="572"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Espesor (m)</w:t>
            </w:r>
          </w:p>
        </w:tc>
        <w:tc>
          <w:tcPr>
            <w:tcW w:w="697"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Conductividad (W/mK)</w:t>
            </w:r>
          </w:p>
        </w:tc>
        <w:tc>
          <w:tcPr>
            <w:tcW w:w="399" w:type="dxa"/>
            <w:vMerge w:val="restart"/>
            <w:tcBorders/>
            <w:textDirection w:val="btLr"/>
            <w:vAlign w:val="center"/>
          </w:tcPr>
          <w:p>
            <w:pPr>
              <w:pStyle w:val="NoSpacing"/>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Orientación y sombreado</w:t>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349" w:type="dxa"/>
            <w:vMerge w:val="restart"/>
            <w:tcBorders/>
            <w:textDirection w:val="btLr"/>
            <w:vAlign w:val="bottom"/>
          </w:tcPr>
          <w:p>
            <w:pPr>
              <w:pStyle w:val="NoSpacing"/>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Áreas (m</w:t>
            </w:r>
            <w:r>
              <w:rPr>
                <w:rFonts w:cs="Times New Roman" w:ascii="Times New Roman" w:hAnsi="Times New Roman"/>
                <w:color w:val="000000"/>
                <w:kern w:val="0"/>
                <w:sz w:val="12"/>
                <w:szCs w:val="12"/>
                <w:vertAlign w:val="superscript"/>
                <w:lang w:val="es-MX" w:bidi="ar-SA"/>
              </w:rPr>
              <w:t>2</w:t>
            </w:r>
            <w:r>
              <w:rPr>
                <w:rFonts w:cs="Times New Roman" w:ascii="Times New Roman" w:hAnsi="Times New Roman"/>
                <w:color w:val="000000"/>
                <w:kern w:val="0"/>
                <w:sz w:val="12"/>
                <w:szCs w:val="12"/>
                <w:lang w:val="es-MX" w:bidi="ar-SA"/>
              </w:rPr>
              <w:t>)</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Edif.  T</w:t>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Edif. P</w:t>
            </w:r>
          </w:p>
        </w:tc>
      </w:tr>
      <w:tr>
        <w:trPr/>
        <w:tc>
          <w:tcPr>
            <w:tcW w:w="965" w:type="dxa"/>
            <w:vMerge w:val="restart"/>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 xml:space="preserve">Vidrio claro </w:t>
            </w:r>
          </w:p>
        </w:tc>
        <w:tc>
          <w:tcPr>
            <w:tcW w:w="572" w:type="dxa"/>
            <w:vMerge w:val="restart"/>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0.006</w:t>
            </w:r>
          </w:p>
        </w:tc>
        <w:tc>
          <w:tcPr>
            <w:tcW w:w="697" w:type="dxa"/>
            <w:vMerge w:val="restart"/>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4.86</w:t>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Norte (sin sombra)</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23.02</w:t>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32.02</w:t>
            </w:r>
          </w:p>
        </w:tc>
      </w:tr>
      <w:tr>
        <w:trPr>
          <w:trHeight w:val="690" w:hRule="atLeast"/>
        </w:trPr>
        <w:tc>
          <w:tcPr>
            <w:tcW w:w="965" w:type="dxa"/>
            <w:vMerge w:val="continue"/>
            <w:tcBorders/>
          </w:tcPr>
          <w:p>
            <w:pPr>
              <w:pStyle w:val="NoSpacing"/>
              <w:widowControl w:val="false"/>
              <w:suppressAutoHyphens w:val="true"/>
              <w:spacing w:lineRule="auto" w:line="240" w:before="0" w:after="0"/>
              <w:jc w:val="both"/>
              <w:rPr>
                <w:rFonts w:ascii="Times New Roman" w:hAnsi="Times New Roman" w:cs="Times New Roman"/>
                <w:b/>
                <w:b/>
                <w:bCs/>
                <w:color w:val="000000"/>
                <w:kern w:val="0"/>
                <w:sz w:val="12"/>
                <w:szCs w:val="12"/>
                <w:lang w:val="es-MX" w:bidi="ar-SA"/>
              </w:rPr>
            </w:pPr>
            <w:r>
              <w:rPr>
                <w:rFonts w:cs="Times New Roman" w:ascii="Times New Roman" w:hAnsi="Times New Roman"/>
                <w:b/>
                <w:bCs/>
                <w:color w:val="000000"/>
                <w:kern w:val="0"/>
                <w:sz w:val="12"/>
                <w:szCs w:val="12"/>
                <w:lang w:val="es-MX" w:bidi="ar-SA"/>
              </w:rPr>
            </w:r>
          </w:p>
        </w:tc>
        <w:tc>
          <w:tcPr>
            <w:tcW w:w="572"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97"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left"/>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Sur (con volado más allá de la ventana)</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20.43</w:t>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29.68</w:t>
            </w:r>
          </w:p>
        </w:tc>
      </w:tr>
      <w:tr>
        <w:trPr/>
        <w:tc>
          <w:tcPr>
            <w:tcW w:w="965" w:type="dxa"/>
            <w:vMerge w:val="continue"/>
            <w:tcBorders/>
          </w:tcPr>
          <w:p>
            <w:pPr>
              <w:pStyle w:val="NoSpacing"/>
              <w:widowControl w:val="false"/>
              <w:suppressAutoHyphens w:val="true"/>
              <w:spacing w:lineRule="auto" w:line="240" w:before="0" w:after="0"/>
              <w:jc w:val="both"/>
              <w:rPr>
                <w:rFonts w:ascii="Times New Roman" w:hAnsi="Times New Roman" w:cs="Times New Roman"/>
                <w:b/>
                <w:b/>
                <w:bCs/>
                <w:color w:val="000000"/>
                <w:kern w:val="0"/>
                <w:sz w:val="12"/>
                <w:szCs w:val="12"/>
                <w:lang w:val="es-MX" w:bidi="ar-SA"/>
              </w:rPr>
            </w:pPr>
            <w:r>
              <w:rPr>
                <w:rFonts w:cs="Times New Roman" w:ascii="Times New Roman" w:hAnsi="Times New Roman"/>
                <w:b/>
                <w:bCs/>
                <w:color w:val="000000"/>
                <w:kern w:val="0"/>
                <w:sz w:val="12"/>
                <w:szCs w:val="12"/>
                <w:lang w:val="es-MX" w:bidi="ar-SA"/>
              </w:rPr>
            </w:r>
          </w:p>
        </w:tc>
        <w:tc>
          <w:tcPr>
            <w:tcW w:w="572"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97"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39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609"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Sur (sin sombra)</w:t>
            </w:r>
          </w:p>
        </w:tc>
        <w:tc>
          <w:tcPr>
            <w:tcW w:w="349" w:type="dxa"/>
            <w:vMerge w:val="continue"/>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r>
          </w:p>
        </w:tc>
        <w:tc>
          <w:tcPr>
            <w:tcW w:w="486" w:type="dxa"/>
            <w:tcBorders/>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w:t>
            </w:r>
          </w:p>
        </w:tc>
        <w:tc>
          <w:tcPr>
            <w:tcW w:w="486" w:type="dxa"/>
            <w:tcBorders/>
            <w:vAlign w:val="center"/>
          </w:tcPr>
          <w:p>
            <w:pPr>
              <w:pStyle w:val="NoSpacing"/>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0.96</w:t>
            </w:r>
          </w:p>
        </w:tc>
      </w:tr>
    </w:tbl>
    <w:p>
      <w:pPr>
        <w:pStyle w:val="Normal"/>
        <w:spacing w:lineRule="auto" w:line="240"/>
        <w:rPr>
          <w:rFonts w:ascii="Times New Roman" w:hAnsi="Times New Roman" w:cs="Times New Roman"/>
          <w:color w:val="000000"/>
          <w:sz w:val="20"/>
          <w:szCs w:val="20"/>
          <w:lang w:eastAsia="en-US"/>
        </w:rPr>
      </w:pPr>
      <w:r>
        <w:rPr>
          <w:rFonts w:cs="Times New Roman" w:ascii="Times New Roman" w:hAnsi="Times New Roman"/>
          <w:color w:val="000000"/>
          <w:sz w:val="20"/>
          <w:szCs w:val="20"/>
          <w:lang w:eastAsia="en-US"/>
        </w:rPr>
      </w:r>
    </w:p>
    <w:p>
      <w:pPr>
        <w:pStyle w:val="Normal"/>
        <w:spacing w:lineRule="auto" w:line="240"/>
        <w:jc w:val="both"/>
        <w:rPr>
          <w:rFonts w:ascii="Times New Roman" w:hAnsi="Times New Roman"/>
          <w:b/>
          <w:b/>
          <w:bCs/>
          <w:color w:val="000000"/>
          <w:sz w:val="20"/>
          <w:szCs w:val="20"/>
        </w:rPr>
      </w:pPr>
      <w:bookmarkStart w:id="4" w:name="3pfjxnouhw7e"/>
      <w:bookmarkStart w:id="5" w:name="irsae4pt0k7"/>
      <w:bookmarkEnd w:id="2"/>
      <w:bookmarkEnd w:id="3"/>
      <w:bookmarkEnd w:id="4"/>
      <w:bookmarkEnd w:id="5"/>
      <w:r>
        <w:rPr>
          <w:rFonts w:eastAsia="Times New Roman" w:cs="Times New Roman" w:ascii="Times New Roman" w:hAnsi="Times New Roman"/>
          <w:b/>
          <w:bCs/>
          <w:color w:val="000000"/>
          <w:sz w:val="20"/>
          <w:szCs w:val="20"/>
        </w:rPr>
        <w:t>III. RESULTADOS</w:t>
      </w:r>
    </w:p>
    <w:p>
      <w:pPr>
        <w:pStyle w:val="Normal"/>
        <w:spacing w:lineRule="auto" w:line="240"/>
        <w:jc w:val="both"/>
        <w:rPr>
          <w:rFonts w:ascii="Times New Roman" w:hAnsi="Times New Roman"/>
          <w:color w:val="000000"/>
          <w:sz w:val="20"/>
          <w:szCs w:val="20"/>
        </w:rPr>
      </w:pPr>
      <w:r>
        <w:rPr>
          <w:rFonts w:eastAsia="Times New Roman" w:cs="Times New Roman" w:ascii="Times New Roman" w:hAnsi="Times New Roman"/>
          <w:color w:val="000000"/>
          <w:sz w:val="20"/>
          <w:szCs w:val="20"/>
        </w:rPr>
        <w:t>En la Figura 3 se observan los resultados del cálculo de la generación eléctrica de ambos subsistemas (barras) y la suma de ellos (línea). El mayor rendimiento en el primer semestre del año lo ocupa el fotovoltaico, mientras que en el segundo semestre predomina la eólica (de junio a octubre); de hecho, es cuando hay más producción fotovoltaica que se alcanzan los máximos (de marzo a mayo).</w:t>
      </w:r>
    </w:p>
    <w:p>
      <w:pPr>
        <w:pStyle w:val="Normal"/>
        <w:spacing w:lineRule="auto" w:line="240"/>
        <w:jc w:val="both"/>
        <w:rPr>
          <w:rFonts w:ascii="Times New Roman" w:hAnsi="Times New Roman"/>
          <w:color w:val="000000"/>
          <w:sz w:val="20"/>
          <w:szCs w:val="20"/>
        </w:rPr>
      </w:pPr>
      <w:r>
        <w:rPr/>
      </w:r>
    </w:p>
    <w:p>
      <w:pPr>
        <w:pStyle w:val="Normal"/>
        <w:spacing w:lineRule="auto" w:line="240"/>
        <w:jc w:val="center"/>
        <w:rPr>
          <w:rFonts w:ascii="Times New Roman" w:hAnsi="Times New Roman"/>
          <w:color w:val="000000"/>
          <w:sz w:val="20"/>
          <w:szCs w:val="20"/>
        </w:rPr>
      </w:pPr>
      <w:r>
        <w:rPr/>
        <w:drawing>
          <wp:inline distT="0" distB="0" distL="0" distR="0">
            <wp:extent cx="2912745" cy="1749425"/>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spacing w:lineRule="auto" w:line="240"/>
        <w:jc w:val="center"/>
        <w:rPr>
          <w:i/>
          <w:i/>
          <w:iCs/>
        </w:rPr>
      </w:pPr>
      <w:r>
        <w:rPr>
          <w:rFonts w:cs="Times New Roman" w:ascii="Times New Roman" w:hAnsi="Times New Roman"/>
          <w:i/>
          <w:iCs/>
          <w:color w:val="000000"/>
          <w:sz w:val="20"/>
          <w:szCs w:val="20"/>
          <w:lang w:eastAsia="en-US"/>
        </w:rPr>
        <w:t xml:space="preserve">Figura 3. Producción mensual del sistema híbrido. </w:t>
      </w:r>
      <w:r>
        <w:rPr>
          <w:rFonts w:cs="Times New Roman" w:ascii="Times New Roman" w:hAnsi="Times New Roman"/>
          <w:i/>
          <w:iCs/>
          <w:color w:val="000000"/>
          <w:sz w:val="20"/>
          <w:szCs w:val="20"/>
          <w:shd w:fill="FFFFFF" w:val="clear"/>
          <w:lang w:eastAsia="en-US"/>
        </w:rPr>
        <w:t>Fuente: Elaboración propia.</w:t>
      </w:r>
    </w:p>
    <w:p>
      <w:pPr>
        <w:pStyle w:val="Normal"/>
        <w:spacing w:lineRule="auto" w:line="240"/>
        <w:jc w:val="both"/>
        <w:rPr>
          <w:rFonts w:eastAsia="Times New Roman" w:cs="Times New Roman"/>
        </w:rPr>
      </w:pPr>
      <w:r>
        <w:rPr>
          <w:rFonts w:eastAsia="Times New Roman" w:cs="Times New Roman"/>
        </w:rPr>
      </w:r>
    </w:p>
    <w:p>
      <w:pPr>
        <w:pStyle w:val="Normal"/>
        <w:spacing w:lineRule="auto" w:line="240"/>
        <w:jc w:val="both"/>
        <w:rPr>
          <w:rFonts w:ascii="Times New Roman" w:hAnsi="Times New Roman"/>
          <w:color w:val="000000"/>
          <w:sz w:val="20"/>
          <w:szCs w:val="20"/>
        </w:rPr>
      </w:pPr>
      <w:r>
        <w:rPr>
          <w:rFonts w:eastAsia="Times New Roman" w:cs="Times New Roman" w:ascii="Times New Roman" w:hAnsi="Times New Roman"/>
          <w:color w:val="000000"/>
          <w:sz w:val="20"/>
          <w:szCs w:val="20"/>
        </w:rPr>
        <w:t>La Tabla 6 sintetiza la media del consumo por cada línea de cada edificio (L1, L2 Y L3), su consumo diario y anual, así como la producción eléctrica del sistema híbrido. En ambos casos, la generación sobrepasa al consumo anual eléctrico por edificio; generando un excedente de 9.47% y 38.88%, para el edificio “T” y “P”, respectivamente.</w:t>
      </w:r>
    </w:p>
    <w:p>
      <w:pPr>
        <w:pStyle w:val="Normal"/>
        <w:spacing w:lineRule="auto" w:line="240"/>
        <w:jc w:val="both"/>
        <w:rPr>
          <w:rFonts w:eastAsia="Times New Roman" w:cs="Times New Roman"/>
        </w:rPr>
      </w:pPr>
      <w:r>
        <w:rPr>
          <w:rFonts w:eastAsia="Times New Roman" w:cs="Times New Roman"/>
        </w:rPr>
      </w:r>
    </w:p>
    <w:p>
      <w:pPr>
        <w:pStyle w:val="Caption"/>
        <w:keepNext w:val="true"/>
        <w:spacing w:lineRule="auto" w:line="240" w:before="0" w:after="0"/>
        <w:jc w:val="center"/>
        <w:rPr>
          <w:b/>
          <w:b/>
          <w:bCs/>
        </w:rPr>
      </w:pPr>
      <w:r>
        <w:rPr>
          <w:rFonts w:cs="Times New Roman" w:ascii="Times New Roman" w:hAnsi="Times New Roman"/>
          <w:b/>
          <w:bCs/>
          <w:i w:val="false"/>
          <w:iCs w:val="false"/>
          <w:color w:val="000000"/>
          <w:sz w:val="20"/>
          <w:szCs w:val="20"/>
        </w:rPr>
        <w:t xml:space="preserve">Tabla 6. Consumo y generación eléctrica (kW/h). </w:t>
      </w:r>
      <w:r>
        <w:rPr>
          <w:rFonts w:cs="Times New Roman" w:ascii="Times New Roman" w:hAnsi="Times New Roman"/>
          <w:b/>
          <w:bCs/>
          <w:i w:val="false"/>
          <w:iCs w:val="false"/>
          <w:color w:val="000000"/>
          <w:sz w:val="20"/>
          <w:szCs w:val="20"/>
          <w:shd w:fill="FFFFFF" w:val="clear"/>
        </w:rPr>
        <w:t>Fuente: Elaboración propia.</w:t>
      </w:r>
    </w:p>
    <w:tbl>
      <w:tblPr>
        <w:tblStyle w:val="Tablaconcuadrcula1"/>
        <w:tblW w:w="4564"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388"/>
        <w:gridCol w:w="398"/>
        <w:gridCol w:w="489"/>
        <w:gridCol w:w="544"/>
        <w:gridCol w:w="681"/>
        <w:gridCol w:w="788"/>
        <w:gridCol w:w="592"/>
        <w:gridCol w:w="683"/>
      </w:tblGrid>
      <w:tr>
        <w:trPr>
          <w:trHeight w:val="236" w:hRule="atLeast"/>
        </w:trPr>
        <w:tc>
          <w:tcPr>
            <w:tcW w:w="4563" w:type="dxa"/>
            <w:gridSpan w:val="8"/>
            <w:tcBorders/>
          </w:tcPr>
          <w:p>
            <w:pPr>
              <w:pStyle w:val="Normal"/>
              <w:widowControl w:val="false"/>
              <w:suppressAutoHyphens w:val="true"/>
              <w:spacing w:lineRule="auto" w:line="240" w:before="0" w:after="0"/>
              <w:jc w:val="center"/>
              <w:rPr>
                <w:rFonts w:ascii="Times New Roman" w:hAnsi="Times New Roman" w:cs="Times New Roman"/>
                <w:b/>
                <w:b/>
                <w:bCs/>
                <w:color w:val="000000"/>
                <w:kern w:val="0"/>
                <w:sz w:val="12"/>
                <w:szCs w:val="12"/>
                <w:lang w:val="es-MX" w:bidi="ar-SA"/>
              </w:rPr>
            </w:pPr>
            <w:r>
              <w:rPr>
                <w:rFonts w:cs="Times New Roman" w:ascii="Times New Roman" w:hAnsi="Times New Roman"/>
                <w:b/>
                <w:bCs/>
                <w:color w:val="000000"/>
                <w:kern w:val="0"/>
                <w:sz w:val="12"/>
                <w:szCs w:val="12"/>
                <w:lang w:val="es-MX" w:bidi="ar-SA"/>
              </w:rPr>
              <w:t>Edificio T.</w:t>
            </w:r>
          </w:p>
        </w:tc>
      </w:tr>
      <w:tr>
        <w:trPr>
          <w:trHeight w:val="563" w:hRule="atLeast"/>
        </w:trPr>
        <w:tc>
          <w:tcPr>
            <w:tcW w:w="388" w:type="dxa"/>
            <w:tcBorders/>
          </w:tcPr>
          <w:p>
            <w:pPr>
              <w:pStyle w:val="Normal"/>
              <w:widowControl w:val="false"/>
              <w:suppressAutoHyphens w:val="true"/>
              <w:spacing w:lineRule="auto" w:line="240" w:before="0" w:after="0"/>
              <w:jc w:val="both"/>
              <w:rPr>
                <w:rFonts w:ascii="Times New Roman" w:hAnsi="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 xml:space="preserve"> </w:t>
            </w:r>
            <w:r>
              <w:rPr>
                <w:rFonts w:cs="Times New Roman" w:ascii="Times New Roman" w:hAnsi="Times New Roman"/>
                <w:color w:val="000000"/>
                <w:kern w:val="0"/>
                <w:sz w:val="12"/>
                <w:szCs w:val="12"/>
                <w:lang w:val="es-MX" w:bidi="ar-SA"/>
              </w:rPr>
              <w:t>L1</w:t>
            </w:r>
          </w:p>
        </w:tc>
        <w:tc>
          <w:tcPr>
            <w:tcW w:w="398"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 xml:space="preserve"> </w:t>
            </w:r>
            <w:r>
              <w:rPr>
                <w:rFonts w:cs="Times New Roman" w:ascii="Times New Roman" w:hAnsi="Times New Roman"/>
                <w:color w:val="000000"/>
                <w:kern w:val="0"/>
                <w:sz w:val="12"/>
                <w:szCs w:val="12"/>
                <w:lang w:val="es-MX" w:bidi="ar-SA"/>
              </w:rPr>
              <w:t>L2</w:t>
            </w:r>
          </w:p>
        </w:tc>
        <w:tc>
          <w:tcPr>
            <w:tcW w:w="489"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 xml:space="preserve"> </w:t>
            </w:r>
            <w:r>
              <w:rPr>
                <w:rFonts w:cs="Times New Roman" w:ascii="Times New Roman" w:hAnsi="Times New Roman"/>
                <w:color w:val="000000"/>
                <w:kern w:val="0"/>
                <w:sz w:val="12"/>
                <w:szCs w:val="12"/>
                <w:lang w:val="es-MX" w:bidi="ar-SA"/>
              </w:rPr>
              <w:t>L3</w:t>
            </w:r>
          </w:p>
        </w:tc>
        <w:tc>
          <w:tcPr>
            <w:tcW w:w="544"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 xml:space="preserve">Consumo diario </w:t>
            </w:r>
          </w:p>
        </w:tc>
        <w:tc>
          <w:tcPr>
            <w:tcW w:w="681"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Consumo anual (221 días laborales)</w:t>
            </w:r>
          </w:p>
        </w:tc>
        <w:tc>
          <w:tcPr>
            <w:tcW w:w="788"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Producción fotovoltaica anual (365 días)</w:t>
            </w:r>
          </w:p>
        </w:tc>
        <w:tc>
          <w:tcPr>
            <w:tcW w:w="592"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Producción eólica anual</w:t>
            </w:r>
          </w:p>
        </w:tc>
        <w:tc>
          <w:tcPr>
            <w:tcW w:w="683"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Generación con respecto al consumo anual</w:t>
            </w:r>
          </w:p>
        </w:tc>
      </w:tr>
      <w:tr>
        <w:trPr>
          <w:trHeight w:val="273" w:hRule="atLeast"/>
        </w:trPr>
        <w:tc>
          <w:tcPr>
            <w:tcW w:w="388"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3.62</w:t>
            </w:r>
          </w:p>
        </w:tc>
        <w:tc>
          <w:tcPr>
            <w:tcW w:w="398"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2.06</w:t>
            </w:r>
          </w:p>
        </w:tc>
        <w:tc>
          <w:tcPr>
            <w:tcW w:w="489"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2.90</w:t>
            </w:r>
          </w:p>
        </w:tc>
        <w:tc>
          <w:tcPr>
            <w:tcW w:w="544"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68.00</w:t>
            </w:r>
          </w:p>
        </w:tc>
        <w:tc>
          <w:tcPr>
            <w:tcW w:w="681"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15028.00</w:t>
            </w:r>
          </w:p>
        </w:tc>
        <w:tc>
          <w:tcPr>
            <w:tcW w:w="788"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8155.02</w:t>
            </w:r>
          </w:p>
        </w:tc>
        <w:tc>
          <w:tcPr>
            <w:tcW w:w="592"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8296.45</w:t>
            </w:r>
          </w:p>
        </w:tc>
        <w:tc>
          <w:tcPr>
            <w:tcW w:w="683"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109.47%</w:t>
            </w:r>
          </w:p>
        </w:tc>
      </w:tr>
      <w:tr>
        <w:trPr>
          <w:trHeight w:val="273" w:hRule="atLeast"/>
        </w:trPr>
        <w:tc>
          <w:tcPr>
            <w:tcW w:w="4563" w:type="dxa"/>
            <w:gridSpan w:val="8"/>
            <w:tcBorders/>
          </w:tcPr>
          <w:p>
            <w:pPr>
              <w:pStyle w:val="Normal"/>
              <w:widowControl w:val="false"/>
              <w:suppressAutoHyphens w:val="true"/>
              <w:spacing w:lineRule="auto" w:line="240" w:before="0" w:after="0"/>
              <w:jc w:val="center"/>
              <w:rPr>
                <w:rFonts w:ascii="Times New Roman" w:hAnsi="Times New Roman" w:cs="Times New Roman"/>
                <w:b/>
                <w:b/>
                <w:bCs/>
                <w:color w:val="000000"/>
                <w:kern w:val="0"/>
                <w:sz w:val="12"/>
                <w:szCs w:val="12"/>
                <w:lang w:val="es-MX" w:bidi="ar-SA"/>
              </w:rPr>
            </w:pPr>
            <w:r>
              <w:rPr>
                <w:rFonts w:cs="Times New Roman" w:ascii="Times New Roman" w:hAnsi="Times New Roman"/>
                <w:b/>
                <w:bCs/>
                <w:color w:val="000000"/>
                <w:kern w:val="0"/>
                <w:sz w:val="12"/>
                <w:szCs w:val="12"/>
                <w:lang w:val="es-MX" w:bidi="ar-SA"/>
              </w:rPr>
              <w:t>Edificio P.</w:t>
            </w:r>
          </w:p>
        </w:tc>
      </w:tr>
      <w:tr>
        <w:trPr>
          <w:trHeight w:val="273" w:hRule="atLeast"/>
        </w:trPr>
        <w:tc>
          <w:tcPr>
            <w:tcW w:w="388"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1.48</w:t>
            </w:r>
          </w:p>
        </w:tc>
        <w:tc>
          <w:tcPr>
            <w:tcW w:w="398"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3.16</w:t>
            </w:r>
          </w:p>
        </w:tc>
        <w:tc>
          <w:tcPr>
            <w:tcW w:w="489"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2.08</w:t>
            </w:r>
          </w:p>
        </w:tc>
        <w:tc>
          <w:tcPr>
            <w:tcW w:w="544"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53.60</w:t>
            </w:r>
          </w:p>
        </w:tc>
        <w:tc>
          <w:tcPr>
            <w:tcW w:w="681"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11845.60</w:t>
            </w:r>
          </w:p>
        </w:tc>
        <w:tc>
          <w:tcPr>
            <w:tcW w:w="788"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8155.02</w:t>
            </w:r>
          </w:p>
        </w:tc>
        <w:tc>
          <w:tcPr>
            <w:tcW w:w="592"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8296.45</w:t>
            </w:r>
          </w:p>
        </w:tc>
        <w:tc>
          <w:tcPr>
            <w:tcW w:w="683" w:type="dxa"/>
            <w:tcBorders/>
          </w:tcPr>
          <w:p>
            <w:pPr>
              <w:pStyle w:val="Normal"/>
              <w:widowControl w:val="false"/>
              <w:suppressAutoHyphens w:val="true"/>
              <w:spacing w:lineRule="auto" w:line="240" w:before="0" w:after="0"/>
              <w:jc w:val="center"/>
              <w:rPr>
                <w:rFonts w:ascii="Times New Roman" w:hAnsi="Times New Roman" w:cs="Times New Roman"/>
                <w:color w:val="000000"/>
                <w:kern w:val="0"/>
                <w:sz w:val="12"/>
                <w:szCs w:val="12"/>
                <w:lang w:val="es-MX" w:bidi="ar-SA"/>
              </w:rPr>
            </w:pPr>
            <w:r>
              <w:rPr>
                <w:rFonts w:cs="Times New Roman" w:ascii="Times New Roman" w:hAnsi="Times New Roman"/>
                <w:color w:val="000000"/>
                <w:kern w:val="0"/>
                <w:sz w:val="12"/>
                <w:szCs w:val="12"/>
                <w:lang w:val="es-MX" w:bidi="ar-SA"/>
              </w:rPr>
              <w:t>138.88%</w:t>
            </w:r>
          </w:p>
        </w:tc>
      </w:tr>
    </w:tbl>
    <w:p>
      <w:pPr>
        <w:pStyle w:val="Normal"/>
        <w:spacing w:lineRule="auto" w:line="24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jc w:val="both"/>
        <w:rPr>
          <w:rFonts w:ascii="Times New Roman" w:hAnsi="Times New Roman"/>
          <w:color w:val="000000"/>
          <w:sz w:val="20"/>
          <w:szCs w:val="20"/>
        </w:rPr>
      </w:pPr>
      <w:r>
        <w:rPr>
          <w:rFonts w:eastAsia="Times New Roman" w:cs="Times New Roman" w:ascii="Times New Roman" w:hAnsi="Times New Roman"/>
          <w:color w:val="000000"/>
          <w:sz w:val="20"/>
          <w:szCs w:val="20"/>
        </w:rPr>
        <w:t>Con respecto al cumplimiento de la NOM, en la Tabla 7 se muestran los resultados de cada edificio en las condiciones actuales e inmediatamente el resultado obtenido considerando aislamiento EPS de 1” aplicados en los muros Este y Oeste (por ser los de mayor conducción de calor). Tanto el edificio “T” como el “P” quedan por debajo del valor del edificio de referencia en un 8.4 y 7.4% respectivamente. Al aplicar las placas aislantes, su valor es mayor al edificio de referencia, cumpliendo la NOM.</w:t>
      </w:r>
    </w:p>
    <w:p>
      <w:pPr>
        <w:pStyle w:val="Normal"/>
        <w:spacing w:lineRule="auto" w:line="240"/>
        <w:jc w:val="center"/>
        <w:rPr/>
      </w:pPr>
      <w:r>
        <w:rPr>
          <w:rFonts w:eastAsia="Times New Roman" w:cs="Times New Roman" w:ascii="Times New Roman" w:hAnsi="Times New Roman"/>
          <w:b/>
          <w:bCs/>
          <w:color w:val="000000"/>
          <w:sz w:val="20"/>
          <w:szCs w:val="20"/>
        </w:rPr>
        <w:t xml:space="preserve">Tabla 7. Resultado de la NOM en condiciones actuales y con aislante. </w:t>
      </w:r>
      <w:r>
        <w:rPr>
          <w:rFonts w:eastAsia="Times New Roman" w:cs="Times New Roman" w:ascii="Times New Roman" w:hAnsi="Times New Roman"/>
          <w:b/>
          <w:bCs/>
          <w:color w:val="000000"/>
          <w:sz w:val="20"/>
          <w:szCs w:val="20"/>
          <w:shd w:fill="FFFFFF" w:val="clear"/>
        </w:rPr>
        <w:t>Fuente: Elaboración propia.</w:t>
      </w:r>
    </w:p>
    <w:tbl>
      <w:tblPr>
        <w:tblStyle w:val="Tablaconcuadrcula"/>
        <w:tblW w:w="4369" w:type="dxa"/>
        <w:jc w:val="left"/>
        <w:tblInd w:w="53" w:type="dxa"/>
        <w:tblLayout w:type="fixed"/>
        <w:tblCellMar>
          <w:top w:w="0" w:type="dxa"/>
          <w:left w:w="108" w:type="dxa"/>
          <w:bottom w:w="0" w:type="dxa"/>
          <w:right w:w="108" w:type="dxa"/>
        </w:tblCellMar>
        <w:tblLook w:val="04a0" w:noHBand="0" w:noVBand="1" w:firstColumn="1" w:lastRow="0" w:lastColumn="0" w:firstRow="1"/>
      </w:tblPr>
      <w:tblGrid>
        <w:gridCol w:w="853"/>
        <w:gridCol w:w="1022"/>
        <w:gridCol w:w="1303"/>
        <w:gridCol w:w="1191"/>
      </w:tblGrid>
      <w:tr>
        <w:trPr/>
        <w:tc>
          <w:tcPr>
            <w:tcW w:w="4369" w:type="dxa"/>
            <w:gridSpan w:val="4"/>
            <w:tcBorders/>
          </w:tcPr>
          <w:p>
            <w:pPr>
              <w:pStyle w:val="Normal"/>
              <w:widowControl w:val="false"/>
              <w:suppressAutoHyphens w:val="true"/>
              <w:spacing w:lineRule="auto" w:line="240" w:before="0" w:after="0"/>
              <w:jc w:val="center"/>
              <w:rPr>
                <w:rFonts w:ascii="Times New Roman" w:hAnsi="Times New Roman" w:eastAsia="Times New Roman" w:cs="Times New Roman"/>
                <w:b/>
                <w:b/>
                <w:bCs/>
                <w:color w:val="000000"/>
                <w:kern w:val="0"/>
                <w:sz w:val="12"/>
                <w:szCs w:val="12"/>
                <w:lang w:val="es-MX" w:bidi="ar-SA"/>
              </w:rPr>
            </w:pPr>
            <w:r>
              <w:rPr>
                <w:rFonts w:eastAsia="Times New Roman" w:cs="Times New Roman" w:ascii="Times New Roman" w:hAnsi="Times New Roman"/>
                <w:b/>
                <w:bCs/>
                <w:color w:val="000000"/>
                <w:kern w:val="0"/>
                <w:sz w:val="12"/>
                <w:szCs w:val="12"/>
                <w:lang w:val="es-MX" w:bidi="ar-SA"/>
              </w:rPr>
              <w:t>Edificio T en condiciones actuales (construcción en 2017)</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Conducción (W)</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Radiación (W)</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Total (W)</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Edificio de referencia</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2559.86</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9573.64</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12133.50</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Edificio proyectado</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9152.91</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4003.96</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13156.86</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Cumple con la norma</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SI [   ]</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NO [X]</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-8.4%</w:t>
            </w:r>
          </w:p>
        </w:tc>
      </w:tr>
      <w:tr>
        <w:trPr/>
        <w:tc>
          <w:tcPr>
            <w:tcW w:w="4369" w:type="dxa"/>
            <w:gridSpan w:val="4"/>
            <w:tcBorders/>
          </w:tcPr>
          <w:p>
            <w:pPr>
              <w:pStyle w:val="Normal"/>
              <w:widowControl w:val="false"/>
              <w:suppressAutoHyphens w:val="true"/>
              <w:spacing w:lineRule="auto" w:line="240" w:before="0" w:after="0"/>
              <w:jc w:val="center"/>
              <w:rPr>
                <w:rFonts w:ascii="Times New Roman" w:hAnsi="Times New Roman" w:eastAsia="Times New Roman" w:cs="Times New Roman"/>
                <w:b/>
                <w:b/>
                <w:bCs/>
                <w:color w:val="000000"/>
                <w:kern w:val="0"/>
                <w:sz w:val="12"/>
                <w:szCs w:val="12"/>
                <w:lang w:val="es-MX" w:bidi="ar-SA"/>
              </w:rPr>
            </w:pPr>
            <w:r>
              <w:rPr>
                <w:rFonts w:eastAsia="Times New Roman" w:cs="Times New Roman" w:ascii="Times New Roman" w:hAnsi="Times New Roman"/>
                <w:b/>
                <w:bCs/>
                <w:color w:val="000000"/>
                <w:kern w:val="0"/>
                <w:sz w:val="12"/>
                <w:szCs w:val="12"/>
                <w:lang w:val="es-MX" w:bidi="ar-SA"/>
              </w:rPr>
              <w:t>Edificio T con aislante EPS 1” en muros Este y Oeste.</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Conducción (W)</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Radiación (W)</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Total (W)</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Edificio de referencia</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2559.86</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9573.64</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12133.50</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Edificio proyectado</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7760.64</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4003.96</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11764.60</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Cumple con la norma</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SI [X ]</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NO [  ]</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3%</w:t>
            </w:r>
          </w:p>
        </w:tc>
      </w:tr>
      <w:tr>
        <w:trPr/>
        <w:tc>
          <w:tcPr>
            <w:tcW w:w="4369" w:type="dxa"/>
            <w:gridSpan w:val="4"/>
            <w:tcBorders/>
          </w:tcPr>
          <w:p>
            <w:pPr>
              <w:pStyle w:val="Normal"/>
              <w:widowControl w:val="false"/>
              <w:suppressAutoHyphens w:val="true"/>
              <w:spacing w:lineRule="auto" w:line="240" w:before="0" w:after="0"/>
              <w:jc w:val="center"/>
              <w:rPr>
                <w:rFonts w:ascii="Times New Roman" w:hAnsi="Times New Roman" w:eastAsia="Times New Roman" w:cs="Times New Roman"/>
                <w:b/>
                <w:b/>
                <w:bCs/>
                <w:color w:val="000000"/>
                <w:kern w:val="0"/>
                <w:sz w:val="12"/>
                <w:szCs w:val="12"/>
                <w:lang w:val="es-MX" w:bidi="ar-SA"/>
              </w:rPr>
            </w:pPr>
            <w:r>
              <w:rPr>
                <w:rFonts w:eastAsia="Times New Roman" w:cs="Times New Roman" w:ascii="Times New Roman" w:hAnsi="Times New Roman"/>
                <w:b/>
                <w:bCs/>
                <w:color w:val="000000"/>
                <w:kern w:val="0"/>
                <w:sz w:val="12"/>
                <w:szCs w:val="12"/>
                <w:lang w:val="es-MX" w:bidi="ar-SA"/>
              </w:rPr>
              <w:t>Edificio P en condiciones actuales (construcción en 2000).</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Conducción (W)</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Radiación (W)</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Total (W)</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Edificio de referencia</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3764.59</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13357.84</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17122.44</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Edificio proyectado</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12450.33</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5931.88</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18382.21</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Cumple con la norma</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SI [   ]</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NO [X]</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-7.4%</w:t>
            </w:r>
          </w:p>
        </w:tc>
      </w:tr>
      <w:tr>
        <w:trPr/>
        <w:tc>
          <w:tcPr>
            <w:tcW w:w="4369" w:type="dxa"/>
            <w:gridSpan w:val="4"/>
            <w:tcBorders/>
          </w:tcPr>
          <w:p>
            <w:pPr>
              <w:pStyle w:val="Normal"/>
              <w:widowControl w:val="false"/>
              <w:suppressAutoHyphens w:val="true"/>
              <w:spacing w:lineRule="auto" w:line="240" w:before="0" w:after="0"/>
              <w:jc w:val="center"/>
              <w:rPr>
                <w:rFonts w:ascii="Times New Roman" w:hAnsi="Times New Roman" w:eastAsia="Times New Roman" w:cs="Times New Roman"/>
                <w:b/>
                <w:b/>
                <w:bCs/>
                <w:color w:val="000000"/>
                <w:kern w:val="0"/>
                <w:sz w:val="12"/>
                <w:szCs w:val="12"/>
                <w:lang w:val="es-MX" w:bidi="ar-SA"/>
              </w:rPr>
            </w:pPr>
            <w:r>
              <w:rPr>
                <w:rFonts w:eastAsia="Times New Roman" w:cs="Times New Roman" w:ascii="Times New Roman" w:hAnsi="Times New Roman"/>
                <w:b/>
                <w:bCs/>
                <w:color w:val="000000"/>
                <w:kern w:val="0"/>
                <w:sz w:val="12"/>
                <w:szCs w:val="12"/>
                <w:lang w:val="es-MX" w:bidi="ar-SA"/>
              </w:rPr>
              <w:t>Edificio P con aislante EPS 1” en muros Este y Oeste.</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Conducción (W)</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Radiación (W)</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Total (W)</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Edificio de referencia</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3764.59</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13357.84</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17122.44</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Edificio proyectado</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10685.33</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5931.88</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16617.20</w:t>
            </w:r>
          </w:p>
        </w:tc>
      </w:tr>
      <w:tr>
        <w:trPr/>
        <w:tc>
          <w:tcPr>
            <w:tcW w:w="85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Cumple con la norma</w:t>
            </w:r>
          </w:p>
        </w:tc>
        <w:tc>
          <w:tcPr>
            <w:tcW w:w="1022"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SI [X]</w:t>
            </w:r>
          </w:p>
        </w:tc>
        <w:tc>
          <w:tcPr>
            <w:tcW w:w="1303"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NO [   ]</w:t>
            </w:r>
          </w:p>
        </w:tc>
        <w:tc>
          <w:tcPr>
            <w:tcW w:w="1191" w:type="dxa"/>
            <w:tcBorders/>
          </w:tcPr>
          <w:p>
            <w:pPr>
              <w:pStyle w:val="Normal"/>
              <w:widowControl w:val="false"/>
              <w:suppressAutoHyphens w:val="true"/>
              <w:spacing w:lineRule="auto" w:line="240" w:before="0" w:after="0"/>
              <w:jc w:val="center"/>
              <w:rPr>
                <w:rFonts w:ascii="Times New Roman" w:hAnsi="Times New Roman" w:eastAsia="Times New Roman" w:cs="Times New Roman"/>
                <w:color w:val="000000"/>
                <w:kern w:val="0"/>
                <w:sz w:val="12"/>
                <w:szCs w:val="12"/>
                <w:lang w:val="es-MX" w:bidi="ar-SA"/>
              </w:rPr>
            </w:pPr>
            <w:r>
              <w:rPr>
                <w:rFonts w:eastAsia="Times New Roman" w:cs="Times New Roman" w:ascii="Times New Roman" w:hAnsi="Times New Roman"/>
                <w:color w:val="000000"/>
                <w:kern w:val="0"/>
                <w:sz w:val="12"/>
                <w:szCs w:val="12"/>
                <w:lang w:val="es-MX" w:bidi="ar-SA"/>
              </w:rPr>
              <w:t>3%</w:t>
            </w:r>
          </w:p>
        </w:tc>
      </w:tr>
    </w:tbl>
    <w:p>
      <w:pPr>
        <w:pStyle w:val="Normal"/>
        <w:spacing w:lineRule="auto" w:line="24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jc w:val="both"/>
        <w:rPr>
          <w:rFonts w:ascii="Times New Roman" w:hAnsi="Times New Roman"/>
          <w:b/>
          <w:b/>
          <w:bCs/>
          <w:color w:val="000000"/>
          <w:sz w:val="20"/>
          <w:szCs w:val="20"/>
        </w:rPr>
      </w:pPr>
      <w:r>
        <w:rPr>
          <w:rFonts w:eastAsia="Times New Roman" w:cs="Times New Roman" w:ascii="Times New Roman" w:hAnsi="Times New Roman"/>
          <w:b/>
          <w:bCs/>
          <w:color w:val="000000"/>
          <w:sz w:val="20"/>
          <w:szCs w:val="20"/>
        </w:rPr>
        <w:t>IV. DISCUSIÓN</w:t>
      </w:r>
    </w:p>
    <w:p>
      <w:pPr>
        <w:pStyle w:val="Normal"/>
        <w:spacing w:lineRule="auto" w:line="240"/>
        <w:jc w:val="both"/>
        <w:rPr>
          <w:rFonts w:ascii="Times New Roman" w:hAnsi="Times New Roman"/>
          <w:color w:val="000000"/>
          <w:sz w:val="20"/>
          <w:szCs w:val="20"/>
        </w:rPr>
      </w:pPr>
      <w:r>
        <w:rPr>
          <w:rFonts w:eastAsia="Times New Roman" w:cs="Times New Roman" w:ascii="Times New Roman" w:hAnsi="Times New Roman"/>
          <w:color w:val="000000"/>
          <w:sz w:val="20"/>
          <w:szCs w:val="20"/>
        </w:rPr>
        <w:t>El Acuerdo 31/2020 ofrece los lineamientos a considerar para que los edificios propiedad o en renta del gobierno del estado sean eficientemente energéticos e incentiva el uso de energías renovables y anexa la NOM-008-ENER-2001 que determina las disposiciones específicas en materia de eficiencia energética. En cuanto al primer aspecto, el sistema híbrido presenta una disminución de la potencia fotovoltaica coincidente con las simulaciones de modelos meteorológicos (Meteoblue, s.f.), que presentan a los meses de junio a septiembre como los de mayor nubosidad, siendo el último con los datos más altos: 19.7 días parcialmente nublado y 4.2 días nublado.</w:t>
      </w:r>
    </w:p>
    <w:p>
      <w:pPr>
        <w:pStyle w:val="Normal"/>
        <w:spacing w:lineRule="auto" w:line="240"/>
        <w:jc w:val="both"/>
        <w:rPr>
          <w:rFonts w:ascii="Times New Roman" w:hAnsi="Times New Roman"/>
          <w:color w:val="000000"/>
          <w:sz w:val="20"/>
          <w:szCs w:val="20"/>
        </w:rPr>
      </w:pPr>
      <w:r>
        <w:rPr/>
      </w:r>
    </w:p>
    <w:p>
      <w:pPr>
        <w:pStyle w:val="Normal"/>
        <w:spacing w:lineRule="auto" w:line="240"/>
        <w:jc w:val="both"/>
        <w:rPr>
          <w:rFonts w:ascii="Times New Roman" w:hAnsi="Times New Roman"/>
          <w:color w:val="000000"/>
          <w:sz w:val="20"/>
          <w:szCs w:val="20"/>
        </w:rPr>
      </w:pPr>
      <w:r>
        <w:rPr>
          <w:rFonts w:eastAsia="Times New Roman" w:cs="Times New Roman" w:ascii="Times New Roman" w:hAnsi="Times New Roman"/>
          <w:color w:val="000000"/>
          <w:sz w:val="20"/>
          <w:szCs w:val="20"/>
        </w:rPr>
        <w:t>En este mismo simulador la velocidad predominante a lo largo del año es de 3.33 m/s, pero en los datos obtenidos a tres metros de altura el promedio anual es de 4.92 m/s, probablemente por la rugosidad del sitio el cual tiene cuerpos de agua y humedales cercanos y áreas abiertas alrededor de la instalación.  En estudios empíricos realizados por los autores (no publicados) se ha observado que las turbulencias, las ráfagas y la dirección del viento a 1.5m de altura se comportan de manera aleatoria a lo largo y ancho de la ciudad de Progreso.</w:t>
      </w:r>
    </w:p>
    <w:p>
      <w:pPr>
        <w:pStyle w:val="Normal"/>
        <w:spacing w:lineRule="auto" w:line="240"/>
        <w:jc w:val="both"/>
        <w:rPr>
          <w:rFonts w:eastAsia="Times New Roman" w:cs="Times New Roman"/>
        </w:rPr>
      </w:pPr>
      <w:r>
        <w:rPr>
          <w:rFonts w:eastAsia="Times New Roman" w:cs="Times New Roman"/>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Con lo que respecta al consumo eléctrico de cada edificación, la Agencia Internacional de Energía (IEA, por sus siglas en inglés), reporta que el promedio mundial de consumo en edificios públicos es de 170 kWh/m² y para México de 50 kWh/m²; cabe señalar que en dicho consumo se considera el clima donde se ubican. Otra referencia importante que, aunque no considera el clima y está enfocada a países desarrollados, clasifica a los edificios según su consumo eléctrico anual: a) común, entre 160 y 300 kWh/m²; b) bajo, menor a 160 kWh/m² y, c) ultra bajo, si es menor a 50 kWh/m². (Calixto y Huelsz, 2018). </w:t>
      </w:r>
    </w:p>
    <w:p>
      <w:pPr>
        <w:pStyle w:val="Normal"/>
        <w:spacing w:lineRule="auto" w:line="240"/>
        <w:jc w:val="both"/>
        <w:rPr>
          <w:rFonts w:ascii="Times New Roman" w:hAnsi="Times New Roman"/>
          <w:color w:val="000000"/>
          <w:sz w:val="20"/>
          <w:szCs w:val="20"/>
        </w:rPr>
      </w:pPr>
      <w:r>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Para México, los autores promedian un consumo en el clima cálido seco de 95 kWh/m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-año. Por su parte la CONUEE (2019), indica que el índice de consumo de energía eléctrica para oficinas en el clima cálido seco es de 167.8 kWh/m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-año, de los cuales el 44% corresponde al consumo relacionado con el uso de AA.</w:t>
      </w:r>
    </w:p>
    <w:p>
      <w:pPr>
        <w:pStyle w:val="Normal"/>
        <w:spacing w:lineRule="auto" w:line="240"/>
        <w:jc w:val="both"/>
        <w:rPr>
          <w:rFonts w:cs="Times New Roman"/>
        </w:rPr>
      </w:pPr>
      <w:r>
        <w:rPr>
          <w:rFonts w:cs="Times New Roman"/>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Los edificios “T” y “P” tienen un índice de consumo (kWh/m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-año) de 80.73 y 50.89 respectivamente, lo que los ubica por arriba del promedio nacional (50 kWh/m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 xml:space="preserve">), aunque en el mundo desarrollado se podrían clasificar como edificios de consumo eléctrico anual bajo (160 kWh/m²); sin embargo, al considerar el clima de la ciudad </w:t>
      </w:r>
      <w:r>
        <w:rPr>
          <w:rFonts w:cs="Times New Roman" w:ascii="Times New Roman" w:hAnsi="Times New Roman"/>
          <w:color w:val="000000"/>
          <w:sz w:val="20"/>
          <w:szCs w:val="20"/>
          <w:shd w:fill="FFFFFF" w:val="clear"/>
        </w:rPr>
        <w:t>(BSh)</w:t>
      </w:r>
      <w:r>
        <w:rPr>
          <w:rFonts w:cs="Times New Roman" w:ascii="Times New Roman" w:hAnsi="Times New Roman"/>
          <w:color w:val="000000"/>
          <w:sz w:val="20"/>
          <w:szCs w:val="20"/>
        </w:rPr>
        <w:t>, los consumos quedan muy por debajo del índice nacional (167.8 kWh/m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-año), debido al número de días laborales anuales. El Acuerdo exige no superar los 120 kWh/m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-año para los edificios ubicados en Progreso Yucatán, lo que representa una diferencia a favor de 67.27% y 42.40%, respectivamente. Sumado a esto, el sistema híbrido es suficiente para generar la energía eléctrica promedio anual de cualquiera de ellos, teniendo su mayor producción en el mes con mayor temperatura: mayo, con una máxima de 34.6 °C (Climate-data, s.f.).</w:t>
      </w:r>
    </w:p>
    <w:p>
      <w:pPr>
        <w:pStyle w:val="Normal"/>
        <w:spacing w:lineRule="auto" w:line="24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En cuanto al gasto energético calculado, el lograr cumplir con la NOM resulta relativamente sencillo gracias a que solo dos muros (el este y oeste, que además son los de menor tamaño) están expuestos a la transmisión por conductividad; Geslin, citado por Deffis (1994) ha demostrado que la temperatura superficial de un muro expuesto a radiación supera los 50°C al medio día.  </w:t>
      </w:r>
    </w:p>
    <w:p>
      <w:pPr>
        <w:pStyle w:val="Normal"/>
        <w:spacing w:lineRule="auto" w:line="240"/>
        <w:jc w:val="both"/>
        <w:rPr>
          <w:rFonts w:ascii="Times New Roman" w:hAnsi="Times New Roman"/>
          <w:color w:val="000000"/>
          <w:sz w:val="20"/>
          <w:szCs w:val="20"/>
        </w:rPr>
      </w:pPr>
      <w:r>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Por el contrario, los muros Sur cuentan con volados y parteluces que impiden la entrada de radiación directa; de tal manera que solamente aislando muros expuestos es suficiente para que ambos edificios superen la NOM en un 3%.</w:t>
      </w:r>
    </w:p>
    <w:p>
      <w:pPr>
        <w:pStyle w:val="Normal"/>
        <w:spacing w:lineRule="auto" w:line="240"/>
        <w:jc w:val="both"/>
        <w:rPr>
          <w:rFonts w:ascii="Times New Roman" w:hAnsi="Times New Roman"/>
          <w:b/>
          <w:b/>
          <w:bCs/>
          <w:color w:val="000000"/>
          <w:sz w:val="20"/>
          <w:szCs w:val="20"/>
        </w:rPr>
      </w:pPr>
      <w:r>
        <w:rPr>
          <w:rFonts w:eastAsia="Times New Roman" w:cs="Times New Roman" w:ascii="Times New Roman" w:hAnsi="Times New Roman"/>
          <w:b/>
          <w:bCs/>
          <w:color w:val="000000"/>
          <w:sz w:val="20"/>
          <w:szCs w:val="20"/>
        </w:rPr>
        <w:t>V. CONCLUSIONES</w:t>
      </w:r>
    </w:p>
    <w:p>
      <w:pPr>
        <w:pStyle w:val="Normal"/>
        <w:spacing w:lineRule="auto" w:line="240"/>
        <w:jc w:val="both"/>
        <w:rPr>
          <w:rFonts w:ascii="Times New Roman" w:hAnsi="Times New Roman"/>
          <w:b/>
          <w:b/>
          <w:bCs/>
          <w:color w:val="000000"/>
          <w:sz w:val="20"/>
          <w:szCs w:val="20"/>
        </w:rPr>
      </w:pPr>
      <w:r>
        <w:rPr>
          <w:rFonts w:eastAsia="Times New Roman" w:cs="Times New Roman" w:ascii="Times New Roman" w:hAnsi="Times New Roman"/>
          <w:color w:val="000000"/>
          <w:sz w:val="20"/>
          <w:szCs w:val="20"/>
        </w:rPr>
        <w:t>Como es de esperarse, existe una diferencia importante en el consumo eléctrico (kWh/m</w:t>
      </w:r>
      <w:r>
        <w:rPr>
          <w:rFonts w:eastAsia="Times New Roman" w:cs="Times New Roman" w:ascii="Times New Roman" w:hAnsi="Times New Roman"/>
          <w:color w:val="000000"/>
          <w:sz w:val="20"/>
          <w:szCs w:val="20"/>
          <w:vertAlign w:val="superscript"/>
        </w:rPr>
        <w:t>2</w:t>
      </w:r>
      <w:r>
        <w:rPr>
          <w:rFonts w:eastAsia="Times New Roman" w:cs="Times New Roman" w:ascii="Times New Roman" w:hAnsi="Times New Roman"/>
          <w:color w:val="000000"/>
          <w:sz w:val="20"/>
          <w:szCs w:val="20"/>
        </w:rPr>
        <w:t xml:space="preserve">-año) en los edificios de oficina dependiendo del clima donde se ubiquen; el cálido húmedo obtiene el valor más alto con </w:t>
      </w:r>
      <w:r>
        <w:rPr>
          <w:rFonts w:cs="Times New Roman" w:ascii="Times New Roman" w:hAnsi="Times New Roman"/>
          <w:color w:val="000000"/>
          <w:sz w:val="20"/>
          <w:szCs w:val="20"/>
        </w:rPr>
        <w:t>199.70;</w:t>
      </w:r>
      <w:r>
        <w:rPr>
          <w:rFonts w:eastAsia="Times New Roman" w:cs="Times New Roman" w:ascii="Times New Roman" w:hAnsi="Times New Roman"/>
          <w:color w:val="000000"/>
          <w:sz w:val="20"/>
          <w:szCs w:val="20"/>
        </w:rPr>
        <w:t xml:space="preserve"> seguido del cálido seco con 167.80 y finalmente el templado con 109.60 (</w:t>
      </w:r>
      <w:r>
        <w:rPr>
          <w:rFonts w:cs="Times New Roman" w:ascii="Times New Roman" w:hAnsi="Times New Roman"/>
          <w:color w:val="000000"/>
          <w:sz w:val="20"/>
          <w:szCs w:val="20"/>
        </w:rPr>
        <w:t>CONUEE, 2019). A pesar de que existe una diferencia de 31.90 kWh/m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-año entre el primero (Mérida, Yucatán, por ejemplo, la capital del estado) y el segundo, llama la atención que en el Acuerdo se establece el mismo límite de consumo eléctrico, que como se mostró en la discusión, es un margen considerable y relativamente fácil de lograr (ver Figura 4).</w:t>
      </w:r>
    </w:p>
    <w:p>
      <w:pPr>
        <w:pStyle w:val="Normal"/>
        <w:spacing w:lineRule="auto" w:line="240"/>
        <w:jc w:val="both"/>
        <w:rPr>
          <w:rFonts w:ascii="Times New Roman" w:hAnsi="Times New Roman"/>
          <w:b/>
          <w:b/>
          <w:bCs/>
          <w:color w:val="000000"/>
          <w:sz w:val="20"/>
          <w:szCs w:val="20"/>
        </w:rPr>
      </w:pPr>
      <w:r>
        <w:rPr/>
      </w:r>
    </w:p>
    <w:p>
      <w:pPr>
        <w:pStyle w:val="Normal"/>
        <w:spacing w:lineRule="auto" w:line="240"/>
        <w:jc w:val="center"/>
        <w:rPr>
          <w:rFonts w:ascii="Times New Roman" w:hAnsi="Times New Roman"/>
          <w:color w:val="000000"/>
          <w:sz w:val="20"/>
          <w:szCs w:val="20"/>
        </w:rPr>
      </w:pPr>
      <w:r>
        <w:rPr/>
        <w:drawing>
          <wp:inline distT="0" distB="0" distL="0" distR="0">
            <wp:extent cx="2569210" cy="1860550"/>
            <wp:effectExtent l="0" t="0" r="0" b="0"/>
            <wp:docPr id="7" name="Imagen 15" descr="Un mapa de un paragu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5" descr="Un mapa de un paraguas&#10;&#10;Descripción generada automáticamente con confianza media"/>
                    <pic:cNvPicPr>
                      <a:picLocks noChangeAspect="1" noChangeArrowheads="1"/>
                    </pic:cNvPicPr>
                  </pic:nvPicPr>
                  <pic:blipFill>
                    <a:blip r:embed="rId11"/>
                    <a:stretch>
                      <a:fillRect/>
                    </a:stretch>
                  </pic:blipFill>
                  <pic:spPr bwMode="auto">
                    <a:xfrm>
                      <a:off x="0" y="0"/>
                      <a:ext cx="2569210" cy="1860550"/>
                    </a:xfrm>
                    <a:prstGeom prst="rect">
                      <a:avLst/>
                    </a:prstGeom>
                  </pic:spPr>
                </pic:pic>
              </a:graphicData>
            </a:graphic>
          </wp:inline>
        </w:drawing>
      </w:r>
    </w:p>
    <w:p>
      <w:pPr>
        <w:pStyle w:val="Normal"/>
        <w:spacing w:lineRule="auto" w:line="240"/>
        <w:jc w:val="center"/>
        <w:rPr>
          <w:i/>
          <w:i/>
          <w:iCs/>
        </w:rPr>
      </w:pPr>
      <w:r>
        <w:rPr>
          <w:rFonts w:cs="Times New Roman" w:ascii="Times New Roman" w:hAnsi="Times New Roman"/>
          <w:i/>
          <w:iCs/>
          <w:color w:val="000000"/>
          <w:sz w:val="20"/>
          <w:szCs w:val="20"/>
        </w:rPr>
        <w:t>Figura 4. Climas y distancia aproximada Mérida – Progreso de Castro, Yuc.</w:t>
      </w:r>
    </w:p>
    <w:p>
      <w:pPr>
        <w:pStyle w:val="Normal"/>
        <w:spacing w:lineRule="auto" w:line="240"/>
        <w:jc w:val="center"/>
        <w:rPr>
          <w:i/>
          <w:i/>
          <w:iCs/>
        </w:rPr>
      </w:pPr>
      <w:r>
        <w:rPr>
          <w:rFonts w:cs="Times New Roman" w:ascii="Times New Roman" w:hAnsi="Times New Roman"/>
          <w:i/>
          <w:iCs/>
          <w:color w:val="000000"/>
          <w:sz w:val="20"/>
          <w:szCs w:val="20"/>
        </w:rPr>
        <w:t>Fuente: INEGI y Google Maps.</w:t>
      </w:r>
    </w:p>
    <w:p>
      <w:pPr>
        <w:pStyle w:val="Normal"/>
        <w:spacing w:lineRule="auto" w:line="24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Teóricamente los paneles en mayo generan un promedio </w:t>
      </w:r>
      <w:r>
        <w:rPr>
          <w:rFonts w:cs="Times New Roman" w:ascii="Times New Roman" w:hAnsi="Times New Roman"/>
          <w:color w:val="000000"/>
          <w:sz w:val="20"/>
          <w:szCs w:val="20"/>
          <w:shd w:fill="FFFFFF" w:val="clear"/>
        </w:rPr>
        <w:t>759.81 kWh, sin embargo, en el presente estudio no se analiza el factor de pérdida de potencia por temperatura ambiente, el cual incide de manera importante en dicha generación, aunado a esto, las estimaciones solo toman en cuenta los datos de un solo año, el cual solo sirve para fines referenciales; es decir, si el sistema se implementa será necesario registrar la potencia de cada subsistema para obtener datos exactos.</w:t>
      </w:r>
      <w:r>
        <w:rPr>
          <w:rFonts w:cs="Times New Roman" w:ascii="Times New Roman" w:hAnsi="Times New Roman"/>
          <w:color w:val="000000"/>
          <w:sz w:val="20"/>
          <w:szCs w:val="20"/>
        </w:rPr>
        <w:t xml:space="preserve"> </w:t>
      </w:r>
    </w:p>
    <w:p>
      <w:pPr>
        <w:pStyle w:val="Normal"/>
        <w:spacing w:lineRule="auto" w:line="240"/>
        <w:jc w:val="both"/>
        <w:rPr>
          <w:rFonts w:cs="Times New Roman"/>
        </w:rPr>
      </w:pPr>
      <w:r>
        <w:rPr>
          <w:rFonts w:cs="Times New Roman"/>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Por otro lado, la normalización enfocada a la eficiencia energética de edificios tiene como propósito mejorar el diseño de la envolvente y lograr el confort térmico de los usuarios con una disminución de la capacidad de los equipos de AA y por ende una disminución en el consumo de energía eléctrica (DOF, 2001). Si consideramos la densidad de ocupación en oficinas (personas/m</w:t>
      </w:r>
      <w:r>
        <w:rPr>
          <w:rFonts w:cs="Times New Roman" w:ascii="Times New Roman" w:hAnsi="Times New Roman"/>
          <w:color w:val="000000"/>
          <w:sz w:val="20"/>
          <w:szCs w:val="20"/>
          <w:vertAlign w:val="superscript"/>
        </w:rPr>
        <w:t>2</w:t>
      </w:r>
      <w:r>
        <w:rPr>
          <w:rFonts w:cs="Times New Roman" w:ascii="Times New Roman" w:hAnsi="Times New Roman"/>
          <w:color w:val="000000"/>
          <w:sz w:val="20"/>
          <w:szCs w:val="20"/>
        </w:rPr>
        <w:t>), ACF Ingeniería (2015) indica que es de 0.1, mientras que Calixto y Huelsz (2018) y Del Valle (2020) muestra una tendencia reduccionista de hasta 0.14.  Los datos de los edificios expuestos en el presente trabajo son de 0.5 para el “T” y 0.4 para el “P”, que implica una mayor concentración no solo de personas sino de actividades, máquinas y dispositivos.  Esto genera una línea investigativa para evaluar no solo el confort térmico sino el ergonómico y de asignación de tareas relacionada con gestión organizacional.</w:t>
      </w:r>
    </w:p>
    <w:p>
      <w:pPr>
        <w:pStyle w:val="Normal"/>
        <w:spacing w:lineRule="auto" w:line="240"/>
        <w:jc w:val="both"/>
        <w:rPr>
          <w:rFonts w:cs="Times New Roman"/>
        </w:rPr>
      </w:pPr>
      <w:r>
        <w:rPr>
          <w:rFonts w:cs="Times New Roman"/>
        </w:rPr>
      </w:r>
    </w:p>
    <w:p>
      <w:pPr>
        <w:pStyle w:val="Normal"/>
        <w:spacing w:lineRule="auto" w:line="240"/>
        <w:jc w:val="both"/>
        <w:rPr>
          <w:rFonts w:ascii="Times New Roman" w:hAnsi="Times New Roman"/>
          <w:color w:val="000000"/>
          <w:sz w:val="20"/>
          <w:szCs w:val="20"/>
        </w:rPr>
      </w:pPr>
      <w:r>
        <w:rPr>
          <w:rFonts w:cs="Times New Roman" w:ascii="Times New Roman" w:hAnsi="Times New Roman"/>
          <w:color w:val="000000"/>
          <w:sz w:val="20"/>
          <w:szCs w:val="20"/>
        </w:rPr>
        <w:t xml:space="preserve">Finalmente, llama la atención que a pesar de que la NOM está vigente desde el 2001, es justamente el edificio P, construido un año antes el que tiene mejor comportamiento ante esta; esto hace necesario reflexionar sobre los proyectos arquitectónicos que, ante la indiferencia de la arquitectura bioclimática y las normas existentes, no coadyuvan a disminuir la problemática energética ni de cambio climático. </w:t>
      </w:r>
    </w:p>
    <w:p>
      <w:pPr>
        <w:pStyle w:val="Normal"/>
        <w:spacing w:lineRule="auto" w:line="24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spacing w:lineRule="auto" w:line="240"/>
        <w:jc w:val="both"/>
        <w:rPr>
          <w:rFonts w:ascii="Times New Roman" w:hAnsi="Times New Roman"/>
          <w:b/>
          <w:b/>
          <w:bCs/>
          <w:color w:val="000000"/>
          <w:sz w:val="20"/>
          <w:szCs w:val="20"/>
        </w:rPr>
      </w:pPr>
      <w:r>
        <w:rPr>
          <w:rFonts w:eastAsia="Times New Roman" w:cs="Times New Roman" w:ascii="Times New Roman" w:hAnsi="Times New Roman"/>
          <w:b/>
          <w:bCs/>
          <w:color w:val="000000"/>
          <w:sz w:val="20"/>
          <w:szCs w:val="20"/>
        </w:rPr>
        <w:t>REFERENCIAS</w:t>
      </w:r>
    </w:p>
    <w:p>
      <w:pPr>
        <w:pStyle w:val="Normal"/>
        <w:spacing w:lineRule="auto" w:line="240"/>
        <w:jc w:val="both"/>
        <w:rPr>
          <w:rFonts w:ascii="Times New Roman" w:hAnsi="Times New Roman"/>
          <w:b/>
          <w:b/>
          <w:bCs/>
          <w:color w:val="000000"/>
          <w:sz w:val="20"/>
          <w:szCs w:val="20"/>
        </w:rPr>
      </w:pPr>
      <w:r>
        <w:rPr/>
      </w:r>
    </w:p>
    <w:p>
      <w:pPr>
        <w:pStyle w:val="Normal"/>
        <w:spacing w:lineRule="auto" w:line="240"/>
        <w:ind w:left="709" w:hanging="709"/>
        <w:rPr/>
      </w:pPr>
      <w:r>
        <w:rPr>
          <w:rFonts w:eastAsia="Times New Roman" w:cs="Times New Roman" w:ascii="Times New Roman" w:hAnsi="Times New Roman"/>
          <w:color w:val="000000"/>
          <w:sz w:val="20"/>
          <w:szCs w:val="20"/>
        </w:rPr>
        <w:t>A</w:t>
      </w:r>
      <w:r>
        <w:rPr>
          <w:rFonts w:cs="Times New Roman" w:ascii="Times New Roman" w:hAnsi="Times New Roman"/>
          <w:color w:val="000000"/>
          <w:sz w:val="20"/>
          <w:szCs w:val="20"/>
        </w:rPr>
        <w:t xml:space="preserve">CF Ingeniería (2015). </w:t>
      </w:r>
      <w:r>
        <w:rPr>
          <w:rFonts w:cs="Times New Roman" w:ascii="Times New Roman" w:hAnsi="Times New Roman"/>
          <w:i/>
          <w:iCs/>
          <w:color w:val="000000"/>
          <w:sz w:val="20"/>
          <w:szCs w:val="20"/>
        </w:rPr>
        <w:t>Cálculo de la ocupación.</w:t>
      </w:r>
      <w:r>
        <w:rPr>
          <w:rFonts w:cs="Times New Roman" w:ascii="Times New Roman" w:hAnsi="Times New Roman"/>
          <w:color w:val="000000"/>
          <w:sz w:val="20"/>
          <w:szCs w:val="20"/>
        </w:rPr>
        <w:t xml:space="preserve"> Consultado el 16 de diciembre de 2021 de </w:t>
      </w:r>
      <w:hyperlink r:id="rId12">
        <w:r>
          <w:rPr>
            <w:rFonts w:cs="Times New Roman" w:ascii="Times New Roman" w:hAnsi="Times New Roman"/>
            <w:color w:val="000000"/>
            <w:sz w:val="20"/>
            <w:szCs w:val="20"/>
          </w:rPr>
          <w:t>http://www.acfingenieria.com/wp-content/uploads/2015/03/Densidad-ocupacion.pdf</w:t>
        </w:r>
      </w:hyperlink>
    </w:p>
    <w:p>
      <w:pPr>
        <w:pStyle w:val="Normal"/>
        <w:spacing w:lineRule="auto" w:line="240"/>
        <w:ind w:left="709" w:hanging="709"/>
        <w:rPr/>
      </w:pPr>
      <w:r>
        <w:rPr>
          <w:rFonts w:cs="Times New Roman" w:ascii="Times New Roman" w:hAnsi="Times New Roman"/>
          <w:color w:val="000000"/>
          <w:sz w:val="20"/>
          <w:szCs w:val="20"/>
        </w:rPr>
        <w:t xml:space="preserve">Acuerdo 31/2020 [Poder Ejecutivo]. Por el que se expiden los lineamientos para la eficiencia energética en los edificios públicos del gobierno del estado de Yucatán. 18 de enero de 2021. Recuperado de </w:t>
      </w:r>
      <w:hyperlink r:id="rId13">
        <w:r>
          <w:rPr>
            <w:rStyle w:val="EnlacedeInternet"/>
            <w:rFonts w:cs="Times New Roman" w:ascii="Times New Roman" w:hAnsi="Times New Roman"/>
            <w:color w:val="000000"/>
            <w:sz w:val="20"/>
            <w:szCs w:val="20"/>
          </w:rPr>
          <w:t>https://www.yucatan.gob.mx/docs/diario_oficial/diarios/2021/2021-01-18_2.pdf</w:t>
        </w:r>
      </w:hyperlink>
    </w:p>
    <w:p>
      <w:pPr>
        <w:pStyle w:val="Normal"/>
        <w:spacing w:lineRule="auto" w:line="240"/>
        <w:ind w:left="709" w:hanging="709"/>
        <w:rPr/>
      </w:pPr>
      <w:r>
        <w:rPr>
          <w:rFonts w:cs="Times New Roman" w:ascii="Times New Roman" w:hAnsi="Times New Roman"/>
          <w:color w:val="000000"/>
          <w:sz w:val="20"/>
          <w:szCs w:val="20"/>
        </w:rPr>
        <w:t xml:space="preserve">Almeida, B. (2009). Sistema híbrido eólico-fotovoltaico para la comunidad del recinto Santo Domingo, provincia de Guayas. Ciencia UNEMI, Vol 2, # 3, pp. 24-31. Recuperado de </w:t>
      </w:r>
      <w:hyperlink r:id="rId14">
        <w:r>
          <w:rPr>
            <w:rStyle w:val="EnlacedeInternet"/>
            <w:rFonts w:cs="Times New Roman" w:ascii="Times New Roman" w:hAnsi="Times New Roman"/>
            <w:color w:val="000000"/>
            <w:sz w:val="20"/>
            <w:szCs w:val="20"/>
          </w:rPr>
          <w:t>http://ojs.unemi.edu.ec/index.php/cienciaunemi/issue/view/22</w:t>
        </w:r>
      </w:hyperlink>
    </w:p>
    <w:p>
      <w:pPr>
        <w:pStyle w:val="Normal"/>
        <w:spacing w:lineRule="auto" w:line="240"/>
        <w:ind w:left="709" w:hanging="709"/>
        <w:rPr/>
      </w:pPr>
      <w:r>
        <w:rPr>
          <w:rFonts w:cs="Times New Roman" w:ascii="Times New Roman" w:hAnsi="Times New Roman"/>
          <w:color w:val="000000"/>
          <w:sz w:val="20"/>
          <w:szCs w:val="20"/>
        </w:rPr>
        <w:t xml:space="preserve">AMEVEC (s.f.). </w:t>
      </w:r>
      <w:r>
        <w:rPr>
          <w:rFonts w:cs="Times New Roman" w:ascii="Times New Roman" w:hAnsi="Times New Roman"/>
          <w:i/>
          <w:iCs/>
          <w:color w:val="000000"/>
          <w:sz w:val="20"/>
          <w:szCs w:val="20"/>
        </w:rPr>
        <w:t>Eficiencia energética en ventanas y puertas</w:t>
      </w:r>
      <w:r>
        <w:rPr>
          <w:rFonts w:cs="Times New Roman" w:ascii="Times New Roman" w:hAnsi="Times New Roman"/>
          <w:color w:val="000000"/>
          <w:sz w:val="20"/>
          <w:szCs w:val="20"/>
        </w:rPr>
        <w:t xml:space="preserve">. Consultado el 14 de diciembre de 2021 de: </w:t>
      </w:r>
      <w:hyperlink r:id="rId15">
        <w:r>
          <w:rPr>
            <w:rStyle w:val="EnlacedeInternet"/>
            <w:rFonts w:cs="Times New Roman" w:ascii="Times New Roman" w:hAnsi="Times New Roman"/>
            <w:color w:val="000000"/>
            <w:sz w:val="20"/>
            <w:szCs w:val="20"/>
          </w:rPr>
          <w:t>https://www.amevec.mx/publicaciones/AMEVEC-BoletinEficienciaEnergetica.pdf</w:t>
        </w:r>
      </w:hyperlink>
      <w:r>
        <w:rPr>
          <w:rFonts w:cs="Times New Roman" w:ascii="Times New Roman" w:hAnsi="Times New Roman"/>
          <w:color w:val="000000"/>
          <w:sz w:val="20"/>
          <w:szCs w:val="20"/>
        </w:rPr>
        <w:t xml:space="preserve"> </w:t>
      </w:r>
    </w:p>
    <w:p>
      <w:pPr>
        <w:pStyle w:val="Normal"/>
        <w:spacing w:lineRule="auto" w:line="240"/>
        <w:ind w:left="709" w:hanging="709"/>
        <w:rPr/>
      </w:pPr>
      <w:r>
        <w:rPr>
          <w:rFonts w:cs="Times New Roman" w:ascii="Times New Roman" w:hAnsi="Times New Roman"/>
          <w:color w:val="000000"/>
          <w:sz w:val="20"/>
          <w:szCs w:val="20"/>
        </w:rPr>
        <w:t xml:space="preserve">Bioconstrucción y Energía Alternativa (2016). </w:t>
      </w:r>
      <w:r>
        <w:rPr>
          <w:rFonts w:cs="Times New Roman" w:ascii="Times New Roman" w:hAnsi="Times New Roman"/>
          <w:i/>
          <w:iCs/>
          <w:color w:val="000000"/>
          <w:sz w:val="20"/>
          <w:szCs w:val="20"/>
        </w:rPr>
        <w:t>Unidad Verificadora de Normas Mexicanas. NOM-008-ENER.</w:t>
      </w:r>
      <w:r>
        <w:rPr>
          <w:rFonts w:cs="Times New Roman" w:ascii="Times New Roman" w:hAnsi="Times New Roman"/>
          <w:color w:val="000000"/>
          <w:sz w:val="20"/>
          <w:szCs w:val="20"/>
        </w:rPr>
        <w:t xml:space="preserve"> Consultado el 20 de octubre de </w:t>
      </w:r>
      <w:hyperlink r:id="rId16">
        <w:r>
          <w:rPr>
            <w:rStyle w:val="EnlacedeInternet"/>
            <w:rFonts w:cs="Times New Roman" w:ascii="Times New Roman" w:hAnsi="Times New Roman"/>
            <w:color w:val="000000"/>
            <w:sz w:val="20"/>
            <w:szCs w:val="20"/>
          </w:rPr>
          <w:t>https://bioconstruccion.com.mx/nom-008-ener/</w:t>
        </w:r>
      </w:hyperlink>
      <w:r>
        <w:rPr>
          <w:rFonts w:cs="Times New Roman" w:ascii="Times New Roman" w:hAnsi="Times New Roman"/>
          <w:color w:val="000000"/>
          <w:sz w:val="20"/>
          <w:szCs w:val="20"/>
        </w:rPr>
        <w:t xml:space="preserve"> </w:t>
      </w:r>
    </w:p>
    <w:p>
      <w:pPr>
        <w:pStyle w:val="Normal"/>
        <w:shd w:val="clear" w:color="auto" w:fill="FFFFFF"/>
        <w:spacing w:lineRule="auto" w:line="240"/>
        <w:ind w:left="284" w:hanging="284"/>
        <w:rPr/>
      </w:pPr>
      <w:r>
        <w:rPr>
          <w:rFonts w:cs="Times New Roman" w:ascii="Times New Roman" w:hAnsi="Times New Roman"/>
          <w:color w:val="000000"/>
          <w:sz w:val="20"/>
          <w:szCs w:val="20"/>
        </w:rPr>
        <w:t xml:space="preserve">Blender, M. (2015 a). </w:t>
      </w:r>
      <w:r>
        <w:rPr>
          <w:rFonts w:cs="Times New Roman" w:ascii="Times New Roman" w:hAnsi="Times New Roman"/>
          <w:i/>
          <w:iCs/>
          <w:color w:val="000000"/>
          <w:sz w:val="20"/>
          <w:szCs w:val="20"/>
        </w:rPr>
        <w:t>La transmisión del calor en edificios</w:t>
      </w:r>
      <w:r>
        <w:rPr>
          <w:rFonts w:cs="Times New Roman" w:ascii="Times New Roman" w:hAnsi="Times New Roman"/>
          <w:color w:val="000000"/>
          <w:sz w:val="20"/>
          <w:szCs w:val="20"/>
        </w:rPr>
        <w:t xml:space="preserve">. Consulado el 14 de octubre de 2021 de </w:t>
      </w:r>
      <w:hyperlink r:id="rId17">
        <w:r>
          <w:rPr>
            <w:rStyle w:val="EnlacedeInternet"/>
            <w:rFonts w:cs="Times New Roman" w:ascii="Times New Roman" w:hAnsi="Times New Roman"/>
            <w:color w:val="000000"/>
            <w:sz w:val="20"/>
            <w:szCs w:val="20"/>
          </w:rPr>
          <w:t>http://www.arquitecturayenergia.cl/home/la-transmision-del-calor/</w:t>
        </w:r>
      </w:hyperlink>
    </w:p>
    <w:p>
      <w:pPr>
        <w:pStyle w:val="Normal"/>
        <w:spacing w:lineRule="auto" w:line="240"/>
        <w:ind w:left="709" w:hanging="709"/>
        <w:rPr>
          <w:rFonts w:ascii="Times New Roman" w:hAnsi="Times New Roman"/>
          <w:color w:val="000000"/>
          <w:sz w:val="20"/>
          <w:szCs w:val="20"/>
        </w:rPr>
      </w:pPr>
      <w:r>
        <w:rPr>
          <w:rFonts w:cs="Times New Roman" w:ascii="Times New Roman" w:hAnsi="Times New Roman"/>
          <w:color w:val="000000"/>
          <w:sz w:val="20"/>
          <w:szCs w:val="20"/>
        </w:rPr>
        <w:t xml:space="preserve">Calixto, B. y Huelsz, G. (2018). Consumo de energía en edificios en México. </w:t>
      </w:r>
      <w:r>
        <w:rPr>
          <w:rFonts w:cs="Times New Roman" w:ascii="Times New Roman" w:hAnsi="Times New Roman"/>
          <w:i/>
          <w:iCs/>
          <w:color w:val="000000"/>
          <w:sz w:val="20"/>
          <w:szCs w:val="20"/>
        </w:rPr>
        <w:t>Legado de Arquitectura y Diseño</w:t>
      </w:r>
      <w:r>
        <w:rPr>
          <w:rFonts w:cs="Times New Roman" w:ascii="Times New Roman" w:hAnsi="Times New Roman"/>
          <w:color w:val="000000"/>
          <w:sz w:val="20"/>
          <w:szCs w:val="20"/>
        </w:rPr>
        <w:t>, núm. 24, pp. 40-47, recuperado de https://www.redalyc.org/journal/4779/477957975006/html/#redalyc_477957975006_ref7</w:t>
      </w:r>
    </w:p>
    <w:p>
      <w:pPr>
        <w:pStyle w:val="Normal"/>
        <w:spacing w:lineRule="auto" w:line="240"/>
        <w:ind w:left="709" w:hanging="709"/>
        <w:rPr/>
      </w:pPr>
      <w:r>
        <w:rPr>
          <w:rFonts w:cs="Times New Roman" w:ascii="Times New Roman" w:hAnsi="Times New Roman"/>
          <w:color w:val="000000"/>
          <w:sz w:val="20"/>
          <w:szCs w:val="20"/>
        </w:rPr>
        <w:t xml:space="preserve">CCEEA (s.f.). Solar APP [Aplicación en línea]. Consultado el 20 de octubre de 2021 de </w:t>
      </w:r>
      <w:hyperlink r:id="rId18">
        <w:r>
          <w:rPr>
            <w:rFonts w:cs="Times New Roman" w:ascii="Times New Roman" w:hAnsi="Times New Roman"/>
            <w:color w:val="000000"/>
            <w:sz w:val="20"/>
            <w:szCs w:val="20"/>
          </w:rPr>
          <w:t>https://cceea.mx/solar</w:t>
        </w:r>
      </w:hyperlink>
    </w:p>
    <w:p>
      <w:pPr>
        <w:pStyle w:val="Normal"/>
        <w:spacing w:lineRule="auto" w:line="240"/>
        <w:ind w:left="709" w:hanging="709"/>
        <w:rPr/>
      </w:pPr>
      <w:r>
        <w:rPr>
          <w:rFonts w:cs="Times New Roman" w:ascii="Times New Roman" w:hAnsi="Times New Roman"/>
          <w:color w:val="000000"/>
          <w:sz w:val="20"/>
          <w:szCs w:val="20"/>
        </w:rPr>
        <w:t xml:space="preserve">Climate-data (s.f.). </w:t>
      </w:r>
      <w:r>
        <w:rPr>
          <w:rFonts w:cs="Times New Roman" w:ascii="Times New Roman" w:hAnsi="Times New Roman"/>
          <w:i/>
          <w:iCs/>
          <w:color w:val="000000"/>
          <w:sz w:val="20"/>
          <w:szCs w:val="20"/>
        </w:rPr>
        <w:t>Clima de Progreso</w:t>
      </w:r>
      <w:r>
        <w:rPr>
          <w:rFonts w:cs="Times New Roman" w:ascii="Times New Roman" w:hAnsi="Times New Roman"/>
          <w:color w:val="000000"/>
          <w:sz w:val="20"/>
          <w:szCs w:val="20"/>
        </w:rPr>
        <w:t xml:space="preserve">. Consultado el 20 de octubre de 2021 de </w:t>
      </w:r>
      <w:r>
        <w:fldChar w:fldCharType="begin"/>
      </w:r>
      <w:r>
        <w:rPr>
          <w:rStyle w:val="EnlacedeInternet"/>
          <w:sz w:val="20"/>
          <w:szCs w:val="20"/>
          <w:rFonts w:cs="Times New Roman" w:ascii="Times New Roman" w:hAnsi="Times New Roman"/>
          <w:color w:val="000000"/>
        </w:rPr>
        <w:instrText> HYPERLINK "https://es.climate-data.org/america-del-norte/mexico/yucatan/progreso-27939/" \l "climate-graph"</w:instrText>
      </w:r>
      <w:r>
        <w:rPr>
          <w:rStyle w:val="EnlacedeInternet"/>
          <w:sz w:val="20"/>
          <w:szCs w:val="20"/>
          <w:rFonts w:cs="Times New Roman" w:ascii="Times New Roman" w:hAnsi="Times New Roman"/>
          <w:color w:val="000000"/>
        </w:rPr>
        <w:fldChar w:fldCharType="separate"/>
      </w:r>
      <w:r>
        <w:rPr>
          <w:rStyle w:val="EnlacedeInternet"/>
          <w:rFonts w:cs="Times New Roman" w:ascii="Times New Roman" w:hAnsi="Times New Roman"/>
          <w:color w:val="000000"/>
          <w:sz w:val="20"/>
          <w:szCs w:val="20"/>
        </w:rPr>
        <w:t>https://es.climate-data.org/america-del-norte/mexico/yucatan/progreso-27939/#climate-graph</w:t>
      </w:r>
      <w:r>
        <w:rPr>
          <w:rStyle w:val="EnlacedeInternet"/>
          <w:sz w:val="20"/>
          <w:szCs w:val="20"/>
          <w:rFonts w:cs="Times New Roman" w:ascii="Times New Roman" w:hAnsi="Times New Roman"/>
          <w:color w:val="000000"/>
        </w:rPr>
        <w:fldChar w:fldCharType="end"/>
      </w:r>
    </w:p>
    <w:p>
      <w:pPr>
        <w:pStyle w:val="Normal"/>
        <w:spacing w:lineRule="auto" w:line="240"/>
        <w:ind w:left="709" w:hanging="709"/>
        <w:rPr/>
      </w:pPr>
      <w:r>
        <w:rPr>
          <w:rFonts w:cs="Times New Roman" w:ascii="Times New Roman" w:hAnsi="Times New Roman"/>
          <w:color w:val="000000"/>
          <w:sz w:val="20"/>
          <w:szCs w:val="20"/>
        </w:rPr>
        <w:t xml:space="preserve">CONUEE (2013). </w:t>
      </w:r>
      <w:r>
        <w:rPr>
          <w:rFonts w:cs="Times New Roman" w:ascii="Times New Roman" w:hAnsi="Times New Roman"/>
          <w:i/>
          <w:iCs/>
          <w:color w:val="000000"/>
          <w:sz w:val="20"/>
          <w:szCs w:val="20"/>
        </w:rPr>
        <w:t>Política e implicaciones técnicas en las Normas Oficiales Mexicanas (NOM) para la eficiencia energética en los edificios</w:t>
      </w:r>
      <w:r>
        <w:rPr>
          <w:rFonts w:cs="Times New Roman" w:ascii="Times New Roman" w:hAnsi="Times New Roman"/>
          <w:color w:val="000000"/>
          <w:sz w:val="20"/>
          <w:szCs w:val="20"/>
        </w:rPr>
        <w:t xml:space="preserve"> [Diapositiva de Power Point]. Consultado el 20 de octubre de 2021 de </w:t>
      </w:r>
      <w:hyperlink r:id="rId19">
        <w:r>
          <w:rPr>
            <w:rFonts w:cs="Times New Roman" w:ascii="Times New Roman" w:hAnsi="Times New Roman"/>
            <w:color w:val="000000"/>
            <w:sz w:val="20"/>
            <w:szCs w:val="20"/>
          </w:rPr>
          <w:t>https://hugepdf.com/download/download-la-eficiencia-energetica_pdf</w:t>
        </w:r>
      </w:hyperlink>
      <w:r>
        <w:rPr>
          <w:rFonts w:cs="Times New Roman" w:ascii="Times New Roman" w:hAnsi="Times New Roman"/>
          <w:color w:val="000000"/>
          <w:sz w:val="20"/>
          <w:szCs w:val="20"/>
        </w:rPr>
        <w:t xml:space="preserve"> </w:t>
      </w:r>
    </w:p>
    <w:p>
      <w:pPr>
        <w:pStyle w:val="Normal"/>
        <w:spacing w:lineRule="auto" w:line="240"/>
        <w:ind w:left="709" w:hanging="709"/>
        <w:rPr/>
      </w:pPr>
      <w:r>
        <w:rPr>
          <w:rFonts w:cs="Times New Roman" w:ascii="Times New Roman" w:hAnsi="Times New Roman"/>
          <w:color w:val="000000"/>
          <w:sz w:val="20"/>
          <w:szCs w:val="20"/>
        </w:rPr>
        <w:t xml:space="preserve">CONUEE (2017). </w:t>
      </w:r>
      <w:r>
        <w:rPr>
          <w:rFonts w:cs="Times New Roman" w:ascii="Times New Roman" w:hAnsi="Times New Roman"/>
          <w:i/>
          <w:iCs/>
          <w:color w:val="000000"/>
          <w:sz w:val="20"/>
          <w:szCs w:val="20"/>
        </w:rPr>
        <w:t>Guía Rápida de Cálculo de la NOM-008-ENER-2001</w:t>
      </w:r>
      <w:r>
        <w:rPr>
          <w:rFonts w:cs="Times New Roman" w:ascii="Times New Roman" w:hAnsi="Times New Roman"/>
          <w:color w:val="000000"/>
          <w:sz w:val="20"/>
          <w:szCs w:val="20"/>
        </w:rPr>
        <w:t xml:space="preserve">. Consultado el 19 de noviembre de 2021 de </w:t>
      </w:r>
      <w:hyperlink r:id="rId20">
        <w:r>
          <w:rPr>
            <w:rStyle w:val="EnlacedeInternet"/>
            <w:rFonts w:cs="Times New Roman" w:ascii="Times New Roman" w:hAnsi="Times New Roman"/>
            <w:color w:val="000000"/>
            <w:sz w:val="20"/>
            <w:szCs w:val="20"/>
          </w:rPr>
          <w:t>https://www.gob.mx/cms/uploads/attachment/file/247429/GuiaHerramientaCalculoNOM_008_V1.01.pdf</w:t>
        </w:r>
      </w:hyperlink>
      <w:r>
        <w:rPr>
          <w:rFonts w:cs="Times New Roman" w:ascii="Times New Roman" w:hAnsi="Times New Roman"/>
          <w:color w:val="000000"/>
          <w:sz w:val="20"/>
          <w:szCs w:val="20"/>
        </w:rPr>
        <w:t xml:space="preserve"> </w:t>
      </w:r>
    </w:p>
    <w:p>
      <w:pPr>
        <w:pStyle w:val="Normal"/>
        <w:spacing w:lineRule="auto" w:line="240"/>
        <w:ind w:left="709" w:hanging="709"/>
        <w:rPr>
          <w:rFonts w:ascii="Times New Roman" w:hAnsi="Times New Roman"/>
          <w:color w:val="000000"/>
          <w:sz w:val="20"/>
          <w:szCs w:val="20"/>
        </w:rPr>
      </w:pPr>
      <w:r>
        <w:rPr>
          <w:rFonts w:cs="Times New Roman" w:ascii="Times New Roman" w:hAnsi="Times New Roman"/>
          <w:color w:val="000000"/>
          <w:sz w:val="20"/>
          <w:szCs w:val="20"/>
        </w:rPr>
        <w:t xml:space="preserve">CONUEE (2019). Consumo de electricidad de edificios no residenciales en México: la importancia del sector de servicios. </w:t>
      </w:r>
      <w:r>
        <w:rPr>
          <w:rFonts w:cs="Times New Roman" w:ascii="Times New Roman" w:hAnsi="Times New Roman"/>
          <w:i/>
          <w:iCs/>
          <w:color w:val="000000"/>
          <w:sz w:val="20"/>
          <w:szCs w:val="20"/>
        </w:rPr>
        <w:t>Cuadernos de la CONUEE</w:t>
      </w:r>
      <w:r>
        <w:rPr>
          <w:rFonts w:cs="Times New Roman" w:ascii="Times New Roman" w:hAnsi="Times New Roman"/>
          <w:color w:val="000000"/>
          <w:sz w:val="20"/>
          <w:szCs w:val="20"/>
        </w:rPr>
        <w:t>, Número 3/Nuevo Ciclo. Consulado el 8 de diciembre de 2021 de https://www.gob.mx/cms/uploads/attachment/file/455552/cuaderno3nvociclo_2.pdf</w:t>
      </w:r>
    </w:p>
    <w:p>
      <w:pPr>
        <w:pStyle w:val="Normal"/>
        <w:spacing w:lineRule="auto" w:line="240"/>
        <w:ind w:left="709" w:hanging="709"/>
        <w:rPr/>
      </w:pPr>
      <w:r>
        <w:rPr>
          <w:rFonts w:cs="Times New Roman" w:ascii="Times New Roman" w:hAnsi="Times New Roman"/>
          <w:color w:val="000000"/>
          <w:sz w:val="20"/>
          <w:szCs w:val="20"/>
        </w:rPr>
        <w:t xml:space="preserve">CONUEE (s.f.). </w:t>
      </w:r>
      <w:r>
        <w:rPr>
          <w:rFonts w:cs="Times New Roman" w:ascii="Times New Roman" w:hAnsi="Times New Roman"/>
          <w:i/>
          <w:iCs/>
          <w:color w:val="000000"/>
          <w:sz w:val="20"/>
          <w:szCs w:val="20"/>
        </w:rPr>
        <w:t>Norma Oficial Mexicana NOM-008-ENER-2001, Eficiencia energética en edificaciones, envolvente de edificios no residenciales</w:t>
      </w:r>
      <w:r>
        <w:rPr>
          <w:rFonts w:cs="Times New Roman" w:ascii="Times New Roman" w:hAnsi="Times New Roman"/>
          <w:color w:val="000000"/>
          <w:sz w:val="20"/>
          <w:szCs w:val="20"/>
        </w:rPr>
        <w:t xml:space="preserve">. Consultado el 20 de octubre de 2021 de </w:t>
      </w:r>
      <w:hyperlink r:id="rId21">
        <w:r>
          <w:rPr>
            <w:rStyle w:val="EnlacedeInternet"/>
            <w:rFonts w:cs="Times New Roman" w:ascii="Times New Roman" w:hAnsi="Times New Roman"/>
            <w:color w:val="000000"/>
            <w:sz w:val="20"/>
            <w:szCs w:val="20"/>
          </w:rPr>
          <w:t>https://www.conuee.gob.mx/transparencia/boletines/NOM/fichastecnicas/FTNOM-008.pdf</w:t>
        </w:r>
      </w:hyperlink>
      <w:r>
        <w:rPr>
          <w:rFonts w:cs="Times New Roman" w:ascii="Times New Roman" w:hAnsi="Times New Roman"/>
          <w:color w:val="000000"/>
          <w:sz w:val="20"/>
          <w:szCs w:val="20"/>
        </w:rPr>
        <w:t xml:space="preserve"> </w:t>
      </w:r>
    </w:p>
    <w:p>
      <w:pPr>
        <w:pStyle w:val="Normal"/>
        <w:spacing w:lineRule="auto" w:line="240"/>
        <w:ind w:left="709" w:hanging="709"/>
        <w:rPr/>
      </w:pPr>
      <w:r>
        <w:rPr>
          <w:rFonts w:cs="Times New Roman" w:ascii="Times New Roman" w:hAnsi="Times New Roman"/>
          <w:color w:val="000000"/>
          <w:sz w:val="20"/>
          <w:szCs w:val="20"/>
        </w:rPr>
        <w:t xml:space="preserve">Cruz, E. (2010). </w:t>
      </w:r>
      <w:r>
        <w:rPr>
          <w:rFonts w:cs="Times New Roman" w:ascii="Times New Roman" w:hAnsi="Times New Roman"/>
          <w:i/>
          <w:iCs/>
          <w:color w:val="000000"/>
          <w:sz w:val="20"/>
          <w:szCs w:val="20"/>
        </w:rPr>
        <w:t xml:space="preserve">Diseño y simulación del comportamiento de un sistema híbrido de potencia </w:t>
      </w:r>
      <w:r>
        <w:rPr>
          <w:rFonts w:cs="Times New Roman" w:ascii="Times New Roman" w:hAnsi="Times New Roman"/>
          <w:color w:val="000000"/>
          <w:sz w:val="20"/>
          <w:szCs w:val="20"/>
        </w:rPr>
        <w:t xml:space="preserve">(Tesis de pregrado), Recuperado de </w:t>
      </w:r>
      <w:hyperlink r:id="rId22">
        <w:r>
          <w:rPr>
            <w:rStyle w:val="EnlacedeInternet"/>
            <w:rFonts w:cs="Times New Roman" w:ascii="Times New Roman" w:hAnsi="Times New Roman"/>
            <w:color w:val="000000"/>
            <w:sz w:val="20"/>
            <w:szCs w:val="20"/>
          </w:rPr>
          <w:t>https://pirhua.udep.edu.pe/bitstream/handle/11042/1448/IME_152.pdf?sequence=1</w:t>
        </w:r>
      </w:hyperlink>
    </w:p>
    <w:p>
      <w:pPr>
        <w:pStyle w:val="Normal"/>
        <w:spacing w:lineRule="auto" w:line="240"/>
        <w:ind w:left="709" w:hanging="709"/>
        <w:rPr/>
      </w:pPr>
      <w:r>
        <w:rPr>
          <w:rFonts w:cs="Times New Roman" w:ascii="Times New Roman" w:hAnsi="Times New Roman"/>
          <w:color w:val="000000"/>
          <w:sz w:val="20"/>
          <w:szCs w:val="20"/>
        </w:rPr>
        <w:t xml:space="preserve">Decreto 53/2019. [Suplemento II de 2019, Poder Ejecutivo]. Incorporación del enfoque de la agenda 2030 al Plan Estatal de Desarrollo 2018-2024. 30 de marzo de 2019. Recuperado de </w:t>
      </w:r>
      <w:hyperlink r:id="rId23">
        <w:r>
          <w:rPr>
            <w:rStyle w:val="EnlacedeInternet"/>
            <w:rFonts w:cs="Times New Roman" w:ascii="Times New Roman" w:hAnsi="Times New Roman"/>
            <w:color w:val="000000"/>
            <w:sz w:val="20"/>
            <w:szCs w:val="20"/>
          </w:rPr>
          <w:t>https://www.yucatan.gob.mx/docs/transparencia/ped/2018_2024/2019-03-30_3.pdf</w:t>
        </w:r>
      </w:hyperlink>
      <w:r>
        <w:rPr>
          <w:rFonts w:cs="Times New Roman" w:ascii="Times New Roman" w:hAnsi="Times New Roman"/>
          <w:color w:val="000000"/>
          <w:sz w:val="20"/>
          <w:szCs w:val="20"/>
        </w:rPr>
        <w:t xml:space="preserve"> </w:t>
      </w:r>
    </w:p>
    <w:p>
      <w:pPr>
        <w:pStyle w:val="Normal"/>
        <w:spacing w:lineRule="auto" w:line="240"/>
        <w:ind w:left="709" w:hanging="709"/>
        <w:rPr>
          <w:rFonts w:ascii="Times New Roman" w:hAnsi="Times New Roman"/>
          <w:color w:val="000000"/>
          <w:sz w:val="20"/>
          <w:szCs w:val="20"/>
        </w:rPr>
      </w:pPr>
      <w:r>
        <w:rPr>
          <w:rFonts w:cs="Times New Roman" w:ascii="Times New Roman" w:hAnsi="Times New Roman"/>
          <w:color w:val="000000"/>
          <w:sz w:val="20"/>
          <w:szCs w:val="20"/>
        </w:rPr>
        <w:t xml:space="preserve">Deffis, A. (1994). </w:t>
      </w:r>
      <w:r>
        <w:rPr>
          <w:rFonts w:cs="Times New Roman" w:ascii="Times New Roman" w:hAnsi="Times New Roman"/>
          <w:i/>
          <w:iCs/>
          <w:color w:val="000000"/>
          <w:sz w:val="20"/>
          <w:szCs w:val="20"/>
        </w:rPr>
        <w:t xml:space="preserve">La casa ecológica autosuficiente. Cálido y Tropical. </w:t>
      </w:r>
      <w:r>
        <w:rPr>
          <w:rFonts w:cs="Times New Roman" w:ascii="Times New Roman" w:hAnsi="Times New Roman"/>
          <w:color w:val="000000"/>
          <w:sz w:val="20"/>
          <w:szCs w:val="20"/>
        </w:rPr>
        <w:t>Árbol Editorial.</w:t>
      </w:r>
    </w:p>
    <w:p>
      <w:pPr>
        <w:pStyle w:val="Normal"/>
        <w:spacing w:lineRule="auto" w:line="240"/>
        <w:ind w:left="709" w:hanging="709"/>
        <w:rPr/>
      </w:pPr>
      <w:r>
        <w:rPr>
          <w:rFonts w:cs="Times New Roman" w:ascii="Times New Roman" w:hAnsi="Times New Roman"/>
          <w:color w:val="000000"/>
          <w:sz w:val="20"/>
          <w:szCs w:val="20"/>
        </w:rPr>
        <w:t xml:space="preserve">Del Valle, P. (2020). </w:t>
      </w:r>
      <w:r>
        <w:rPr>
          <w:rFonts w:cs="Times New Roman" w:ascii="Times New Roman" w:hAnsi="Times New Roman"/>
          <w:i/>
          <w:iCs/>
          <w:color w:val="000000"/>
          <w:sz w:val="20"/>
          <w:szCs w:val="20"/>
        </w:rPr>
        <w:t>Densidad ocupacional y calidad del aire</w:t>
      </w:r>
      <w:r>
        <w:rPr>
          <w:rFonts w:cs="Times New Roman" w:ascii="Times New Roman" w:hAnsi="Times New Roman"/>
          <w:color w:val="000000"/>
          <w:sz w:val="20"/>
          <w:szCs w:val="20"/>
        </w:rPr>
        <w:t xml:space="preserve">. Consultado el 16 de diciembre de 2021 de </w:t>
      </w:r>
      <w:hyperlink r:id="rId24">
        <w:r>
          <w:rPr>
            <w:rFonts w:cs="Times New Roman" w:ascii="Times New Roman" w:hAnsi="Times New Roman"/>
            <w:color w:val="000000"/>
            <w:sz w:val="20"/>
            <w:szCs w:val="20"/>
          </w:rPr>
          <w:t>https://www.airelimpio.com/notas-tecnicas/densidad-ocupacional-y-calidad-de-aire-interior/</w:t>
        </w:r>
      </w:hyperlink>
    </w:p>
    <w:p>
      <w:pPr>
        <w:pStyle w:val="Normal"/>
        <w:spacing w:lineRule="auto" w:line="240"/>
        <w:ind w:left="709" w:hanging="709"/>
        <w:rPr/>
      </w:pPr>
      <w:r>
        <w:rPr>
          <w:rFonts w:cs="Times New Roman" w:ascii="Times New Roman" w:hAnsi="Times New Roman"/>
          <w:color w:val="000000"/>
          <w:sz w:val="20"/>
          <w:szCs w:val="20"/>
        </w:rPr>
        <w:t xml:space="preserve">DOF. Diario Oficial de la Federación (2001, 25 de abril). Norma Oficial Mexicana NOM-008-ENER-2001, Eficiencia Energética en Edificaciones, envolvente de edificios no residenciales. Consultado el 20 de octubre de 2021 de </w:t>
      </w:r>
      <w:hyperlink r:id="rId25">
        <w:r>
          <w:rPr>
            <w:rStyle w:val="EnlacedeInternet"/>
            <w:rFonts w:cs="Times New Roman" w:ascii="Times New Roman" w:hAnsi="Times New Roman"/>
            <w:color w:val="000000"/>
            <w:sz w:val="20"/>
            <w:szCs w:val="20"/>
          </w:rPr>
          <w:t>https://www.gob.mx/cms/uploads/attachment/file/181648/NOM_008_ENER_2001.pdf</w:t>
        </w:r>
      </w:hyperlink>
    </w:p>
    <w:p>
      <w:pPr>
        <w:pStyle w:val="Normal"/>
        <w:spacing w:lineRule="auto" w:line="240"/>
        <w:ind w:left="709" w:hanging="709"/>
        <w:rPr>
          <w:rFonts w:ascii="Times New Roman" w:hAnsi="Times New Roman"/>
          <w:color w:val="000000"/>
          <w:sz w:val="20"/>
          <w:szCs w:val="20"/>
        </w:rPr>
      </w:pPr>
      <w:r>
        <w:rPr>
          <w:rFonts w:cs="Times New Roman" w:ascii="Times New Roman" w:hAnsi="Times New Roman"/>
          <w:color w:val="000000"/>
          <w:sz w:val="20"/>
          <w:szCs w:val="20"/>
        </w:rPr>
        <w:t xml:space="preserve">Hallack, M., Tolmasquim, M. y Cadena, M. (2021). </w:t>
      </w:r>
      <w:r>
        <w:rPr>
          <w:rFonts w:cs="Times New Roman" w:ascii="Times New Roman" w:hAnsi="Times New Roman"/>
          <w:i/>
          <w:iCs/>
          <w:color w:val="000000"/>
          <w:sz w:val="20"/>
          <w:szCs w:val="20"/>
        </w:rPr>
        <w:t>La transformación del sector de energía pospandemia. Recomendaciones para política y regulación para la reactivación económica</w:t>
      </w:r>
      <w:r>
        <w:rPr>
          <w:rFonts w:cs="Times New Roman" w:ascii="Times New Roman" w:hAnsi="Times New Roman"/>
          <w:color w:val="000000"/>
          <w:sz w:val="20"/>
          <w:szCs w:val="20"/>
        </w:rPr>
        <w:t>. Recuperado de: https://publications.iadb.org/publications/spanish/document/La-transformacion-del-sector-de-energia-pospandemia-Recomendaciones-de-politica-y-regulacion-para-la-reactivacion-economica.pdf</w:t>
      </w:r>
    </w:p>
    <w:p>
      <w:pPr>
        <w:pStyle w:val="Normal"/>
        <w:spacing w:lineRule="auto" w:line="240"/>
        <w:ind w:left="709" w:hanging="709"/>
        <w:rPr/>
      </w:pPr>
      <w:r>
        <w:rPr>
          <w:rFonts w:cs="Times New Roman" w:ascii="Times New Roman" w:hAnsi="Times New Roman"/>
          <w:color w:val="000000"/>
          <w:sz w:val="20"/>
          <w:szCs w:val="20"/>
        </w:rPr>
        <w:t xml:space="preserve">INEGI (s.f.). </w:t>
      </w:r>
      <w:r>
        <w:rPr>
          <w:rFonts w:cs="Times New Roman" w:ascii="Times New Roman" w:hAnsi="Times New Roman"/>
          <w:i/>
          <w:iCs/>
          <w:color w:val="000000"/>
          <w:sz w:val="20"/>
          <w:szCs w:val="20"/>
        </w:rPr>
        <w:t>Climatología.</w:t>
      </w:r>
      <w:r>
        <w:rPr>
          <w:rFonts w:cs="Times New Roman" w:ascii="Times New Roman" w:hAnsi="Times New Roman"/>
          <w:color w:val="000000"/>
          <w:sz w:val="20"/>
          <w:szCs w:val="20"/>
        </w:rPr>
        <w:t xml:space="preserve"> Consultado el 19 de octubre de 2021 de </w:t>
      </w:r>
      <w:hyperlink r:id="rId26">
        <w:r>
          <w:rPr>
            <w:rStyle w:val="EnlacedeInternet"/>
            <w:rFonts w:cs="Times New Roman" w:ascii="Times New Roman" w:hAnsi="Times New Roman"/>
            <w:color w:val="000000"/>
            <w:sz w:val="20"/>
            <w:szCs w:val="20"/>
          </w:rPr>
          <w:t>https://www.inegi.org.mx/temas/climatologia/</w:t>
        </w:r>
      </w:hyperlink>
    </w:p>
    <w:p>
      <w:pPr>
        <w:pStyle w:val="Normal"/>
        <w:spacing w:lineRule="auto" w:line="240"/>
        <w:ind w:left="709" w:hanging="709"/>
        <w:rPr/>
      </w:pPr>
      <w:r>
        <w:rPr>
          <w:rFonts w:cs="Times New Roman" w:ascii="Times New Roman" w:hAnsi="Times New Roman"/>
          <w:color w:val="000000"/>
          <w:sz w:val="20"/>
          <w:szCs w:val="20"/>
        </w:rPr>
        <w:t xml:space="preserve">INEL (s.f.). Potencial del recurso [Aplicación en línea]. Consultado el 21 de octubre de 2021 de </w:t>
      </w:r>
      <w:hyperlink r:id="rId27">
        <w:r>
          <w:rPr>
            <w:rStyle w:val="EnlacedeInternet"/>
            <w:rFonts w:cs="Times New Roman" w:ascii="Times New Roman" w:hAnsi="Times New Roman"/>
            <w:color w:val="000000"/>
            <w:sz w:val="20"/>
            <w:szCs w:val="20"/>
          </w:rPr>
          <w:t>https://dgel.energia.gob.mx/inel/mapa.html?lang=es</w:t>
        </w:r>
      </w:hyperlink>
      <w:r>
        <w:rPr>
          <w:rFonts w:cs="Times New Roman" w:ascii="Times New Roman" w:hAnsi="Times New Roman"/>
          <w:color w:val="000000"/>
          <w:sz w:val="20"/>
          <w:szCs w:val="20"/>
        </w:rPr>
        <w:t xml:space="preserve"> </w:t>
      </w:r>
    </w:p>
    <w:p>
      <w:pPr>
        <w:pStyle w:val="Normal"/>
        <w:spacing w:lineRule="auto" w:line="240"/>
        <w:ind w:left="709" w:hanging="709"/>
        <w:rPr/>
      </w:pPr>
      <w:r>
        <w:rPr>
          <w:rFonts w:cs="Times New Roman" w:ascii="Times New Roman" w:hAnsi="Times New Roman"/>
          <w:color w:val="000000"/>
          <w:sz w:val="20"/>
          <w:szCs w:val="20"/>
        </w:rPr>
        <w:t xml:space="preserve">Meteoblue (s.f.). </w:t>
      </w:r>
      <w:r>
        <w:rPr>
          <w:rFonts w:cs="Times New Roman" w:ascii="Times New Roman" w:hAnsi="Times New Roman"/>
          <w:i/>
          <w:iCs/>
          <w:color w:val="000000"/>
          <w:sz w:val="20"/>
          <w:szCs w:val="20"/>
        </w:rPr>
        <w:t>Datos climáticos y meteorológicos históricos simulados para 21.28°N 89.66°O.</w:t>
      </w:r>
      <w:r>
        <w:rPr>
          <w:rFonts w:cs="Times New Roman" w:ascii="Times New Roman" w:hAnsi="Times New Roman"/>
          <w:color w:val="000000"/>
          <w:sz w:val="20"/>
          <w:szCs w:val="20"/>
        </w:rPr>
        <w:t xml:space="preserve"> Consultado el 17 de marzo de 2022 de </w:t>
      </w:r>
      <w:hyperlink r:id="rId28">
        <w:r>
          <w:rPr>
            <w:rStyle w:val="EnlacedeInternet"/>
            <w:rFonts w:cs="Times New Roman" w:ascii="Times New Roman" w:hAnsi="Times New Roman"/>
            <w:color w:val="000000"/>
            <w:sz w:val="20"/>
            <w:szCs w:val="20"/>
          </w:rPr>
          <w:t>https://www.meteoblue.com/es/tiempo/historyclimate/climatemodelled/21.282N-89.664E</w:t>
        </w:r>
      </w:hyperlink>
      <w:r>
        <w:rPr>
          <w:rFonts w:cs="Times New Roman" w:ascii="Times New Roman" w:hAnsi="Times New Roman"/>
          <w:color w:val="000000"/>
          <w:sz w:val="20"/>
          <w:szCs w:val="20"/>
        </w:rPr>
        <w:t xml:space="preserve"> </w:t>
      </w:r>
    </w:p>
    <w:p>
      <w:pPr>
        <w:pStyle w:val="Normal"/>
        <w:spacing w:lineRule="auto" w:line="240"/>
        <w:ind w:left="709" w:hanging="709"/>
        <w:rPr/>
      </w:pPr>
      <w:r>
        <w:rPr>
          <w:rFonts w:cs="Times New Roman" w:ascii="Times New Roman" w:hAnsi="Times New Roman"/>
          <w:color w:val="000000"/>
          <w:sz w:val="20"/>
          <w:szCs w:val="20"/>
        </w:rPr>
        <w:t xml:space="preserve">OLADE (2016). </w:t>
      </w:r>
      <w:r>
        <w:rPr>
          <w:rFonts w:cs="Times New Roman" w:ascii="Times New Roman" w:hAnsi="Times New Roman"/>
          <w:i/>
          <w:iCs/>
          <w:color w:val="000000"/>
          <w:sz w:val="20"/>
          <w:szCs w:val="20"/>
        </w:rPr>
        <w:t>Política Energética Guía Práctica.</w:t>
      </w:r>
      <w:r>
        <w:rPr>
          <w:rFonts w:cs="Times New Roman" w:ascii="Times New Roman" w:hAnsi="Times New Roman"/>
          <w:color w:val="000000"/>
          <w:sz w:val="20"/>
          <w:szCs w:val="20"/>
        </w:rPr>
        <w:t xml:space="preserve"> Consultado del 18 de octubre de </w:t>
      </w:r>
      <w:hyperlink r:id="rId29">
        <w:r>
          <w:rPr>
            <w:rStyle w:val="EnlacedeInternet"/>
            <w:rFonts w:cs="Times New Roman" w:ascii="Times New Roman" w:hAnsi="Times New Roman"/>
            <w:color w:val="000000"/>
            <w:sz w:val="20"/>
            <w:szCs w:val="20"/>
          </w:rPr>
          <w:t>http://biblioteca.olade.org/opac-tmpl/Documentos/old0358.pdf</w:t>
        </w:r>
      </w:hyperlink>
    </w:p>
    <w:p>
      <w:pPr>
        <w:pStyle w:val="Normal"/>
        <w:spacing w:lineRule="auto" w:line="240"/>
        <w:ind w:left="709" w:hanging="709"/>
        <w:rPr/>
      </w:pPr>
      <w:r>
        <w:rPr>
          <w:rFonts w:cs="Times New Roman" w:ascii="Times New Roman" w:hAnsi="Times New Roman"/>
          <w:color w:val="000000"/>
          <w:sz w:val="20"/>
          <w:szCs w:val="20"/>
        </w:rPr>
        <w:t xml:space="preserve">ONU (s.f. a). </w:t>
      </w:r>
      <w:r>
        <w:rPr>
          <w:rFonts w:cs="Times New Roman" w:ascii="Times New Roman" w:hAnsi="Times New Roman"/>
          <w:i/>
          <w:iCs/>
          <w:color w:val="000000"/>
          <w:sz w:val="20"/>
          <w:szCs w:val="20"/>
        </w:rPr>
        <w:t>La Agenda para el desarrollo sostenible</w:t>
      </w:r>
      <w:r>
        <w:rPr>
          <w:rFonts w:cs="Times New Roman" w:ascii="Times New Roman" w:hAnsi="Times New Roman"/>
          <w:color w:val="000000"/>
          <w:sz w:val="20"/>
          <w:szCs w:val="20"/>
        </w:rPr>
        <w:t xml:space="preserve">. Consultado el 18 de octubre de 2021 de </w:t>
      </w:r>
      <w:hyperlink r:id="rId30">
        <w:r>
          <w:rPr>
            <w:rStyle w:val="EnlacedeInternet"/>
            <w:rFonts w:cs="Times New Roman" w:ascii="Times New Roman" w:hAnsi="Times New Roman"/>
            <w:color w:val="000000"/>
            <w:sz w:val="20"/>
            <w:szCs w:val="20"/>
          </w:rPr>
          <w:t>https://www.un.org/sustainabledevelopment/es/development-agenda/</w:t>
        </w:r>
      </w:hyperlink>
    </w:p>
    <w:p>
      <w:pPr>
        <w:pStyle w:val="Normal"/>
        <w:spacing w:lineRule="auto" w:line="240"/>
        <w:ind w:left="709" w:hanging="709"/>
        <w:rPr/>
      </w:pPr>
      <w:r>
        <w:rPr>
          <w:rFonts w:cs="Times New Roman" w:ascii="Times New Roman" w:hAnsi="Times New Roman"/>
          <w:color w:val="000000"/>
          <w:sz w:val="20"/>
          <w:szCs w:val="20"/>
        </w:rPr>
        <w:t xml:space="preserve">ONU (s.f. b). </w:t>
      </w:r>
      <w:r>
        <w:rPr>
          <w:rFonts w:cs="Times New Roman" w:ascii="Times New Roman" w:hAnsi="Times New Roman"/>
          <w:i/>
          <w:iCs/>
          <w:color w:val="000000"/>
          <w:sz w:val="20"/>
          <w:szCs w:val="20"/>
        </w:rPr>
        <w:t>7. Energía asequible y no contaminante</w:t>
      </w:r>
      <w:r>
        <w:rPr>
          <w:rFonts w:cs="Times New Roman" w:ascii="Times New Roman" w:hAnsi="Times New Roman"/>
          <w:color w:val="000000"/>
          <w:sz w:val="20"/>
          <w:szCs w:val="20"/>
        </w:rPr>
        <w:t xml:space="preserve">. Consultado el 18 de octubre de 2021 de </w:t>
      </w:r>
      <w:hyperlink r:id="rId31">
        <w:r>
          <w:rPr>
            <w:rStyle w:val="EnlacedeInternet"/>
            <w:rFonts w:cs="Times New Roman" w:ascii="Times New Roman" w:hAnsi="Times New Roman"/>
            <w:color w:val="000000"/>
            <w:sz w:val="20"/>
            <w:szCs w:val="20"/>
          </w:rPr>
          <w:t>https://www.un.org/sustainabledevelopment/es/energy/</w:t>
        </w:r>
      </w:hyperlink>
      <w:r>
        <w:rPr>
          <w:rFonts w:cs="Times New Roman" w:ascii="Times New Roman" w:hAnsi="Times New Roman"/>
          <w:color w:val="000000"/>
          <w:sz w:val="20"/>
          <w:szCs w:val="20"/>
        </w:rPr>
        <w:t xml:space="preserve"> </w:t>
      </w:r>
    </w:p>
    <w:p>
      <w:pPr>
        <w:pStyle w:val="Normal"/>
        <w:spacing w:lineRule="auto" w:line="240"/>
        <w:ind w:left="709" w:hanging="709"/>
        <w:rPr/>
      </w:pPr>
      <w:r>
        <w:rPr>
          <w:rFonts w:cs="Times New Roman" w:ascii="Times New Roman" w:hAnsi="Times New Roman"/>
          <w:color w:val="000000"/>
          <w:sz w:val="20"/>
          <w:szCs w:val="20"/>
        </w:rPr>
        <w:t xml:space="preserve">Sanoni, J. (2006). ¿Qué pueden hacer las políticas energéticas por la integración? </w:t>
      </w:r>
      <w:r>
        <w:rPr>
          <w:rFonts w:cs="Times New Roman" w:ascii="Times New Roman" w:hAnsi="Times New Roman"/>
          <w:i/>
          <w:iCs/>
          <w:color w:val="000000"/>
          <w:sz w:val="20"/>
          <w:szCs w:val="20"/>
        </w:rPr>
        <w:t>Nueva Sociedad</w:t>
      </w:r>
      <w:r>
        <w:rPr>
          <w:rFonts w:cs="Times New Roman" w:ascii="Times New Roman" w:hAnsi="Times New Roman"/>
          <w:color w:val="000000"/>
          <w:sz w:val="20"/>
          <w:szCs w:val="20"/>
        </w:rPr>
        <w:t xml:space="preserve">, 204. Consultado el 18 de octubre de 2021 de </w:t>
      </w:r>
      <w:hyperlink r:id="rId32">
        <w:r>
          <w:rPr>
            <w:rStyle w:val="EnlacedeInternet"/>
            <w:rFonts w:cs="Times New Roman" w:ascii="Times New Roman" w:hAnsi="Times New Roman"/>
            <w:color w:val="000000"/>
            <w:sz w:val="20"/>
            <w:szCs w:val="20"/>
          </w:rPr>
          <w:t>https://nuso.org/articulo/que-pueden-hacer-las-politicas-energeticas-por-la-integracion/</w:t>
        </w:r>
      </w:hyperlink>
    </w:p>
    <w:p>
      <w:pPr>
        <w:pStyle w:val="Normal"/>
        <w:spacing w:lineRule="auto" w:line="240"/>
        <w:ind w:left="709" w:hanging="709"/>
        <w:rPr/>
      </w:pPr>
      <w:r>
        <w:rPr>
          <w:rFonts w:cs="Times New Roman" w:ascii="Times New Roman" w:hAnsi="Times New Roman"/>
          <w:color w:val="000000"/>
          <w:sz w:val="20"/>
          <w:szCs w:val="20"/>
        </w:rPr>
        <w:t xml:space="preserve">SEMA (s.f.). </w:t>
      </w:r>
      <w:r>
        <w:rPr>
          <w:rFonts w:cs="Times New Roman" w:ascii="Times New Roman" w:hAnsi="Times New Roman"/>
          <w:i/>
          <w:iCs/>
          <w:color w:val="000000"/>
          <w:sz w:val="20"/>
          <w:szCs w:val="20"/>
        </w:rPr>
        <w:t>Características principales de los tipos y subtipos de climas</w:t>
      </w:r>
      <w:r>
        <w:rPr>
          <w:rFonts w:cs="Times New Roman" w:ascii="Times New Roman" w:hAnsi="Times New Roman"/>
          <w:color w:val="000000"/>
          <w:sz w:val="20"/>
          <w:szCs w:val="20"/>
        </w:rPr>
        <w:t xml:space="preserve">. Consultado el 19 de octubre de 2021 de </w:t>
      </w:r>
      <w:hyperlink r:id="rId33">
        <w:r>
          <w:rPr>
            <w:rStyle w:val="EnlacedeInternet"/>
            <w:rFonts w:cs="Times New Roman" w:ascii="Times New Roman" w:hAnsi="Times New Roman"/>
            <w:color w:val="000000"/>
            <w:sz w:val="20"/>
            <w:szCs w:val="20"/>
          </w:rPr>
          <w:t>http://www.sema.gob.mx/SRN/SIIAEC/POETE/CUADROS/Cuadro_6_Descripcion_de_los_Tipos_de_Climas.pdf</w:t>
        </w:r>
      </w:hyperlink>
    </w:p>
    <w:p>
      <w:pPr>
        <w:pStyle w:val="Normal"/>
        <w:spacing w:lineRule="auto" w:line="240"/>
        <w:ind w:left="709" w:hanging="709"/>
        <w:rPr/>
      </w:pPr>
      <w:r>
        <w:rPr>
          <w:rFonts w:cs="Times New Roman" w:ascii="Times New Roman" w:hAnsi="Times New Roman"/>
          <w:color w:val="000000"/>
          <w:sz w:val="20"/>
          <w:szCs w:val="20"/>
        </w:rPr>
        <w:t xml:space="preserve">Sunforce (s.f.). Turbina eólica de 400W. Manual del usuario. Consultado el 20 de octubre de 2021 de </w:t>
      </w:r>
      <w:hyperlink r:id="rId34">
        <w:r>
          <w:rPr>
            <w:rStyle w:val="EnlacedeInternet"/>
            <w:rFonts w:cs="Times New Roman" w:ascii="Times New Roman" w:hAnsi="Times New Roman"/>
            <w:color w:val="000000"/>
            <w:sz w:val="20"/>
            <w:szCs w:val="20"/>
          </w:rPr>
          <w:t>https://sunforceproducts.com/wp-content/uploads/2016/11/Model-44444_Manual.pdf</w:t>
        </w:r>
      </w:hyperlink>
      <w:r>
        <w:rPr>
          <w:rFonts w:cs="Times New Roman" w:ascii="Times New Roman" w:hAnsi="Times New Roman"/>
          <w:color w:val="000000"/>
          <w:sz w:val="20"/>
          <w:szCs w:val="20"/>
        </w:rPr>
        <w:t xml:space="preserve"> </w:t>
      </w:r>
    </w:p>
    <w:p>
      <w:pPr>
        <w:pStyle w:val="Normal"/>
        <w:spacing w:lineRule="auto" w:line="240"/>
        <w:ind w:left="709" w:hanging="709"/>
        <w:rPr/>
      </w:pPr>
      <w:r>
        <w:rPr>
          <w:rFonts w:cs="Times New Roman" w:ascii="Times New Roman" w:hAnsi="Times New Roman"/>
          <w:color w:val="000000"/>
          <w:sz w:val="20"/>
          <w:szCs w:val="20"/>
        </w:rPr>
        <w:t xml:space="preserve">Tablademareas.com (s.f.). </w:t>
      </w:r>
      <w:r>
        <w:rPr>
          <w:rFonts w:cs="Times New Roman" w:ascii="Times New Roman" w:hAnsi="Times New Roman"/>
          <w:i/>
          <w:iCs/>
          <w:color w:val="000000"/>
          <w:sz w:val="20"/>
          <w:szCs w:val="20"/>
        </w:rPr>
        <w:t>Tabla de mareas y solunares. Puerto Progreso</w:t>
      </w:r>
      <w:r>
        <w:rPr>
          <w:rFonts w:cs="Times New Roman" w:ascii="Times New Roman" w:hAnsi="Times New Roman"/>
          <w:color w:val="000000"/>
          <w:sz w:val="20"/>
          <w:szCs w:val="20"/>
        </w:rPr>
        <w:t xml:space="preserve">. Consultado el 14 de diciembre de 2021 de: </w:t>
      </w:r>
      <w:hyperlink r:id="rId35">
        <w:r>
          <w:rPr>
            <w:rStyle w:val="EnlacedeInternet"/>
            <w:rFonts w:cs="Times New Roman" w:ascii="Times New Roman" w:hAnsi="Times New Roman"/>
            <w:color w:val="000000"/>
            <w:sz w:val="20"/>
            <w:szCs w:val="20"/>
          </w:rPr>
          <w:t>https://tablademareas.com/mx/yucatan/puerto-progreso</w:t>
        </w:r>
      </w:hyperlink>
      <w:r>
        <w:rPr>
          <w:rFonts w:cs="Times New Roman" w:ascii="Times New Roman" w:hAnsi="Times New Roman"/>
          <w:color w:val="000000"/>
          <w:sz w:val="20"/>
          <w:szCs w:val="20"/>
        </w:rPr>
        <w:t xml:space="preserve"> </w:t>
      </w:r>
    </w:p>
    <w:p>
      <w:pPr>
        <w:pStyle w:val="Normal"/>
        <w:spacing w:lineRule="auto" w:line="240"/>
        <w:ind w:left="709" w:hanging="709"/>
        <w:rPr/>
      </w:pPr>
      <w:r>
        <w:rPr>
          <w:rFonts w:cs="Times New Roman" w:ascii="Times New Roman" w:hAnsi="Times New Roman"/>
          <w:color w:val="000000"/>
          <w:sz w:val="20"/>
          <w:szCs w:val="20"/>
        </w:rPr>
        <w:t xml:space="preserve">Windfinder (s.f.). </w:t>
      </w:r>
      <w:r>
        <w:rPr>
          <w:rFonts w:cs="Times New Roman" w:ascii="Times New Roman" w:hAnsi="Times New Roman"/>
          <w:i/>
          <w:iCs/>
          <w:color w:val="000000"/>
          <w:sz w:val="20"/>
          <w:szCs w:val="20"/>
        </w:rPr>
        <w:t>Estadísticas del viento y del tiempo. Puerto Progreso/Yucatán</w:t>
      </w:r>
      <w:r>
        <w:rPr>
          <w:rFonts w:cs="Times New Roman" w:ascii="Times New Roman" w:hAnsi="Times New Roman"/>
          <w:color w:val="000000"/>
          <w:sz w:val="20"/>
          <w:szCs w:val="20"/>
        </w:rPr>
        <w:t xml:space="preserve">. Consultado el 20 de octubre de 2021 de </w:t>
      </w:r>
      <w:hyperlink r:id="rId36">
        <w:r>
          <w:rPr>
            <w:rStyle w:val="EnlacedeInternet"/>
            <w:rFonts w:cs="Times New Roman" w:ascii="Times New Roman" w:hAnsi="Times New Roman"/>
            <w:color w:val="000000"/>
            <w:sz w:val="20"/>
            <w:szCs w:val="20"/>
          </w:rPr>
          <w:t>https://es.windfinder.com/windstatistics/puerto_progreso_yucatan</w:t>
        </w:r>
      </w:hyperlink>
    </w:p>
    <w:p>
      <w:pPr>
        <w:sectPr>
          <w:type w:val="continuous"/>
          <w:pgSz w:w="12240" w:h="15840"/>
          <w:pgMar w:left="1417" w:right="1417" w:header="1417" w:top="2044" w:footer="1417" w:bottom="2109" w:gutter="0"/>
          <w:cols w:num="2" w:space="282" w:equalWidth="true" w:sep="false"/>
          <w:formProt w:val="false"/>
          <w:textDirection w:val="lrTb"/>
          <w:docGrid w:type="default" w:linePitch="360" w:charSpace="4096"/>
        </w:sectPr>
      </w:pPr>
    </w:p>
    <w:sectPr>
      <w:headerReference w:type="even" r:id="rId37"/>
      <w:headerReference w:type="default" r:id="rId38"/>
      <w:headerReference w:type="first" r:id="rId39"/>
      <w:footerReference w:type="even" r:id="rId40"/>
      <w:footerReference w:type="default" r:id="rId41"/>
      <w:footerReference w:type="first" r:id="rId42"/>
      <w:type w:val="continuous"/>
      <w:pgSz w:w="12240" w:h="15840"/>
      <w:pgMar w:left="1417" w:right="1417" w:header="1417" w:top="2044" w:footer="1417" w:bottom="2109"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Calibri Light">
    <w:charset w:val="01"/>
    <w:family w:val="roman"/>
    <w:pitch w:val="variable"/>
  </w:font>
  <w:font w:name="Times New Roman">
    <w:charset w:val="01"/>
    <w:family w:val="roman"/>
    <w:pitch w:val="variable"/>
  </w:font>
  <w:font w:name="Courier New">
    <w:charset w:val="01"/>
    <w:family w:val="roman"/>
    <w:pitch w:val="variable"/>
  </w:font>
  <w:font w:name="Segoe UI">
    <w:charset w:val="01"/>
    <w:family w:val="roman"/>
    <w:pitch w:val="variable"/>
  </w:font>
  <w:font w:name="Liberation Sans">
    <w:altName w:val="Arial"/>
    <w:charset w:val="01"/>
    <w:family w:val="roman"/>
    <w:pitch w:val="variable"/>
  </w:font>
  <w:font w:name="Times new roman">
    <w:charset w:val="01"/>
    <w:family w:val="roman"/>
    <w:pitch w:val="variable"/>
  </w:font>
  <w:font w:name="Cantarell">
    <w:charset w:val="01"/>
    <w:family w:val="roman"/>
    <w:pitch w:val="variable"/>
  </w:font>
  <w:font w:name="Liberation Serif">
    <w:altName w:val="Times New Roman"/>
    <w:charset w:val="01"/>
    <w:family w:val="roman"/>
    <w:pitch w:val="default"/>
  </w:font>
  <w:font w:name="Times New Roman">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tbl>
    <w:tblPr>
      <w:tblW w:w="9405" w:type="dxa"/>
      <w:jc w:val="left"/>
      <w:tblInd w:w="55" w:type="dxa"/>
      <w:tblLayout w:type="fixed"/>
      <w:tblCellMar>
        <w:top w:w="55" w:type="dxa"/>
        <w:left w:w="55" w:type="dxa"/>
        <w:bottom w:w="55" w:type="dxa"/>
        <w:right w:w="55" w:type="dxa"/>
      </w:tblCellMar>
    </w:tblPr>
    <w:tblGrid>
      <w:gridCol w:w="2487"/>
      <w:gridCol w:w="4140"/>
      <w:gridCol w:w="2778"/>
    </w:tblGrid>
    <w:tr>
      <w:trPr/>
      <w:tc>
        <w:tcPr>
          <w:tcW w:w="2487"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1</w:t>
          </w:r>
          <w:r>
            <w:rPr>
              <w:rFonts w:ascii="Times new roman" w:hAnsi="Times new roman"/>
              <w:sz w:val="16"/>
              <w:szCs w:val="16"/>
            </w:rPr>
            <w:t>1</w:t>
          </w:r>
          <w:r>
            <w:rPr>
              <w:rFonts w:ascii="Times new roman" w:hAnsi="Times new roman"/>
              <w:sz w:val="16"/>
              <w:szCs w:val="16"/>
            </w:rPr>
            <w:t>/</w:t>
          </w:r>
          <w:r>
            <w:rPr>
              <w:rFonts w:ascii="Times new roman" w:hAnsi="Times new roman"/>
              <w:sz w:val="16"/>
              <w:szCs w:val="16"/>
            </w:rPr>
            <w:t>Ener</w:t>
          </w:r>
          <w:r>
            <w:rPr>
              <w:rFonts w:ascii="Times new roman" w:hAnsi="Times new roman"/>
              <w:sz w:val="16"/>
              <w:szCs w:val="16"/>
            </w:rPr>
            <w:t>o/202</w:t>
          </w:r>
          <w:r>
            <w:rPr>
              <w:rFonts w:ascii="Times new roman" w:hAnsi="Times new roman"/>
              <w:sz w:val="16"/>
              <w:szCs w:val="16"/>
            </w:rPr>
            <w:t>2</w:t>
          </w:r>
        </w:p>
        <w:p>
          <w:pPr>
            <w:pStyle w:val="Contenidodelatabla"/>
            <w:widowControl w:val="false"/>
            <w:bidi w:val="0"/>
            <w:spacing w:before="0" w:after="0"/>
            <w:ind w:hanging="0"/>
            <w:jc w:val="left"/>
            <w:rPr/>
          </w:pPr>
          <w:r>
            <w:rPr>
              <w:rFonts w:ascii="Times new roman" w:hAnsi="Times new roman"/>
              <w:sz w:val="16"/>
              <w:szCs w:val="16"/>
            </w:rPr>
            <w:t>Aceptado: 29/</w:t>
          </w:r>
          <w:r>
            <w:rPr>
              <w:rFonts w:ascii="Times new roman" w:hAnsi="Times new roman"/>
              <w:sz w:val="16"/>
              <w:szCs w:val="16"/>
            </w:rPr>
            <w:t>Abril</w:t>
          </w:r>
          <w:r>
            <w:rPr>
              <w:rFonts w:ascii="Times new roman" w:hAnsi="Times new roman"/>
              <w:sz w:val="16"/>
              <w:szCs w:val="16"/>
            </w:rPr>
            <w:t>/202</w:t>
          </w:r>
          <w:r>
            <w:rPr>
              <w:rFonts w:ascii="Times new roman" w:hAnsi="Times new roman"/>
              <w:sz w:val="16"/>
              <w:szCs w:val="16"/>
            </w:rPr>
            <w:t>2</w:t>
          </w:r>
        </w:p>
      </w:tc>
      <w:tc>
        <w:tcPr>
          <w:tcW w:w="4140"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78" w:type="dxa"/>
          <w:tcBorders/>
          <w:shd w:fill="auto" w:val="clear"/>
        </w:tcPr>
        <w:p>
          <w:pPr>
            <w:pStyle w:val="Contenidodelatabla"/>
            <w:widowControl w:val="false"/>
            <w:spacing w:before="120" w:after="60"/>
            <w:rPr/>
          </w:pPr>
          <w:r>
            <w:rPr/>
          </w:r>
        </w:p>
      </w:tc>
    </w:tr>
  </w:tbl>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tbl>
    <w:tblPr>
      <w:tblW w:w="9405" w:type="dxa"/>
      <w:jc w:val="left"/>
      <w:tblInd w:w="55" w:type="dxa"/>
      <w:tblLayout w:type="fixed"/>
      <w:tblCellMar>
        <w:top w:w="55" w:type="dxa"/>
        <w:left w:w="55" w:type="dxa"/>
        <w:bottom w:w="55" w:type="dxa"/>
        <w:right w:w="55" w:type="dxa"/>
      </w:tblCellMar>
    </w:tblPr>
    <w:tblGrid>
      <w:gridCol w:w="2487"/>
      <w:gridCol w:w="4140"/>
      <w:gridCol w:w="2778"/>
    </w:tblGrid>
    <w:tr>
      <w:trPr/>
      <w:tc>
        <w:tcPr>
          <w:tcW w:w="2487"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1</w:t>
          </w:r>
          <w:r>
            <w:rPr>
              <w:rFonts w:ascii="Times new roman" w:hAnsi="Times new roman"/>
              <w:sz w:val="16"/>
              <w:szCs w:val="16"/>
            </w:rPr>
            <w:t>1</w:t>
          </w:r>
          <w:r>
            <w:rPr>
              <w:rFonts w:ascii="Times new roman" w:hAnsi="Times new roman"/>
              <w:sz w:val="16"/>
              <w:szCs w:val="16"/>
            </w:rPr>
            <w:t>/</w:t>
          </w:r>
          <w:r>
            <w:rPr>
              <w:rFonts w:ascii="Times new roman" w:hAnsi="Times new roman"/>
              <w:sz w:val="16"/>
              <w:szCs w:val="16"/>
            </w:rPr>
            <w:t>Ener</w:t>
          </w:r>
          <w:r>
            <w:rPr>
              <w:rFonts w:ascii="Times new roman" w:hAnsi="Times new roman"/>
              <w:sz w:val="16"/>
              <w:szCs w:val="16"/>
            </w:rPr>
            <w:t>o/202</w:t>
          </w:r>
          <w:r>
            <w:rPr>
              <w:rFonts w:ascii="Times new roman" w:hAnsi="Times new roman"/>
              <w:sz w:val="16"/>
              <w:szCs w:val="16"/>
            </w:rPr>
            <w:t>2</w:t>
          </w:r>
        </w:p>
        <w:p>
          <w:pPr>
            <w:pStyle w:val="Contenidodelatabla"/>
            <w:widowControl w:val="false"/>
            <w:bidi w:val="0"/>
            <w:spacing w:before="0" w:after="0"/>
            <w:ind w:hanging="0"/>
            <w:jc w:val="left"/>
            <w:rPr/>
          </w:pPr>
          <w:r>
            <w:rPr>
              <w:rFonts w:ascii="Times new roman" w:hAnsi="Times new roman"/>
              <w:sz w:val="16"/>
              <w:szCs w:val="16"/>
            </w:rPr>
            <w:t>Aceptado: 29/</w:t>
          </w:r>
          <w:r>
            <w:rPr>
              <w:rFonts w:ascii="Times new roman" w:hAnsi="Times new roman"/>
              <w:sz w:val="16"/>
              <w:szCs w:val="16"/>
            </w:rPr>
            <w:t>Abril</w:t>
          </w:r>
          <w:r>
            <w:rPr>
              <w:rFonts w:ascii="Times new roman" w:hAnsi="Times new roman"/>
              <w:sz w:val="16"/>
              <w:szCs w:val="16"/>
            </w:rPr>
            <w:t>/202</w:t>
          </w:r>
          <w:r>
            <w:rPr>
              <w:rFonts w:ascii="Times new roman" w:hAnsi="Times new roman"/>
              <w:sz w:val="16"/>
              <w:szCs w:val="16"/>
            </w:rPr>
            <w:t>2</w:t>
          </w:r>
        </w:p>
      </w:tc>
      <w:tc>
        <w:tcPr>
          <w:tcW w:w="4140"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78" w:type="dxa"/>
          <w:tcBorders/>
          <w:shd w:fill="auto" w:val="clear"/>
        </w:tcPr>
        <w:p>
          <w:pPr>
            <w:pStyle w:val="Contenidodelatabla"/>
            <w:widowControl w:val="false"/>
            <w:spacing w:before="120" w:after="60"/>
            <w:rPr/>
          </w:pPr>
          <w:r>
            <w:rPr/>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No. 1</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 pp. 1-</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 xml:space="preserve">Julio - </w:t>
    </w:r>
    <w:r>
      <w:rPr>
        <w:rFonts w:ascii="Times new roman" w:hAnsi="Times new roman"/>
        <w:b w:val="false"/>
        <w:i/>
        <w:iCs/>
        <w:caps w:val="false"/>
        <w:smallCaps w:val="false"/>
        <w:spacing w:val="0"/>
        <w:sz w:val="16"/>
        <w:szCs w:val="16"/>
      </w:rPr>
      <w:t>Diciembre 202</w:t>
    </w:r>
    <w:r>
      <w:rPr>
        <w:rFonts w:ascii="Times new roman" w:hAnsi="Times new roman"/>
        <w:b w:val="false"/>
        <w:i/>
        <w:iCs/>
        <w:caps w:val="false"/>
        <w:smallCaps w:val="false"/>
        <w:spacing w:val="0"/>
        <w:sz w:val="16"/>
        <w:szCs w:val="16"/>
      </w:rPr>
      <w:t>2</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No. 1</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 pp. 1-</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 xml:space="preserve">Julio - </w:t>
    </w:r>
    <w:r>
      <w:rPr>
        <w:rFonts w:ascii="Times new roman" w:hAnsi="Times new roman"/>
        <w:b w:val="false"/>
        <w:i/>
        <w:iCs/>
        <w:caps w:val="false"/>
        <w:smallCaps w:val="false"/>
        <w:spacing w:val="0"/>
        <w:sz w:val="16"/>
        <w:szCs w:val="16"/>
      </w:rPr>
      <w:t>Diciembre 202</w:t>
    </w:r>
    <w:r>
      <w:rPr>
        <w:rFonts w:ascii="Times new roman" w:hAnsi="Times new roman"/>
        <w:b w:val="false"/>
        <w:i/>
        <w:iCs/>
        <w:caps w:val="false"/>
        <w:smallCaps w:val="false"/>
        <w:spacing w:val="0"/>
        <w:sz w:val="16"/>
        <w:szCs w:val="16"/>
      </w:rPr>
      <w:t>2</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 No. 1</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 pp. 1-</w:t>
          </w:r>
          <w:r>
            <w:rPr>
              <w:rFonts w:eastAsia="Times New Roman" w:cs="Times New Roman" w:ascii="Times new roman" w:hAnsi="Times new roman"/>
              <w:sz w:val="20"/>
              <w:szCs w:val="20"/>
            </w:rPr>
            <w:t>9</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Julio - </w:t>
          </w:r>
          <w:r>
            <w:rPr>
              <w:rFonts w:eastAsia="Times New Roman" w:cs="Times New Roman" w:ascii="Times new roman" w:hAnsi="Times new roman"/>
              <w:sz w:val="20"/>
              <w:szCs w:val="20"/>
            </w:rPr>
            <w:t>Diciembre 202</w:t>
          </w:r>
          <w:r>
            <w:rPr>
              <w:rFonts w:eastAsia="Times New Roman" w:cs="Times New Roman" w:ascii="Times new roman" w:hAnsi="Times new roman"/>
              <w:sz w:val="20"/>
              <w:szCs w:val="20"/>
            </w:rPr>
            <w:t>2</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No. 1</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 pp. 1-</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 xml:space="preserve">Julio - </w:t>
    </w:r>
    <w:r>
      <w:rPr>
        <w:rFonts w:ascii="Times new roman" w:hAnsi="Times new roman"/>
        <w:b w:val="false"/>
        <w:i/>
        <w:iCs/>
        <w:caps w:val="false"/>
        <w:smallCaps w:val="false"/>
        <w:spacing w:val="0"/>
        <w:sz w:val="16"/>
        <w:szCs w:val="16"/>
      </w:rPr>
      <w:t>Diciembre 202</w:t>
    </w:r>
    <w:r>
      <w:rPr>
        <w:rFonts w:ascii="Times new roman" w:hAnsi="Times new roman"/>
        <w:b w:val="false"/>
        <w:i/>
        <w:iCs/>
        <w:caps w:val="false"/>
        <w:smallCaps w:val="false"/>
        <w:spacing w:val="0"/>
        <w:sz w:val="16"/>
        <w:szCs w:val="16"/>
      </w:rPr>
      <w:t>2</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No. 1</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 pp. 1-</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 xml:space="preserve">Julio - </w:t>
    </w:r>
    <w:r>
      <w:rPr>
        <w:rFonts w:ascii="Times new roman" w:hAnsi="Times new roman"/>
        <w:b w:val="false"/>
        <w:i/>
        <w:iCs/>
        <w:caps w:val="false"/>
        <w:smallCaps w:val="false"/>
        <w:spacing w:val="0"/>
        <w:sz w:val="16"/>
        <w:szCs w:val="16"/>
      </w:rPr>
      <w:t>Diciembre 202</w:t>
    </w:r>
    <w:r>
      <w:rPr>
        <w:rFonts w:ascii="Times new roman" w:hAnsi="Times new roman"/>
        <w:b w:val="false"/>
        <w:i/>
        <w:iCs/>
        <w:caps w:val="false"/>
        <w:smallCaps w:val="false"/>
        <w:spacing w:val="0"/>
        <w:sz w:val="16"/>
        <w:szCs w:val="16"/>
      </w:rPr>
      <w:t>2</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8"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 No. 1</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 pp. 1-</w:t>
          </w:r>
          <w:r>
            <w:rPr>
              <w:rFonts w:eastAsia="Times New Roman" w:cs="Times New Roman" w:ascii="Times new roman" w:hAnsi="Times new roman"/>
              <w:sz w:val="20"/>
              <w:szCs w:val="20"/>
            </w:rPr>
            <w:t>9</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Julio - </w:t>
          </w:r>
          <w:r>
            <w:rPr>
              <w:rFonts w:eastAsia="Times New Roman" w:cs="Times New Roman" w:ascii="Times new roman" w:hAnsi="Times new roman"/>
              <w:sz w:val="20"/>
              <w:szCs w:val="20"/>
            </w:rPr>
            <w:t>Diciembre 202</w:t>
          </w:r>
          <w:r>
            <w:rPr>
              <w:rFonts w:eastAsia="Times New Roman" w:cs="Times New Roman" w:ascii="Times new roman" w:hAnsi="Times new roman"/>
              <w:sz w:val="20"/>
              <w:szCs w:val="20"/>
            </w:rPr>
            <w:t>2</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settings.xml><?xml version="1.0" encoding="utf-8"?>
<w:settings xmlns:w="http://schemas.openxmlformats.org/wordprocessingml/2006/main">
  <w:zoom w:percent="16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e00de"/>
    <w:pPr>
      <w:widowControl/>
      <w:suppressAutoHyphens w:val="true"/>
      <w:bidi w:val="0"/>
      <w:spacing w:lineRule="auto" w:line="276" w:before="0" w:after="0"/>
      <w:jc w:val="left"/>
    </w:pPr>
    <w:rPr>
      <w:rFonts w:ascii="Arial" w:hAnsi="Arial" w:eastAsia="Arial" w:cs="Arial"/>
      <w:color w:val="000000"/>
      <w:kern w:val="0"/>
      <w:sz w:val="22"/>
      <w:szCs w:val="22"/>
      <w:lang w:val="es-MX" w:eastAsia="es-MX" w:bidi="ar-SA"/>
    </w:rPr>
  </w:style>
  <w:style w:type="paragraph" w:styleId="Ttulo1">
    <w:name w:val="Heading 1"/>
    <w:basedOn w:val="Normal"/>
    <w:next w:val="Normal"/>
    <w:link w:val="Ttulo1Car"/>
    <w:uiPriority w:val="9"/>
    <w:qFormat/>
    <w:rsid w:val="00145372"/>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tulo2">
    <w:name w:val="Heading 2"/>
    <w:basedOn w:val="Normal"/>
    <w:next w:val="Normal"/>
    <w:link w:val="Ttulo2Car"/>
    <w:uiPriority w:val="9"/>
    <w:unhideWhenUsed/>
    <w:qFormat/>
    <w:rsid w:val="00c87af3"/>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Ttulo3">
    <w:name w:val="Heading 3"/>
    <w:basedOn w:val="Normal"/>
    <w:link w:val="Ttulo3Car"/>
    <w:uiPriority w:val="9"/>
    <w:qFormat/>
    <w:rsid w:val="00145372"/>
    <w:pPr>
      <w:spacing w:lineRule="auto" w:line="240" w:beforeAutospacing="1" w:afterAutospacing="1"/>
      <w:outlineLvl w:val="2"/>
    </w:pPr>
    <w:rPr>
      <w:rFonts w:ascii="Times New Roman" w:hAnsi="Times New Roman" w:eastAsia="Times New Roman" w:cs="Times New Roman"/>
      <w:b/>
      <w:bCs/>
      <w:color w:val="auto"/>
      <w:sz w:val="27"/>
      <w:szCs w:val="27"/>
    </w:rPr>
  </w:style>
  <w:style w:type="paragraph" w:styleId="Ttulo6">
    <w:name w:val="Heading 6"/>
    <w:basedOn w:val="Normal"/>
    <w:next w:val="Normal"/>
    <w:link w:val="Ttulo6Car"/>
    <w:uiPriority w:val="9"/>
    <w:semiHidden/>
    <w:unhideWhenUsed/>
    <w:qFormat/>
    <w:rsid w:val="00267c46"/>
    <w:pPr>
      <w:keepNext w:val="true"/>
      <w:keepLines/>
      <w:spacing w:before="40" w:after="0"/>
      <w:outlineLvl w:val="5"/>
    </w:pPr>
    <w:rPr>
      <w:rFonts w:ascii="Calibri Light" w:hAnsi="Calibri Light" w:eastAsia="" w:cs="" w:asciiTheme="majorHAnsi" w:cstheme="majorBidi" w:eastAsiaTheme="majorEastAsia" w:hAnsiTheme="majorHAnsi"/>
      <w:color w:val="1F4D78" w:themeColor="accent1" w:themeShade="7f"/>
    </w:rPr>
  </w:style>
  <w:style w:type="character" w:styleId="DefaultParagraphFont" w:default="1">
    <w:name w:val="Default Paragraph Font"/>
    <w:uiPriority w:val="1"/>
    <w:semiHidden/>
    <w:unhideWhenUsed/>
    <w:qFormat/>
    <w:rPr/>
  </w:style>
  <w:style w:type="character" w:styleId="Ancladenotaalpie">
    <w:name w:val="Ancla de nota al pie"/>
    <w:rPr>
      <w:vertAlign w:val="superscript"/>
    </w:rPr>
  </w:style>
  <w:style w:type="character" w:styleId="FootnoteCharacters">
    <w:name w:val="Footnote Characters"/>
    <w:basedOn w:val="DefaultParagraphFont"/>
    <w:uiPriority w:val="99"/>
    <w:semiHidden/>
    <w:unhideWhenUsed/>
    <w:qFormat/>
    <w:rsid w:val="00fe00de"/>
    <w:rPr>
      <w:vertAlign w:val="superscript"/>
    </w:rPr>
  </w:style>
  <w:style w:type="character" w:styleId="EnlacedeInternet">
    <w:name w:val="Enlace de Internet"/>
    <w:basedOn w:val="DefaultParagraphFont"/>
    <w:uiPriority w:val="99"/>
    <w:unhideWhenUsed/>
    <w:rsid w:val="00663dda"/>
    <w:rPr>
      <w:color w:val="0563C1" w:themeColor="hyperlink"/>
      <w:u w:val="single"/>
    </w:rPr>
  </w:style>
  <w:style w:type="character" w:styleId="Destacado">
    <w:name w:val="Destacado"/>
    <w:basedOn w:val="DefaultParagraphFont"/>
    <w:uiPriority w:val="20"/>
    <w:qFormat/>
    <w:rsid w:val="001d0db0"/>
    <w:rPr>
      <w:i/>
      <w:iCs/>
    </w:rPr>
  </w:style>
  <w:style w:type="character" w:styleId="Mencinsinresolver1" w:customStyle="1">
    <w:name w:val="Mención sin resolver1"/>
    <w:basedOn w:val="DefaultParagraphFont"/>
    <w:uiPriority w:val="99"/>
    <w:semiHidden/>
    <w:unhideWhenUsed/>
    <w:qFormat/>
    <w:rsid w:val="0043458d"/>
    <w:rPr>
      <w:color w:val="605E5C"/>
      <w:shd w:fill="E1DFDD" w:val="clear"/>
    </w:rPr>
  </w:style>
  <w:style w:type="character" w:styleId="Ttulo3Car" w:customStyle="1">
    <w:name w:val="Título 3 Car"/>
    <w:basedOn w:val="DefaultParagraphFont"/>
    <w:link w:val="Ttulo3"/>
    <w:uiPriority w:val="9"/>
    <w:qFormat/>
    <w:rsid w:val="00145372"/>
    <w:rPr>
      <w:rFonts w:ascii="Times New Roman" w:hAnsi="Times New Roman" w:eastAsia="Times New Roman" w:cs="Times New Roman"/>
      <w:b/>
      <w:bCs/>
      <w:sz w:val="27"/>
      <w:szCs w:val="27"/>
      <w:lang w:eastAsia="es-MX"/>
    </w:rPr>
  </w:style>
  <w:style w:type="character" w:styleId="Ttulo1Car" w:customStyle="1">
    <w:name w:val="Título 1 Car"/>
    <w:basedOn w:val="DefaultParagraphFont"/>
    <w:link w:val="Ttulo1"/>
    <w:uiPriority w:val="9"/>
    <w:qFormat/>
    <w:rsid w:val="00145372"/>
    <w:rPr>
      <w:rFonts w:ascii="Calibri Light" w:hAnsi="Calibri Light" w:eastAsia="" w:cs="" w:asciiTheme="majorHAnsi" w:cstheme="majorBidi" w:eastAsiaTheme="majorEastAsia" w:hAnsiTheme="majorHAnsi"/>
      <w:color w:val="2E74B5" w:themeColor="accent1" w:themeShade="bf"/>
      <w:sz w:val="32"/>
      <w:szCs w:val="32"/>
      <w:lang w:eastAsia="es-MX"/>
    </w:rPr>
  </w:style>
  <w:style w:type="character" w:styleId="Metadatavalue" w:customStyle="1">
    <w:name w:val="metadata-value"/>
    <w:basedOn w:val="DefaultParagraphFont"/>
    <w:qFormat/>
    <w:rsid w:val="000658a0"/>
    <w:rPr/>
  </w:style>
  <w:style w:type="character" w:styleId="Dateissued" w:customStyle="1">
    <w:name w:val="date-issued"/>
    <w:basedOn w:val="DefaultParagraphFont"/>
    <w:qFormat/>
    <w:rsid w:val="000658a0"/>
    <w:rPr/>
  </w:style>
  <w:style w:type="character" w:styleId="Metadatalabel" w:customStyle="1">
    <w:name w:val="metadata-label"/>
    <w:basedOn w:val="DefaultParagraphFont"/>
    <w:qFormat/>
    <w:rsid w:val="00dd0f98"/>
    <w:rPr/>
  </w:style>
  <w:style w:type="character" w:styleId="Dsdccontributorauthorauthority" w:customStyle="1">
    <w:name w:val="ds-dc_contributor_author-authority"/>
    <w:basedOn w:val="DefaultParagraphFont"/>
    <w:qFormat/>
    <w:rsid w:val="00dd0f98"/>
    <w:rPr/>
  </w:style>
  <w:style w:type="character" w:styleId="Strong">
    <w:name w:val="Strong"/>
    <w:basedOn w:val="DefaultParagraphFont"/>
    <w:uiPriority w:val="22"/>
    <w:qFormat/>
    <w:rsid w:val="0064487a"/>
    <w:rPr>
      <w:b/>
      <w:bCs/>
    </w:rPr>
  </w:style>
  <w:style w:type="character" w:styleId="Ph" w:customStyle="1">
    <w:name w:val="ph"/>
    <w:basedOn w:val="DefaultParagraphFont"/>
    <w:qFormat/>
    <w:rsid w:val="006d786a"/>
    <w:rPr/>
  </w:style>
  <w:style w:type="character" w:styleId="Ttulo2Car" w:customStyle="1">
    <w:name w:val="Título 2 Car"/>
    <w:basedOn w:val="DefaultParagraphFont"/>
    <w:link w:val="Ttulo2"/>
    <w:uiPriority w:val="9"/>
    <w:qFormat/>
    <w:rsid w:val="00c87af3"/>
    <w:rPr>
      <w:rFonts w:ascii="Calibri Light" w:hAnsi="Calibri Light" w:eastAsia="" w:cs="" w:asciiTheme="majorHAnsi" w:cstheme="majorBidi" w:eastAsiaTheme="majorEastAsia" w:hAnsiTheme="majorHAnsi"/>
      <w:color w:val="2E74B5" w:themeColor="accent1" w:themeShade="bf"/>
      <w:sz w:val="26"/>
      <w:szCs w:val="26"/>
      <w:lang w:eastAsia="es-MX"/>
    </w:rPr>
  </w:style>
  <w:style w:type="character" w:styleId="Addfavcaption" w:customStyle="1">
    <w:name w:val="add_fav_caption"/>
    <w:basedOn w:val="DefaultParagraphFont"/>
    <w:qFormat/>
    <w:rsid w:val="001d0ed4"/>
    <w:rPr/>
  </w:style>
  <w:style w:type="character" w:styleId="Admin" w:customStyle="1">
    <w:name w:val="admin"/>
    <w:basedOn w:val="DefaultParagraphFont"/>
    <w:qFormat/>
    <w:rsid w:val="001d0ed4"/>
    <w:rPr/>
  </w:style>
  <w:style w:type="character" w:styleId="Country" w:customStyle="1">
    <w:name w:val="country"/>
    <w:basedOn w:val="DefaultParagraphFont"/>
    <w:qFormat/>
    <w:rsid w:val="001d0ed4"/>
    <w:rPr/>
  </w:style>
  <w:style w:type="character" w:styleId="Coords" w:customStyle="1">
    <w:name w:val="coords"/>
    <w:basedOn w:val="DefaultParagraphFont"/>
    <w:qFormat/>
    <w:rsid w:val="001d0ed4"/>
    <w:rPr/>
  </w:style>
  <w:style w:type="character" w:styleId="Spotheadlinesmall" w:customStyle="1">
    <w:name w:val="spot-headline__small"/>
    <w:basedOn w:val="DefaultParagraphFont"/>
    <w:qFormat/>
    <w:rsid w:val="00032159"/>
    <w:rPr/>
  </w:style>
  <w:style w:type="character" w:styleId="Spotheadlinelarge" w:customStyle="1">
    <w:name w:val="spot-headline__large"/>
    <w:basedOn w:val="DefaultParagraphFont"/>
    <w:qFormat/>
    <w:rsid w:val="00032159"/>
    <w:rPr/>
  </w:style>
  <w:style w:type="character" w:styleId="Ttulo6Car" w:customStyle="1">
    <w:name w:val="Título 6 Car"/>
    <w:basedOn w:val="DefaultParagraphFont"/>
    <w:link w:val="Ttulo6"/>
    <w:uiPriority w:val="9"/>
    <w:semiHidden/>
    <w:qFormat/>
    <w:rsid w:val="00267c46"/>
    <w:rPr>
      <w:rFonts w:ascii="Calibri Light" w:hAnsi="Calibri Light" w:eastAsia="" w:cs="" w:asciiTheme="majorHAnsi" w:cstheme="majorBidi" w:eastAsiaTheme="majorEastAsia" w:hAnsiTheme="majorHAnsi"/>
      <w:color w:val="1F4D78" w:themeColor="accent1" w:themeShade="7f"/>
      <w:lang w:eastAsia="es-MX"/>
    </w:rPr>
  </w:style>
  <w:style w:type="character" w:styleId="Colxs6" w:customStyle="1">
    <w:name w:val="col-xs-6"/>
    <w:basedOn w:val="DefaultParagraphFont"/>
    <w:qFormat/>
    <w:rsid w:val="00267c46"/>
    <w:rPr/>
  </w:style>
  <w:style w:type="character" w:styleId="EncabezadoCar" w:customStyle="1">
    <w:name w:val="Encabezado Car"/>
    <w:basedOn w:val="DefaultParagraphFont"/>
    <w:link w:val="Encabezado"/>
    <w:uiPriority w:val="99"/>
    <w:qFormat/>
    <w:rsid w:val="00935ac2"/>
    <w:rPr>
      <w:rFonts w:ascii="Arial" w:hAnsi="Arial" w:eastAsia="Arial" w:cs="Arial"/>
      <w:color w:val="000000"/>
      <w:lang w:eastAsia="es-MX"/>
    </w:rPr>
  </w:style>
  <w:style w:type="character" w:styleId="PiedepginaCar" w:customStyle="1">
    <w:name w:val="Pie de página Car"/>
    <w:basedOn w:val="DefaultParagraphFont"/>
    <w:link w:val="Piedepgina"/>
    <w:uiPriority w:val="99"/>
    <w:qFormat/>
    <w:rsid w:val="00935ac2"/>
    <w:rPr>
      <w:rFonts w:ascii="Arial" w:hAnsi="Arial" w:eastAsia="Arial" w:cs="Arial"/>
      <w:color w:val="000000"/>
      <w:lang w:eastAsia="es-MX"/>
    </w:rPr>
  </w:style>
  <w:style w:type="character" w:styleId="Journal" w:customStyle="1">
    <w:name w:val="journal"/>
    <w:basedOn w:val="DefaultParagraphFont"/>
    <w:qFormat/>
    <w:rsid w:val="007c053c"/>
    <w:rPr/>
  </w:style>
  <w:style w:type="character" w:styleId="Issue" w:customStyle="1">
    <w:name w:val="issue"/>
    <w:basedOn w:val="DefaultParagraphFont"/>
    <w:qFormat/>
    <w:rsid w:val="007c053c"/>
    <w:rPr/>
  </w:style>
  <w:style w:type="character" w:styleId="Year" w:customStyle="1">
    <w:name w:val="year"/>
    <w:basedOn w:val="DefaultParagraphFont"/>
    <w:qFormat/>
    <w:rsid w:val="007c053c"/>
    <w:rPr/>
  </w:style>
  <w:style w:type="character" w:styleId="Cabecerah1subtitulo" w:customStyle="1">
    <w:name w:val="cabecera_h1_subtitulo"/>
    <w:basedOn w:val="DefaultParagraphFont"/>
    <w:qFormat/>
    <w:rsid w:val="004e114c"/>
    <w:rPr/>
  </w:style>
  <w:style w:type="character" w:styleId="HTMLconformatoprevioCar" w:customStyle="1">
    <w:name w:val="HTML con formato previo Car"/>
    <w:basedOn w:val="DefaultParagraphFont"/>
    <w:link w:val="HTMLconformatoprevio"/>
    <w:uiPriority w:val="99"/>
    <w:semiHidden/>
    <w:qFormat/>
    <w:rsid w:val="008a0ed1"/>
    <w:rPr>
      <w:rFonts w:ascii="Courier New" w:hAnsi="Courier New" w:eastAsia="Times New Roman" w:cs="Courier New"/>
      <w:sz w:val="20"/>
      <w:szCs w:val="20"/>
      <w:lang w:eastAsia="es-MX"/>
    </w:rPr>
  </w:style>
  <w:style w:type="character" w:styleId="Y2iqfc" w:customStyle="1">
    <w:name w:val="y2iqfc"/>
    <w:basedOn w:val="DefaultParagraphFont"/>
    <w:qFormat/>
    <w:rsid w:val="008a0ed1"/>
    <w:rPr/>
  </w:style>
  <w:style w:type="character" w:styleId="Annotationreference">
    <w:name w:val="annotation reference"/>
    <w:basedOn w:val="DefaultParagraphFont"/>
    <w:uiPriority w:val="99"/>
    <w:semiHidden/>
    <w:unhideWhenUsed/>
    <w:qFormat/>
    <w:rsid w:val="0086682f"/>
    <w:rPr>
      <w:sz w:val="16"/>
      <w:szCs w:val="16"/>
    </w:rPr>
  </w:style>
  <w:style w:type="character" w:styleId="TextocomentarioCar" w:customStyle="1">
    <w:name w:val="Texto comentario Car"/>
    <w:basedOn w:val="DefaultParagraphFont"/>
    <w:link w:val="Textocomentario"/>
    <w:uiPriority w:val="99"/>
    <w:semiHidden/>
    <w:qFormat/>
    <w:rsid w:val="0086682f"/>
    <w:rPr>
      <w:rFonts w:ascii="Arial" w:hAnsi="Arial" w:eastAsia="Arial" w:cs="Arial"/>
      <w:color w:val="000000"/>
      <w:sz w:val="20"/>
      <w:szCs w:val="20"/>
      <w:lang w:eastAsia="es-MX"/>
    </w:rPr>
  </w:style>
  <w:style w:type="character" w:styleId="AsuntodelcomentarioCar" w:customStyle="1">
    <w:name w:val="Asunto del comentario Car"/>
    <w:basedOn w:val="TextocomentarioCar"/>
    <w:link w:val="Asuntodelcomentario"/>
    <w:uiPriority w:val="99"/>
    <w:semiHidden/>
    <w:qFormat/>
    <w:rsid w:val="0086682f"/>
    <w:rPr>
      <w:rFonts w:ascii="Arial" w:hAnsi="Arial" w:eastAsia="Arial" w:cs="Arial"/>
      <w:b/>
      <w:bCs/>
      <w:color w:val="000000"/>
      <w:sz w:val="20"/>
      <w:szCs w:val="20"/>
      <w:lang w:eastAsia="es-MX"/>
    </w:rPr>
  </w:style>
  <w:style w:type="character" w:styleId="TextodegloboCar" w:customStyle="1">
    <w:name w:val="Texto de globo Car"/>
    <w:basedOn w:val="DefaultParagraphFont"/>
    <w:link w:val="Textodeglobo"/>
    <w:uiPriority w:val="99"/>
    <w:semiHidden/>
    <w:qFormat/>
    <w:rsid w:val="0086682f"/>
    <w:rPr>
      <w:rFonts w:ascii="Segoe UI" w:hAnsi="Segoe UI" w:eastAsia="Arial" w:cs="Segoe UI"/>
      <w:color w:val="000000"/>
      <w:sz w:val="18"/>
      <w:szCs w:val="18"/>
      <w:lang w:eastAsia="es-MX"/>
    </w:rPr>
  </w:style>
  <w:style w:type="character" w:styleId="UnresolvedMention">
    <w:name w:val="Unresolved Mention"/>
    <w:basedOn w:val="DefaultParagraphFont"/>
    <w:uiPriority w:val="99"/>
    <w:semiHidden/>
    <w:unhideWhenUsed/>
    <w:qFormat/>
    <w:rsid w:val="00613880"/>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istParagraph">
    <w:name w:val="List Paragraph"/>
    <w:basedOn w:val="Normal"/>
    <w:uiPriority w:val="34"/>
    <w:qFormat/>
    <w:rsid w:val="00672e05"/>
    <w:pPr>
      <w:spacing w:before="0" w:after="0"/>
      <w:ind w:left="720" w:hanging="0"/>
      <w:contextualSpacing/>
    </w:pPr>
    <w:rPr/>
  </w:style>
  <w:style w:type="paragraph" w:styleId="NormalWeb">
    <w:name w:val="Normal (Web)"/>
    <w:basedOn w:val="Normal"/>
    <w:uiPriority w:val="99"/>
    <w:semiHidden/>
    <w:unhideWhenUsed/>
    <w:qFormat/>
    <w:rsid w:val="00145372"/>
    <w:pPr>
      <w:spacing w:lineRule="auto" w:line="240" w:beforeAutospacing="1" w:afterAutospacing="1"/>
    </w:pPr>
    <w:rPr>
      <w:rFonts w:ascii="Times New Roman" w:hAnsi="Times New Roman" w:eastAsia="Times New Roman" w:cs="Times New Roman"/>
      <w:color w:val="auto"/>
      <w:sz w:val="24"/>
      <w:szCs w:val="24"/>
    </w:rPr>
  </w:style>
  <w:style w:type="paragraph" w:styleId="NoSpacing">
    <w:name w:val="No Spacing"/>
    <w:uiPriority w:val="1"/>
    <w:qFormat/>
    <w:rsid w:val="00b87a78"/>
    <w:pPr>
      <w:widowControl/>
      <w:suppressAutoHyphens w:val="true"/>
      <w:bidi w:val="0"/>
      <w:spacing w:lineRule="auto" w:line="240" w:before="0" w:after="0"/>
      <w:jc w:val="left"/>
    </w:pPr>
    <w:rPr>
      <w:rFonts w:ascii="Arial" w:hAnsi="Arial" w:eastAsia="Arial" w:cs="Arial"/>
      <w:color w:val="000000"/>
      <w:kern w:val="0"/>
      <w:sz w:val="22"/>
      <w:szCs w:val="22"/>
      <w:lang w:val="es-MX" w:eastAsia="es-MX" w:bidi="ar-SA"/>
    </w:rPr>
  </w:style>
  <w:style w:type="paragraph" w:styleId="Sangria" w:customStyle="1">
    <w:name w:val="sangria"/>
    <w:basedOn w:val="Normal"/>
    <w:qFormat/>
    <w:rsid w:val="00786d68"/>
    <w:pPr>
      <w:spacing w:lineRule="auto" w:line="240" w:beforeAutospacing="1" w:afterAutospacing="1"/>
    </w:pPr>
    <w:rPr>
      <w:rFonts w:ascii="Times New Roman" w:hAnsi="Times New Roman" w:eastAsia="Times New Roman" w:cs="Times New Roman"/>
      <w:color w:val="auto"/>
      <w:sz w:val="24"/>
      <w:szCs w:val="24"/>
    </w:rPr>
  </w:style>
  <w:style w:type="paragraph" w:styleId="Caption">
    <w:name w:val="caption"/>
    <w:basedOn w:val="Normal"/>
    <w:next w:val="Normal"/>
    <w:uiPriority w:val="35"/>
    <w:unhideWhenUsed/>
    <w:qFormat/>
    <w:rsid w:val="00c769de"/>
    <w:pPr>
      <w:spacing w:lineRule="auto" w:line="240" w:before="0" w:after="200"/>
    </w:pPr>
    <w:rPr>
      <w:rFonts w:ascii="Calibri" w:hAnsi="Calibri" w:eastAsia="Calibri" w:cs="" w:asciiTheme="minorHAnsi" w:cstheme="minorBidi" w:eastAsiaTheme="minorHAnsi" w:hAnsiTheme="minorHAnsi"/>
      <w:i/>
      <w:iCs/>
      <w:color w:val="44546A" w:themeColor="text2"/>
      <w:sz w:val="18"/>
      <w:szCs w:val="18"/>
      <w:lang w:eastAsia="en-US"/>
    </w:rPr>
  </w:style>
  <w:style w:type="paragraph" w:styleId="Raleway" w:customStyle="1">
    <w:name w:val="raleway"/>
    <w:basedOn w:val="Normal"/>
    <w:qFormat/>
    <w:rsid w:val="00ba246e"/>
    <w:pPr>
      <w:spacing w:lineRule="auto" w:line="240" w:beforeAutospacing="1" w:afterAutospacing="1"/>
    </w:pPr>
    <w:rPr>
      <w:rFonts w:ascii="Times New Roman" w:hAnsi="Times New Roman" w:eastAsia="Times New Roman" w:cs="Times New Roman"/>
      <w:color w:val="auto"/>
      <w:sz w:val="24"/>
      <w:szCs w:val="24"/>
    </w:rPr>
  </w:style>
  <w:style w:type="paragraph" w:styleId="Cabeceraypie">
    <w:name w:val="Cabecera y pie"/>
    <w:basedOn w:val="Normal"/>
    <w:qFormat/>
    <w:pPr/>
    <w:rPr/>
  </w:style>
  <w:style w:type="paragraph" w:styleId="Cabecera">
    <w:name w:val="Header"/>
    <w:basedOn w:val="Normal"/>
    <w:link w:val="EncabezadoCar"/>
    <w:uiPriority w:val="99"/>
    <w:unhideWhenUsed/>
    <w:rsid w:val="00935ac2"/>
    <w:pPr>
      <w:tabs>
        <w:tab w:val="clear" w:pos="708"/>
        <w:tab w:val="center" w:pos="4419" w:leader="none"/>
        <w:tab w:val="right" w:pos="8838" w:leader="none"/>
      </w:tabs>
      <w:spacing w:lineRule="auto" w:line="240"/>
    </w:pPr>
    <w:rPr/>
  </w:style>
  <w:style w:type="paragraph" w:styleId="Piedepgina">
    <w:name w:val="Footer"/>
    <w:basedOn w:val="Normal"/>
    <w:link w:val="PiedepginaCar"/>
    <w:uiPriority w:val="99"/>
    <w:unhideWhenUsed/>
    <w:rsid w:val="00935ac2"/>
    <w:pPr>
      <w:tabs>
        <w:tab w:val="clear" w:pos="708"/>
        <w:tab w:val="center" w:pos="4419" w:leader="none"/>
        <w:tab w:val="right" w:pos="8838" w:leader="none"/>
      </w:tabs>
      <w:spacing w:lineRule="auto" w:line="240"/>
    </w:pPr>
    <w:rPr/>
  </w:style>
  <w:style w:type="paragraph" w:styleId="HTMLPreformatted">
    <w:name w:val="HTML Preformatted"/>
    <w:basedOn w:val="Normal"/>
    <w:link w:val="HTMLconformatoprevioCar"/>
    <w:uiPriority w:val="99"/>
    <w:semiHidden/>
    <w:unhideWhenUsed/>
    <w:qFormat/>
    <w:rsid w:val="008a0ed1"/>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pPr>
    <w:rPr>
      <w:rFonts w:ascii="Courier New" w:hAnsi="Courier New" w:eastAsia="Times New Roman" w:cs="Courier New"/>
      <w:color w:val="auto"/>
      <w:sz w:val="20"/>
      <w:szCs w:val="20"/>
    </w:rPr>
  </w:style>
  <w:style w:type="paragraph" w:styleId="Annotationtext">
    <w:name w:val="annotation text"/>
    <w:basedOn w:val="Normal"/>
    <w:link w:val="TextocomentarioCar"/>
    <w:uiPriority w:val="99"/>
    <w:semiHidden/>
    <w:unhideWhenUsed/>
    <w:qFormat/>
    <w:rsid w:val="0086682f"/>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86682f"/>
    <w:pPr/>
    <w:rPr>
      <w:b/>
      <w:bCs/>
    </w:rPr>
  </w:style>
  <w:style w:type="paragraph" w:styleId="BalloonText">
    <w:name w:val="Balloon Text"/>
    <w:basedOn w:val="Normal"/>
    <w:link w:val="TextodegloboCar"/>
    <w:uiPriority w:val="99"/>
    <w:semiHidden/>
    <w:unhideWhenUsed/>
    <w:qFormat/>
    <w:rsid w:val="0086682f"/>
    <w:pPr>
      <w:spacing w:lineRule="auto" w:line="240"/>
    </w:pPr>
    <w:rPr>
      <w:rFonts w:ascii="Segoe UI" w:hAnsi="Segoe UI" w:cs="Segoe UI"/>
      <w:sz w:val="18"/>
      <w:szCs w:val="18"/>
    </w:rPr>
  </w:style>
  <w:style w:type="paragraph" w:styleId="Contenidodelmarco">
    <w:name w:val="Contenido del marco"/>
    <w:basedOn w:val="Normal"/>
    <w:qFormat/>
    <w:pPr/>
    <w:rPr/>
  </w:style>
  <w:style w:type="paragraph" w:styleId="Cabeceraizquierda">
    <w:name w:val="Cabecera izquierda"/>
    <w:basedOn w:val="Cabecera"/>
    <w:qFormat/>
    <w:pPr>
      <w:suppressLineNumbers/>
      <w:tabs>
        <w:tab w:val="clear" w:pos="4419"/>
        <w:tab w:val="clear" w:pos="8838"/>
        <w:tab w:val="center" w:pos="4703" w:leader="none"/>
        <w:tab w:val="right" w:pos="9406" w:leader="none"/>
      </w:tab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fe00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lista6concolores">
    <w:name w:val="List Table 6 Colorful"/>
    <w:basedOn w:val="Tablanormal"/>
    <w:uiPriority w:val="51"/>
    <w:rsid w:val="00506f32"/>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uiPriority w:val="39"/>
    <w:rsid w:val="00506f32"/>
    <w:pPr>
      <w:spacing w:after="0" w:line="240" w:lineRule="auto"/>
    </w:pPr>
    <w:rPr>
      <w:rFonts w:eastAsiaTheme="minorEastAsia"/>
      <w:lang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6concolores1">
    <w:name w:val="Tabla de lista 6 con colores1"/>
    <w:basedOn w:val="Tablanormal"/>
    <w:uiPriority w:val="51"/>
    <w:rsid w:val="0081007b"/>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2">
    <w:name w:val="Tabla de lista 6 con colores2"/>
    <w:basedOn w:val="Tablanormal"/>
    <w:uiPriority w:val="51"/>
    <w:rsid w:val="0081007b"/>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chart" Target="charts/chart1.xml"/><Relationship Id="rId11" Type="http://schemas.openxmlformats.org/officeDocument/2006/relationships/image" Target="media/image4.png"/><Relationship Id="rId12" Type="http://schemas.openxmlformats.org/officeDocument/2006/relationships/hyperlink" Target="http://www.acfingenieria.com/wp-content/uploads/2015/03/Densidad-ocupacion.pdf" TargetMode="External"/><Relationship Id="rId13" Type="http://schemas.openxmlformats.org/officeDocument/2006/relationships/hyperlink" Target="https://www.yucatan.gob.mx/docs/diario_oficial/diarios/2021/2021-01-18_2.pdf" TargetMode="External"/><Relationship Id="rId14" Type="http://schemas.openxmlformats.org/officeDocument/2006/relationships/hyperlink" Target="http://ojs.unemi.edu.ec/index.php/cienciaunemi/issue/view/22" TargetMode="External"/><Relationship Id="rId15" Type="http://schemas.openxmlformats.org/officeDocument/2006/relationships/hyperlink" Target="https://www.amevec.mx/publicaciones/AMEVEC-BoletinEficienciaEnergetica.pdf" TargetMode="External"/><Relationship Id="rId16" Type="http://schemas.openxmlformats.org/officeDocument/2006/relationships/hyperlink" Target="https://bioconstruccion.com.mx/nom-008-ener/" TargetMode="External"/><Relationship Id="rId17" Type="http://schemas.openxmlformats.org/officeDocument/2006/relationships/hyperlink" Target="http://www.arquitecturayenergia.cl/home/la-transmision-del-calor/" TargetMode="External"/><Relationship Id="rId18" Type="http://schemas.openxmlformats.org/officeDocument/2006/relationships/hyperlink" Target="https://cceea.mx/solar" TargetMode="External"/><Relationship Id="rId19" Type="http://schemas.openxmlformats.org/officeDocument/2006/relationships/hyperlink" Target="https://hugepdf.com/download/download-la-eficiencia-energetica_pdf" TargetMode="External"/><Relationship Id="rId20" Type="http://schemas.openxmlformats.org/officeDocument/2006/relationships/hyperlink" Target="https://www.gob.mx/cms/uploads/attachment/file/247429/GuiaHerramientaCalculoNOM_008_V1.01.pdf" TargetMode="External"/><Relationship Id="rId21" Type="http://schemas.openxmlformats.org/officeDocument/2006/relationships/hyperlink" Target="https://www.conuee.gob.mx/transparencia/boletines/NOM/fichastecnicas/FTNOM-008.pdf" TargetMode="External"/><Relationship Id="rId22" Type="http://schemas.openxmlformats.org/officeDocument/2006/relationships/hyperlink" Target="https://pirhua.udep.edu.pe/bitstream/handle/11042/1448/IME_152.pdf?sequence=1" TargetMode="External"/><Relationship Id="rId23" Type="http://schemas.openxmlformats.org/officeDocument/2006/relationships/hyperlink" Target="https://www.yucatan.gob.mx/docs/transparencia/ped/2018_2024/2019-03-30_3.pdf" TargetMode="External"/><Relationship Id="rId24" Type="http://schemas.openxmlformats.org/officeDocument/2006/relationships/hyperlink" Target="https://www.airelimpio.com/notas-tecnicas/densidad-ocupacional-y-calidad-de-aire-interior/" TargetMode="External"/><Relationship Id="rId25" Type="http://schemas.openxmlformats.org/officeDocument/2006/relationships/hyperlink" Target="https://www.gob.mx/cms/uploads/attachment/file/181648/NOM_008_ENER_2001.pdf" TargetMode="External"/><Relationship Id="rId26" Type="http://schemas.openxmlformats.org/officeDocument/2006/relationships/hyperlink" Target="https://www.inegi.org.mx/temas/climatologia/" TargetMode="External"/><Relationship Id="rId27" Type="http://schemas.openxmlformats.org/officeDocument/2006/relationships/hyperlink" Target="https://dgel.energia.gob.mx/inel/mapa.html?lang=es" TargetMode="External"/><Relationship Id="rId28" Type="http://schemas.openxmlformats.org/officeDocument/2006/relationships/hyperlink" Target="https://www.meteoblue.com/es/tiempo/historyclimate/climatemodelled/21.282N-89.664E" TargetMode="External"/><Relationship Id="rId29" Type="http://schemas.openxmlformats.org/officeDocument/2006/relationships/hyperlink" Target="http://biblioteca.olade.org/opac-tmpl/Documentos/old0358.pdf" TargetMode="External"/><Relationship Id="rId30" Type="http://schemas.openxmlformats.org/officeDocument/2006/relationships/hyperlink" Target="https://www.un.org/sustainabledevelopment/es/development-agenda/" TargetMode="External"/><Relationship Id="rId31" Type="http://schemas.openxmlformats.org/officeDocument/2006/relationships/hyperlink" Target="https://www.un.org/sustainabledevelopment/es/energy/" TargetMode="External"/><Relationship Id="rId32" Type="http://schemas.openxmlformats.org/officeDocument/2006/relationships/hyperlink" Target="https://nuso.org/articulo/que-pueden-hacer-las-politicas-energeticas-por-la-integracion/" TargetMode="External"/><Relationship Id="rId33" Type="http://schemas.openxmlformats.org/officeDocument/2006/relationships/hyperlink" Target="http://www.sema.gob.mx/SRN/SIIAEC/POETE/CUADROS/Cuadro_6_Descripcion_de_los_Tipos_de_Climas.pdf" TargetMode="External"/><Relationship Id="rId34" Type="http://schemas.openxmlformats.org/officeDocument/2006/relationships/hyperlink" Target="https://sunforceproducts.com/wp-content/uploads/2016/11/Model-44444_Manual.pdf" TargetMode="External"/><Relationship Id="rId35" Type="http://schemas.openxmlformats.org/officeDocument/2006/relationships/hyperlink" Target="https://tablademareas.com/mx/yucatan/puerto-progreso" TargetMode="External"/><Relationship Id="rId36" Type="http://schemas.openxmlformats.org/officeDocument/2006/relationships/hyperlink" Target="https://es.windfinder.com/windstatistics/puerto_progreso_yucatan" TargetMode="External"/><Relationship Id="rId37" Type="http://schemas.openxmlformats.org/officeDocument/2006/relationships/header" Target="header4.xml"/><Relationship Id="rId38" Type="http://schemas.openxmlformats.org/officeDocument/2006/relationships/header" Target="header5.xml"/><Relationship Id="rId39" Type="http://schemas.openxmlformats.org/officeDocument/2006/relationships/header" Target="header6.xml"/><Relationship Id="rId40" Type="http://schemas.openxmlformats.org/officeDocument/2006/relationships/footer" Target="footer4.xml"/><Relationship Id="rId41" Type="http://schemas.openxmlformats.org/officeDocument/2006/relationships/footer" Target="footer5.xml"/><Relationship Id="rId42" Type="http://schemas.openxmlformats.org/officeDocument/2006/relationships/footer" Target="footer6.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Relationship Id="rId46"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5.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Eólica</c:v>
                </c:pt>
              </c:strCache>
            </c:strRef>
          </c:tx>
          <c:spPr>
            <a:solidFill>
              <a:srgbClr val="5b9bd5"/>
            </a:solidFill>
            <a:ln w="0">
              <a:noFill/>
            </a:ln>
          </c:spPr>
          <c:invertIfNegative val="0"/>
          <c:dLbls>
            <c:txPr>
              <a:bodyPr wrap="none"/>
              <a:lstStyle/>
              <a:p>
                <a:pPr>
                  <a:defRPr b="0" sz="1000" spc="-1" strike="noStrike">
                    <a:solidFill>
                      <a:srgbClr val="000000"/>
                    </a:solidFill>
                    <a:latin typeface="Arial"/>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0</c:f>
              <c:numCache>
                <c:formatCode>General</c:formatCode>
                <c:ptCount val="12"/>
                <c:pt idx="0">
                  <c:v>575.67</c:v>
                </c:pt>
                <c:pt idx="1">
                  <c:v>627.48</c:v>
                </c:pt>
                <c:pt idx="2">
                  <c:v>749.89</c:v>
                </c:pt>
                <c:pt idx="3">
                  <c:v>741.3</c:v>
                </c:pt>
                <c:pt idx="4">
                  <c:v>759.81</c:v>
                </c:pt>
                <c:pt idx="5">
                  <c:v>677.1</c:v>
                </c:pt>
                <c:pt idx="6">
                  <c:v>737.49</c:v>
                </c:pt>
                <c:pt idx="7">
                  <c:v>743.69</c:v>
                </c:pt>
                <c:pt idx="8">
                  <c:v>696</c:v>
                </c:pt>
                <c:pt idx="9">
                  <c:v>672.7</c:v>
                </c:pt>
                <c:pt idx="10">
                  <c:v>606.9</c:v>
                </c:pt>
                <c:pt idx="11">
                  <c:v>566.99</c:v>
                </c:pt>
              </c:numCache>
            </c:numRef>
          </c:val>
        </c:ser>
        <c:ser>
          <c:idx val="1"/>
          <c:order val="1"/>
          <c:tx>
            <c:strRef>
              <c:f>label 1</c:f>
              <c:strCache>
                <c:ptCount val="1"/>
                <c:pt idx="0">
                  <c:v>Fotovoltaica</c:v>
                </c:pt>
              </c:strCache>
            </c:strRef>
          </c:tx>
          <c:spPr>
            <a:solidFill>
              <a:srgbClr val="ed7d31"/>
            </a:solidFill>
            <a:ln w="0">
              <a:noFill/>
            </a:ln>
          </c:spPr>
          <c:invertIfNegative val="0"/>
          <c:dLbls>
            <c:txPr>
              <a:bodyPr wrap="none"/>
              <a:lstStyle/>
              <a:p>
                <a:pPr>
                  <a:defRPr b="0" sz="1000" spc="-1" strike="noStrike">
                    <a:solidFill>
                      <a:srgbClr val="000000"/>
                    </a:solidFill>
                    <a:latin typeface="Arial"/>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1</c:f>
              <c:numCache>
                <c:formatCode>General</c:formatCode>
                <c:ptCount val="12"/>
                <c:pt idx="0">
                  <c:v>879.16</c:v>
                </c:pt>
                <c:pt idx="1">
                  <c:v>813.12</c:v>
                </c:pt>
                <c:pt idx="2">
                  <c:v>1062.68</c:v>
                </c:pt>
                <c:pt idx="3">
                  <c:v>988.8</c:v>
                </c:pt>
                <c:pt idx="4">
                  <c:v>1082.83</c:v>
                </c:pt>
                <c:pt idx="5">
                  <c:v>573</c:v>
                </c:pt>
                <c:pt idx="6">
                  <c:v>466.55</c:v>
                </c:pt>
                <c:pt idx="7">
                  <c:v>480.19</c:v>
                </c:pt>
                <c:pt idx="8">
                  <c:v>368.4</c:v>
                </c:pt>
                <c:pt idx="9">
                  <c:v>333.25</c:v>
                </c:pt>
                <c:pt idx="10">
                  <c:v>759</c:v>
                </c:pt>
                <c:pt idx="11">
                  <c:v>473.68</c:v>
                </c:pt>
              </c:numCache>
            </c:numRef>
          </c:val>
        </c:ser>
        <c:gapWidth val="219"/>
        <c:overlap val="-27"/>
        <c:axId val="95104493"/>
        <c:axId val="92193890"/>
      </c:barChart>
      <c:lineChart>
        <c:grouping val="standard"/>
        <c:varyColors val="0"/>
        <c:ser>
          <c:idx val="2"/>
          <c:order val="2"/>
          <c:tx>
            <c:strRef>
              <c:f>label 2</c:f>
              <c:strCache>
                <c:ptCount val="1"/>
                <c:pt idx="0">
                  <c:v>Total Sistema Híbrido</c:v>
                </c:pt>
              </c:strCache>
            </c:strRef>
          </c:tx>
          <c:spPr>
            <a:solidFill>
              <a:srgbClr val="a5a5a5"/>
            </a:solidFill>
            <a:ln cap="rnd" w="28440">
              <a:solidFill>
                <a:srgbClr val="a5a5a5"/>
              </a:solidFill>
              <a:round/>
            </a:ln>
          </c:spPr>
          <c:marker>
            <c:symbol val="none"/>
          </c:marker>
          <c:dPt>
            <c:idx val="0"/>
            <c:marker>
              <c:symbol val="none"/>
            </c:marker>
          </c:dPt>
          <c:dPt>
            <c:idx val="1"/>
            <c:marker>
              <c:symbol val="none"/>
            </c:marker>
          </c:dPt>
          <c:dPt>
            <c:idx val="2"/>
            <c:marker>
              <c:symbol val="none"/>
            </c:marker>
          </c:dPt>
          <c:dPt>
            <c:idx val="3"/>
            <c:marker>
              <c:symbol val="none"/>
            </c:marker>
          </c:dPt>
          <c:dPt>
            <c:idx val="4"/>
            <c:marker>
              <c:symbol val="none"/>
            </c:marker>
          </c:dPt>
          <c:dPt>
            <c:idx val="5"/>
            <c:marker>
              <c:symbol val="none"/>
            </c:marker>
          </c:dPt>
          <c:dPt>
            <c:idx val="6"/>
            <c:marker>
              <c:symbol val="none"/>
            </c:marker>
          </c:dPt>
          <c:dPt>
            <c:idx val="7"/>
            <c:marker>
              <c:symbol val="none"/>
            </c:marker>
          </c:dPt>
          <c:dPt>
            <c:idx val="8"/>
            <c:marker>
              <c:symbol val="none"/>
            </c:marker>
          </c:dPt>
          <c:dPt>
            <c:idx val="9"/>
            <c:marker>
              <c:symbol val="none"/>
            </c:marker>
          </c:dPt>
          <c:dPt>
            <c:idx val="10"/>
            <c:marker>
              <c:symbol val="none"/>
            </c:marker>
          </c:dPt>
          <c:dPt>
            <c:idx val="11"/>
            <c:marker>
              <c:symbol val="none"/>
            </c:marker>
          </c:dPt>
          <c:dLbls>
            <c:numFmt formatCode="General" sourceLinked="0"/>
            <c:dLbl>
              <c:idx val="0"/>
              <c:layout>
                <c:manualLayout>
                  <c:x val="-0.0472222222222223"/>
                  <c:y val="-0.0462962962962963"/>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1"/>
              <c:layout>
                <c:manualLayout>
                  <c:x val="-0.00555555555555561"/>
                  <c:y val="0.00925925925925926"/>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2"/>
              <c:layout>
                <c:manualLayout>
                  <c:x val="-0.0277777777777778"/>
                  <c:y val="-0.0277777777777778"/>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3"/>
              <c:layout>
                <c:manualLayout>
                  <c:x val="-0.0277777777777778"/>
                  <c:y val="0.0324074074074074"/>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4"/>
              <c:layout>
                <c:manualLayout>
                  <c:x val="-0.0194444444444445"/>
                  <c:y val="-0.0185185185185185"/>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5"/>
              <c:layout>
                <c:manualLayout>
                  <c:x val="-0.0166666666666667"/>
                  <c:y val="-0.037037037037037"/>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6"/>
              <c:layout>
                <c:manualLayout>
                  <c:x val="-0.0277777777777778"/>
                  <c:y val="0.0324074074074074"/>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7"/>
              <c:layout>
                <c:manualLayout>
                  <c:x val="-0.013888888888889"/>
                  <c:y val="-0.0324074074074074"/>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8"/>
              <c:layout>
                <c:manualLayout>
                  <c:x val="-0.0472222222222223"/>
                  <c:y val="0.0462962962962963"/>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9"/>
              <c:layout>
                <c:manualLayout>
                  <c:x val="-0.0138888888888889"/>
                  <c:y val="0.0277777777777778"/>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10"/>
              <c:layout>
                <c:manualLayout>
                  <c:x val="-0.0222222222222223"/>
                  <c:y val="-0.0231481481481482"/>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dLbl>
              <c:idx val="11"/>
              <c:layout>
                <c:manualLayout>
                  <c:x val="1.0185067526416E-016"/>
                  <c:y val="0.0231481481481481"/>
                </c:manualLayout>
              </c:layout>
              <c:numFmt formatCode="General" sourceLinked="0"/>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dLbl>
            <c:txPr>
              <a:bodyPr wrap="square"/>
              <a:lstStyle/>
              <a:p>
                <a:pPr>
                  <a:defRPr b="0" sz="900" spc="-1" strike="noStrike">
                    <a:solidFill>
                      <a:srgbClr val="404040"/>
                    </a:solidFill>
                    <a:latin typeface="Calibri"/>
                  </a:defRPr>
                </a:pPr>
              </a:p>
            </c:txPr>
            <c:dLblPos val="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c:f>
              <c:numCache>
                <c:formatCode>General</c:formatCode>
                <c:ptCount val="12"/>
                <c:pt idx="0">
                  <c:v>1454.83</c:v>
                </c:pt>
                <c:pt idx="1">
                  <c:v>1440.6</c:v>
                </c:pt>
                <c:pt idx="2">
                  <c:v>1812.57</c:v>
                </c:pt>
                <c:pt idx="3">
                  <c:v>1730.1</c:v>
                </c:pt>
                <c:pt idx="4">
                  <c:v>1842.64</c:v>
                </c:pt>
                <c:pt idx="5">
                  <c:v>1250.1</c:v>
                </c:pt>
                <c:pt idx="6">
                  <c:v>1204.04</c:v>
                </c:pt>
                <c:pt idx="7">
                  <c:v>1223.88</c:v>
                </c:pt>
                <c:pt idx="8">
                  <c:v>1064.4</c:v>
                </c:pt>
                <c:pt idx="9">
                  <c:v>1005.95</c:v>
                </c:pt>
                <c:pt idx="10">
                  <c:v>1365.9</c:v>
                </c:pt>
                <c:pt idx="11">
                  <c:v>1040.67</c:v>
                </c:pt>
              </c:numCache>
            </c:numRef>
          </c:val>
          <c:smooth val="0"/>
        </c:ser>
        <c:hiLowLines>
          <c:spPr>
            <a:ln w="0">
              <a:noFill/>
            </a:ln>
          </c:spPr>
        </c:hiLowLines>
        <c:marker val="0"/>
        <c:axId val="95104493"/>
        <c:axId val="92193890"/>
      </c:lineChart>
      <c:catAx>
        <c:axId val="9510449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92193890"/>
        <c:crosses val="autoZero"/>
        <c:auto val="1"/>
        <c:lblAlgn val="ctr"/>
        <c:lblOffset val="100"/>
        <c:noMultiLvlLbl val="0"/>
      </c:catAx>
      <c:valAx>
        <c:axId val="92193890"/>
        <c:scaling>
          <c:orientation val="minMax"/>
        </c:scaling>
        <c:delete val="0"/>
        <c:axPos val="l"/>
        <c:majorGridlines>
          <c:spPr>
            <a:ln w="9360">
              <a:solidFill>
                <a:srgbClr val="d9d9d9"/>
              </a:solidFill>
              <a:round/>
            </a:ln>
          </c:spPr>
        </c:majorGridlines>
        <c:title>
          <c:tx>
            <c:rich>
              <a:bodyPr rot="-5400000"/>
              <a:lstStyle/>
              <a:p>
                <a:pPr>
                  <a:defRPr b="0" lang="es-MX" sz="1000" spc="-1" strike="noStrike">
                    <a:solidFill>
                      <a:srgbClr val="595959"/>
                    </a:solidFill>
                    <a:latin typeface="Calibri"/>
                  </a:defRPr>
                </a:pPr>
                <a:r>
                  <a:rPr b="0" lang="es-MX" sz="1000" spc="-1" strike="noStrike">
                    <a:solidFill>
                      <a:srgbClr val="595959"/>
                    </a:solidFill>
                    <a:latin typeface="Calibri"/>
                  </a:rPr>
                  <a:t>Potencia kW/h</a:t>
                </a:r>
              </a:p>
            </c:rich>
          </c:tx>
          <c:overlay val="0"/>
          <c:spPr>
            <a:noFill/>
            <a:ln w="0">
              <a:noFill/>
            </a:ln>
          </c:spPr>
        </c:title>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5104493"/>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0218-17D9-4449-BA5A-F2F26DDF1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Application>LibreOffice/7.0.4.2$Linux_X86_64 LibreOffice_project/00$Build-2</Application>
  <AppVersion>15.0000</AppVersion>
  <Pages>9</Pages>
  <Words>4966</Words>
  <Characters>28242</Characters>
  <CharactersWithSpaces>32777</CharactersWithSpaces>
  <Paragraphs>491</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2022-03-29T01:50:00Z</dcterms:created>
  <dc:creator>Arq. Jesús Martínez</dc:creator>
  <dc:description/>
  <dc:language>es-MX</dc:language>
  <cp:lastModifiedBy/>
  <dcterms:modified xsi:type="dcterms:W3CDTF">2022-07-06T23:23:52Z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file>